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001-36228</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46-4054283</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13865 Sunrise Valley Drive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Herndon, Virginia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20171</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302 283-8000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Senior Notes due December 15, 2043</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JSM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28, 2026, Navient Corporation, a Delaware corporation (“Navient”), completed the transactions contemplated by the Agreement and Plan of Merger (the “Merger Agreement”), dated October 28, 2026, by and among Navient, Navient Holdings, Inc., a Delaware corporation (“Navient Holdings”) and Navient LLC (f/k/a Relay Merger Sub LLC), a Delaware limited liability company (“Navient LLC”), pursuant to which Navient merged with and into Navient LLC (the “Merger”), with Navient LLC continuing as the surviving entity and a wholly-owned subsidiary of Navient Holdings (the “Reorganization”), with each share of common stock, par value $0.01 per share of Navient (“Navient Common Stock”) being automatically converted into one share of common stock, par value $0.01 per share of Navient Holdings (the “Navient Holdings Common Stock”). Pursuant to Section 251(g) of the General Corporation Law of the State of Delaware (the “DGCL”), approval of the Merger by the stockholders of Navient was not required.</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the “Explanatory Note” above is incorporated into this Item 1.01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the Merger Agreement and Consummation of the Reorganization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Effective Time (as defined in the Merger Agreement), (i) the separate existence of Navient ceased and (ii) each share of Navient Common Stock issued and outstanding immediately prior to the Effective Time was automatically converted into one share of Navient Holdings Common Stock, having the same designation, rights, powers, preferences, qualifications, limitations and restrictions as a share of Navient Common Stock immediately prior to consummation of the Reorganization. The conversion of stock occurred automatically without an exchange of stock certificates for all shares of Navient Common Stock. Accordingly, each stockholder of Navient immediately prior to the Effective Time owned, immediately after the Effective Time, shares of Navient Holdings Common Stock in the same amounts and percentages as such stockholder owned in Navient immediately prior to the Effective Time. The Reorganization is intended to be a tax-free transaction, such that the stockholders of Navient should not recognize gain or loss for U.S. federal income tax purposes upon the conversion of their shares of Navient Common Stock into shares of Navient Holdings Common Stock pursuant to the Reorganization.</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Immediately following the consummation of the Reorganization, on a consolidated basis, the assets, businesses, and operations of Navient Holdings are not materially different than the corresponding assets, businesses, and operations of Navient immediately prior to the consummation of the Reorganization.</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part of the Reorganization and the Merger, as of the Effective Time, (i) all outstanding awards with respect to shares of Navient Common Stock (such awards collectively, the “Navient RSUs”) issued pursuant to the Amended and Restated Navient Corporation 2014 Omnibus Incentive Plan (the “2014 Navient Incentive Plan”), Navient Corporation 2024 Omnibus Incentive Plan (the “2024 Navient Incentive Plan”, together with the 2014 Navient Incentive Plan, the “Incentive Plans”), were adjusted pursuant to the Incentive Plans to be with respect to shares of Navient Holdings Common Stock (such awards collectively, the “Navient Holdings RSUs”) and (ii) all outstanding rights with respect to shares of Navient Common Stock pursuant to the Navient Corporation Employee Stock Purchase Plan (the “Navient ESPP”) were adjusted pursuant to the Navient ESPP to be with respect to shares of Navient Holdings Common Stock (each, an “ESPP Option”). Each Navient Holdings RSU is subject to the same term, vesting schedule, acceleration provision (if applicable), and all other material terms and conditions (including but not limited to the terms and conditions applicable to such equity awards by virtue of the Incentive Plans). Each ESPP Option is subject to the same term, exercise price, exercisability, status as a nonqualified option for purposes of Section 423 of the Internal Revenue Code of 1986, as amended, and all other material terms and conditions (including but not limited to the terms and conditions applicable to such equity awards by virtue of the Navient ESPP). Additionally, the Navient Corporation Deferred Compensation Plan, Navient Corporation Deferred Compensation Plan for Directors, Navient Supplemental 401(k) Savings Plan, the Navient 401(k) Savings Plan (collectively, the “Plans”) were amended, in each case, to reflect that the stock issuable thereunder would relate to shares of Navient Holdings Common Stock in lieu of shares of Navient Common Stock.</w:t>
      </w:r>
    </w:p>
    <w:p>
      <w:pPr>
        <w:sectPr>
          <w:pgSz w:w="11900" w:h="16838" w:orient="portrait"/>
          <w:cols w:equalWidth="0" w:num="1">
            <w:col w:w="11020"/>
          </w:cols>
          <w:pgMar w:left="440" w:top="293" w:right="439" w:bottom="1440" w:gutter="0" w:footer="0" w:header="0"/>
        </w:sectPr>
      </w:pPr>
    </w:p>
    <w:bookmarkStart w:id="2" w:name="page3"/>
    <w:bookmarkEnd w:id="2"/>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Merger Agreement is only a summary and is subject to, and entirely qualified by reference to, the full text of the Merger Agreement, a copy of which was filed as Exhibit 2.1 to Navient Holdings’ Current Report on Form 8-K, filed with the U.S. Securities and Exchange Commission (the “SEC”) on October 29, 2026, and which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the Distribution Agreement and Consummation of the Distribution</w:t>
      </w:r>
    </w:p>
    <w:p>
      <w:pPr>
        <w:spacing w:after="0" w:line="1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Pursuant to the Distribution Agreement, dated as of November 2, 2026, by and between Navient LLC and Navient Holdings (the “Distribution Agreement”), Navient LLC distributed all of the issued and outstanding capital stock of E Parent, Inc. to Navient Holdings (the “Distribution” and, together with the Reorganization, the “Transactions”).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Distribution Agreement is only a summary and is subject to, and entirely qualified by reference to, the full text of the Distribution Agreement, a copy of which was filed as Exhibit 10.1 to Navient Holdings’ Current Report on Form 8-K, filed with the SEC on November 2, 2026, and which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Navient LLC and The Bank of New York Mellon, as trustee (the “Trustee”) entered into (i) a supplemental indenture, dated October 28, 2026 (the “Ninth Supplemental Indenture”), to the Indenture, dated as of October 1, 2000 (as supplemented, the “2000 Indenture”), between Navient (successor to Navient LLC, which was the successor to SLM Corporation, which was the successor to USA Education, Inc.) and the Trustee (successor to The Chase Manhattan Bank) pursuant to which Navient LLC assumed all of Navient’s obligations under the 2000 Indenture and (ii) a supplemental indenture, dated October 28, 2026 (the “Eighteenth Supplemental Indenture” and, together with the Ninth Supplemental Indenture, the “Supplemental Indentures”), to the Indenture, dated as of July 18, 2014 (as supplemented, the “2014 Indenture”), between Navient and the Trustee, pursuant to which Navient LLC assumed all of Navient’s obligations under the 2014 Indenture.</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Supplemental Indentures are only a summary and are subject to, and entirely qualified by reference to, the full text of the Supplemental Indentures, copies of which are attached hereto as Exhibit 4.1 and Exhibit 4.2 to this Form 8-K and which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in the “Explanatory Note” and Item 1.01 above are incorporated into this Item 2.01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Reorganization, the Nasdaq Global Select Market (“Nasdaq”) was notified that each outstanding share of Navient Common Stock was automatically converted into one share of Navient Holdings Common Stock pursuant to the Merger Agreement, subject to the terms and conditions of the Merger Agreement. Navient Common Stock was suspended from trading on Nasdaq prior to the opening of trading on October 29, 2026.</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Navient filed a Form 15 with the SEC to terminate the registration under Section 12(g) of the Securities Exchange Act of 1934, as amended, of Navient Common Stock.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each share of Navient Common Stock was automatically converted into one share of Navient Holdings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holders of Navient Common Stock ceased to have any rights as stockholders of Navient.</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At the Effective Time, each outstanding Navient RSU was adjusted to be a Navient Holdings RSU with respect to the shares of Navient Holdings Common Stock, all outstanding rights with respect to Navient Common Stock pursuant to the ESPP or the Plans were adjusted to be with respect to shares of Navient Holdings Common Stock.</w:t>
      </w:r>
    </w:p>
    <w:p>
      <w:pPr>
        <w:sectPr>
          <w:pgSz w:w="11900" w:h="16838" w:orient="portrait"/>
          <w:cols w:equalWidth="0" w:num="1">
            <w:col w:w="10980"/>
          </w:cols>
          <w:pgMar w:left="440" w:top="297"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information set forth in Items 2.01 and 5.03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2.01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October 28, 2026, Navient filed a Certificate of Elimination (the “Certificate of Elimination”) with the Secretary of State of the State of Delaware, eliminating the Certificate of Designations relating to Navient’s Series A Junior Participating Preferred Stock, par value $0.20 per share (the “Series A Preferred Shares”) previously filed by Navient with the Secretary of State of the State of Delaware on December 20, 2021. Previously, 2,000,000 Series A Preferred Shares were reserved for issuance upon the exercise of rights under a short-term shareholder rights plan that expired on December 19, 2022, and no Series A Preferred Shares were ever issued or outstanding. Following the filing of the Certificate of Elimination, all previously authorized Series A Preferred Shares were returned to the authorized but unissued shares of Navient’s preferred stock, par value $0.20 per share, without designation.</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summary of the Certificate of Elimination does not purport to be complete and is qualified in its entirety by reference to the full text of the Certificate of Elimination, a copy of the form of which is attached as Exhibit 3.1 hereto and incorporated herein by reference.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Navient LLC filed a certificate of formation (the “Certificate of Formation”) and a certificate of merger (the “Certificate of Merger”) with the Secretary of State of the State of Delaware and adopted the amended and restated limited liability company agreement (as so amended and restated, the “A&amp;R LLCA”), which includes covenants required by Section 251(g)(7) of the DGCL providing that any act or transaction by or involving Navient LLC, other than the election or removal of directors or members of the governing body of Navient LLC, that, if taken by Navient immediately prior to the Merger would require, for its adoption under the DGCL or under the certificate of incorporation or bylaws of the constituent corporation immediately prior to the Merger, the approval of the stockholders of Navient, shall require, in addition to approval of the members of Navient, the approval of the stockholders of Navient Holdings, by the same vote as is required by the DGCL and/or by the certificate of incorporation or bylaws of the constituent corporation immediately prior to the Merger.</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summary of the Certificate of Formation, the Certificate of Merger and the A&amp;R LLCA does not purport to be complete and is qualified in its entirety by reference to the full text of the Certificate of Formation, the Certificate of Merger and the A&amp;R LLCA, copies of which are attached as Exhibit 3.2, 3.3 and 3.4, respectively, hereto and incorporated herein by reference.</w:t>
      </w:r>
    </w:p>
    <w:p>
      <w:pPr>
        <w:sectPr>
          <w:pgSz w:w="11900" w:h="16838" w:orient="portrait"/>
          <w:cols w:equalWidth="0" w:num="1">
            <w:col w:w="10980"/>
          </w:cols>
          <w:pgMar w:left="440" w:top="297" w:right="47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884" w:right="20" w:hanging="884"/>
        <w:spacing w:after="0" w:line="276" w:lineRule="auto"/>
        <w:tabs>
          <w:tab w:leader="none" w:pos="97"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hyperlink r:id="rId21">
        <w:r>
          <w:rPr>
            <w:rFonts w:ascii="Times New Roman" w:cs="Times New Roman" w:eastAsia="Times New Roman" w:hAnsi="Times New Roman"/>
            <w:sz w:val="17"/>
            <w:szCs w:val="17"/>
            <w:u w:val="single" w:color="auto"/>
            <w:color w:val="0000EE"/>
          </w:rPr>
          <w:t>Agreement and Plan of Merger, dated as of October 28, 2026, by and among Navient Holdings, Inc., Navient Corporation and Relay Merger</w:t>
        </w:r>
      </w:hyperlink>
      <w:r>
        <w:rPr>
          <w:rFonts w:ascii="Times New Roman" w:cs="Times New Roman" w:eastAsia="Times New Roman" w:hAnsi="Times New Roman"/>
          <w:sz w:val="17"/>
          <w:szCs w:val="17"/>
          <w:u w:val="single" w:color="auto"/>
          <w:color w:val="0000EE"/>
        </w:rPr>
        <w:t xml:space="preserve"> </w:t>
      </w:r>
      <w:hyperlink r:id="rId21">
        <w:r>
          <w:rPr>
            <w:rFonts w:ascii="Times New Roman" w:cs="Times New Roman" w:eastAsia="Times New Roman" w:hAnsi="Times New Roman"/>
            <w:sz w:val="17"/>
            <w:szCs w:val="17"/>
            <w:u w:val="single" w:color="auto"/>
            <w:color w:val="0000EE"/>
          </w:rPr>
          <w:t>Sub LLC (incorporated by reference to Exhibit 2.1 to Navient Holdings’ Current Report on Form 8-K filed on October 29, 2026 (File</w:t>
        </w:r>
      </w:hyperlink>
    </w:p>
    <w:p>
      <w:pPr>
        <w:ind w:left="884"/>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No. 001-43525)).</w:t>
        </w:r>
      </w:hyperlink>
    </w:p>
    <w:p>
      <w:pPr>
        <w:spacing w:after="0" w:line="98"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Certificate of Elimination of Series A Junior Participating Preferred Stock of Navient Corporation, dated October 28, 2026.</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7"/>
          <w:szCs w:val="17"/>
          <w:u w:val="single" w:color="auto"/>
          <w:color w:val="0000EE"/>
        </w:rPr>
        <w:t>Certificate of Formation of Relay Merger Sub LLC, dated September 14, 2026.</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w:t>
      </w:r>
      <w:r>
        <w:rPr>
          <w:rFonts w:ascii="Times New Roman" w:cs="Times New Roman" w:eastAsia="Times New Roman" w:hAnsi="Times New Roman"/>
          <w:sz w:val="17"/>
          <w:szCs w:val="17"/>
          <w:u w:val="single" w:color="auto"/>
          <w:color w:val="0000EE"/>
        </w:rPr>
        <w:t>Certificate of Merger of Relay Merger Sub LLC, dated October 28, 2026.</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w:t>
      </w:r>
      <w:r>
        <w:rPr>
          <w:rFonts w:ascii="Times New Roman" w:cs="Times New Roman" w:eastAsia="Times New Roman" w:hAnsi="Times New Roman"/>
          <w:sz w:val="17"/>
          <w:szCs w:val="17"/>
          <w:u w:val="single" w:color="auto"/>
          <w:color w:val="0000EE"/>
        </w:rPr>
        <w:t>Amended and Restated Limited Liability Company Agreement of Navient LLC, dated October 28, 2026.</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Ninth Supplemental Indenture, dated as of October 28, 2026, between Navient LLC and The Bank of New York Mellon, as trustee.</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7"/>
          <w:szCs w:val="17"/>
          <w:u w:val="single" w:color="auto"/>
          <w:color w:val="0000EE"/>
        </w:rPr>
        <w:t>Eighteenth Supplemental Indenture, dated as of October 28, 2026, between Navient LLC and The Bank of New York Mellon, as trustee.</w:t>
      </w:r>
    </w:p>
    <w:p>
      <w:pPr>
        <w:spacing w:after="0" w:line="129" w:lineRule="exact"/>
        <w:rPr>
          <w:rFonts w:ascii="Times New Roman" w:cs="Times New Roman" w:eastAsia="Times New Roman" w:hAnsi="Times New Roman"/>
          <w:sz w:val="17"/>
          <w:szCs w:val="17"/>
          <w:u w:val="single" w:color="auto"/>
          <w:color w:val="0000EE"/>
        </w:rPr>
      </w:pPr>
    </w:p>
    <w:p>
      <w:pPr>
        <w:ind w:left="884"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2">
        <w:r>
          <w:rPr>
            <w:rFonts w:ascii="Times New Roman" w:cs="Times New Roman" w:eastAsia="Times New Roman" w:hAnsi="Times New Roman"/>
            <w:sz w:val="18"/>
            <w:szCs w:val="18"/>
            <w:u w:val="single" w:color="auto"/>
            <w:color w:val="0000EE"/>
          </w:rPr>
          <w:t>Distribution Agreement, dated as of November 2, 2026, by and between Navient LLC and Navient Holdings, Inc. (incorporated by reference</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to Exhibit 10.1 to Navient Holdings’ Current Report on Form 8-K filed on November 2, 2026 (File No. 001-43525)).</w:t>
        </w:r>
      </w:hyperlink>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ectPr>
          <w:pgSz w:w="11900" w:h="16838" w:orient="portrait"/>
          <w:cols w:equalWidth="0" w:num="1">
            <w:col w:w="11004"/>
          </w:cols>
          <w:pgMar w:left="436" w:top="293" w:right="45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NAVIENT LLC</w:t>
      </w:r>
    </w:p>
    <w:p>
      <w:pPr>
        <w:spacing w:after="0" w:line="22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November 2, 2026</w:t>
      </w:r>
      <w:r>
        <w:rPr>
          <w:sz w:val="20"/>
          <w:szCs w:val="20"/>
          <w:color w:val="auto"/>
        </w:rPr>
        <w:tab/>
      </w:r>
      <w:r>
        <w:rPr>
          <w:rFonts w:ascii="Times New Roman" w:cs="Times New Roman" w:eastAsia="Times New Roman" w:hAnsi="Times New Roman"/>
          <w:sz w:val="18"/>
          <w:szCs w:val="18"/>
          <w:i w:val="1"/>
          <w:iCs w:val="1"/>
          <w:color w:val="auto"/>
        </w:rPr>
        <w:t>/s/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Matthew Sheldon, Senior Vice President &amp; General Counsel</w:t>
      </w:r>
    </w:p>
    <w:p>
      <w:pPr>
        <w:sectPr>
          <w:pgSz w:w="11900" w:h="16838" w:orient="portrait"/>
          <w:cols w:equalWidth="0" w:num="1">
            <w:col w:w="10300"/>
          </w:cols>
          <w:pgMar w:left="440" w:top="293" w:right="11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151(g) of the General Corporation Law of the State of Delaware)</w:t>
      </w:r>
    </w:p>
    <w:p>
      <w:pPr>
        <w:spacing w:after="0" w:line="22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Navient Corporation, a corporation organized and existing under the 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as follows:</w:t>
      </w:r>
    </w:p>
    <w:p>
      <w:pPr>
        <w:spacing w:after="0" w:line="5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FIRST: that the Certificate of Designations of Series A Junior Participating Preferred Stock, par value $0.20 per share, of the Corporation establishing 2,000,000 shares of the Series A Junior Participating Preferred Stock of the Corporation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was originally filed in the office of the Secretary of State of the State of Delaware on December 20, 2021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that no Preferred Shares are outstanding, and no shares thereof will be issued subject to said Certificate of Designations.</w:t>
      </w:r>
    </w:p>
    <w:p>
      <w:pPr>
        <w:spacing w:after="0" w:line="22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THIRD: that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duly adopted the following resolution approving, authorizing and directing the elimination of the Preferred Shares:</w:t>
      </w:r>
    </w:p>
    <w:p>
      <w:pPr>
        <w:spacing w:after="0" w:line="47" w:lineRule="exact"/>
        <w:rPr>
          <w:sz w:val="20"/>
          <w:szCs w:val="20"/>
          <w:color w:val="auto"/>
        </w:rPr>
      </w:pPr>
    </w:p>
    <w:p>
      <w:pPr>
        <w:ind w:left="440" w:right="1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each of the Authorized Transaction Officers (as defined in these resolutions), acting alone, be, and hereby is,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empowered to, on behalf and in the name of the Corporation, execute, acknowledge and file, pursuant to Section 151(g) of the General Corporation Law of the State of Delaware, a certificate of elimination setting forth that no Series A Preferred Shares are outstanding, that none will be issued pursuant to the Certificate of Designations, and that the shares that were designated as shares of “Series A Junior Participating Preferred Stock” are returned to the status of authorized but unissued shares of preferred stock, par value $0.20 per share, of the Corporation, without designation, and thereby eliminating from the Amended and Restated Certificate of Incorporation of the Corporation, as amended, all matters set forth in the Certificate of Designations, in such form as shall be approved by any Authorized Officer, with the advice of counsel, such determination to be conclusively established by the execution thereof.</w:t>
      </w:r>
    </w:p>
    <w:p>
      <w:pPr>
        <w:spacing w:after="0" w:line="18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FOURTH: that in accordance with the provisions of Section 151(g) of the General Corporation Law of the State of Delaware, the certificate of incorporation of the Corporation is hereby amended to eliminate all reference to the Preferred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7" w:name="page8"/>
    <w:bookmarkEnd w:id="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Certificate of Elimination to be executed by its duly authorized officer on this 28th day of October 2026.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Elimination</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RELAY MERGER SUB LLC</w:t>
      </w:r>
    </w:p>
    <w:p>
      <w:pPr>
        <w:spacing w:after="0" w:line="22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This Certificate of Formation of Relay Merger Sub LLC (the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xml:space="preserve">”) has been duly executed and is being filed by the undersigned, as an authorized person, to form a limited liability company under the Delaware Limited Liability Company Act (Title 6, Chapter 18, Delaware Code § 18-201,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The name of the limited liability company formed hereby is Relay Merger Sub LLC.</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SECOND. The address of the registered office of the LLC in the State of Delaware is c/o Corporation Service Company, 251 Little Falls Drive, Wilmington, New Castle County, DE 19808.</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THIRD. The name and address of the registered agent for service of process on the LLC in the State of Delaware is the Corporation Service Company, 251 Little Falls Drive, Wilmington, New Castle County, DE 19808.</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Certificate of Formation as of this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September 2026.</w:t>
      </w:r>
    </w:p>
    <w:p>
      <w:pPr>
        <w:spacing w:after="0" w:line="1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RELAY MERGER SUB LLC</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Laura-Jayne Urso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18415</wp:posOffset>
            </wp:positionV>
            <wp:extent cx="2459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Laura-Jayne Urso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Person</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MERGER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RELAY MERGER SUB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the General Corporation Law of the State of Delaware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Delaware Limited Liability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Relay Merger Sub LLC, a Delaware limited liability company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does hereby certify to the following facts relating to the merger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of Navient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and into Merger Sub, with Merger Sub continuing as the surviving company of the Merger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 Company and Merger Sub are the only Constituent Companies in the Merger. The Company is a corporation incorporated pursuant to the laws of the State of Delaware, and Merger Sub is a limited liability company formed pursuant to the laws of the State of Delaware.</w:t>
      </w:r>
    </w:p>
    <w:p>
      <w:pPr>
        <w:spacing w:after="0" w:line="64" w:lineRule="exact"/>
        <w:rPr>
          <w:sz w:val="20"/>
          <w:szCs w:val="20"/>
          <w:color w:val="auto"/>
        </w:rPr>
      </w:pPr>
    </w:p>
    <w:p>
      <w:pPr>
        <w:sectPr>
          <w:pgSz w:w="11900" w:h="16838" w:orient="portrait"/>
          <w:cols w:equalWidth="0" w:num="2">
            <w:col w:w="1500" w:space="720"/>
            <w:col w:w="8800"/>
          </w:cols>
          <w:pgMar w:left="440" w:top="117"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SECOND:</w:t>
      </w:r>
    </w:p>
    <w:p>
      <w:pPr>
        <w:spacing w:after="0" w:line="20" w:lineRule="exact"/>
        <w:rPr>
          <w:sz w:val="20"/>
          <w:szCs w:val="20"/>
          <w:color w:val="auto"/>
        </w:rPr>
      </w:pPr>
      <w:r>
        <w:rPr>
          <w:sz w:val="20"/>
          <w:szCs w:val="20"/>
          <w:color w:val="auto"/>
        </w:rPr>
        <w:br w:type="column"/>
      </w:r>
    </w:p>
    <w:p>
      <w:pPr>
        <w:ind w:right="180"/>
        <w:spacing w:after="0" w:line="278" w:lineRule="auto"/>
        <w:rPr>
          <w:sz w:val="20"/>
          <w:szCs w:val="20"/>
          <w:color w:val="auto"/>
        </w:rPr>
      </w:pPr>
      <w:r>
        <w:rPr>
          <w:rFonts w:ascii="Times New Roman" w:cs="Times New Roman" w:eastAsia="Times New Roman" w:hAnsi="Times New Roman"/>
          <w:sz w:val="17"/>
          <w:szCs w:val="17"/>
          <w:color w:val="auto"/>
        </w:rPr>
        <w:t>An Agreement and Plan of Merger (the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dated as of October 28, 2026, by and among the Company, Merger Sub and Navient Holdings, Inc., a Delaware corporation, has been approved, adopted, certified, executed and acknowledged by the Company and by Merger Sub in accordance with Sections 251(g) and 264 of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Section 18-209 of the Delaware Limited Liability Company Act (the “</w:t>
      </w:r>
      <w:r>
        <w:rPr>
          <w:rFonts w:ascii="Times New Roman" w:cs="Times New Roman" w:eastAsia="Times New Roman" w:hAnsi="Times New Roman"/>
          <w:sz w:val="17"/>
          <w:szCs w:val="17"/>
          <w:b w:val="1"/>
          <w:bCs w:val="1"/>
          <w:i w:val="1"/>
          <w:iCs w:val="1"/>
          <w:color w:val="auto"/>
        </w:rPr>
        <w:t>DLLCA</w:t>
      </w:r>
      <w:r>
        <w:rPr>
          <w:rFonts w:ascii="Times New Roman" w:cs="Times New Roman" w:eastAsia="Times New Roman" w:hAnsi="Times New Roman"/>
          <w:sz w:val="17"/>
          <w:szCs w:val="17"/>
          <w:color w:val="auto"/>
        </w:rPr>
        <w:t>”) and each of the conditions specified in Section 251(g) of the DGCL has been satisfied.</w:t>
      </w:r>
    </w:p>
    <w:p>
      <w:pPr>
        <w:spacing w:after="0" w:line="60" w:lineRule="exact"/>
        <w:rPr>
          <w:sz w:val="20"/>
          <w:szCs w:val="20"/>
          <w:color w:val="auto"/>
        </w:rPr>
      </w:pPr>
    </w:p>
    <w:p>
      <w:pPr>
        <w:sectPr>
          <w:pgSz w:w="11900" w:h="16838" w:orient="portrait"/>
          <w:cols w:equalWidth="0" w:num="2">
            <w:col w:w="1500" w:space="720"/>
            <w:col w:w="88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name of the Surviving Company of the Merger shall be Navient LLC.</w:t>
      </w:r>
    </w:p>
    <w:p>
      <w:pPr>
        <w:spacing w:after="0" w:line="128" w:lineRule="exact"/>
        <w:rPr>
          <w:sz w:val="20"/>
          <w:szCs w:val="20"/>
          <w:color w:val="auto"/>
        </w:rPr>
      </w:pPr>
    </w:p>
    <w:p>
      <w:pPr>
        <w:sectPr>
          <w:pgSz w:w="11900" w:h="16838" w:orient="portrait"/>
          <w:cols w:equalWidth="0" w:num="2">
            <w:col w:w="1500" w:space="720"/>
            <w:col w:w="88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FOURTH:</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The executed Merger Agreement is on file at an office and place of business of the Surviving Company at 13865 Sunrise Valley Drive, Herndon, Virginia 20171.</w:t>
      </w:r>
    </w:p>
    <w:p>
      <w:pPr>
        <w:spacing w:after="0" w:line="54" w:lineRule="exact"/>
        <w:rPr>
          <w:sz w:val="20"/>
          <w:szCs w:val="20"/>
          <w:color w:val="auto"/>
        </w:rPr>
      </w:pPr>
    </w:p>
    <w:p>
      <w:pPr>
        <w:sectPr>
          <w:pgSz w:w="11900" w:h="16838" w:orient="portrait"/>
          <w:cols w:equalWidth="0" w:num="2">
            <w:col w:w="1500" w:space="720"/>
            <w:col w:w="88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FIFTH:</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A copy of the executed Merger Agreement will be furnished by the Surviving Company, on request and without cost, to any stockholder or member of any constituent company of the Merger.</w:t>
      </w:r>
    </w:p>
    <w:p>
      <w:pPr>
        <w:spacing w:after="0" w:line="54" w:lineRule="exact"/>
        <w:rPr>
          <w:sz w:val="20"/>
          <w:szCs w:val="20"/>
          <w:color w:val="auto"/>
        </w:rPr>
      </w:pPr>
    </w:p>
    <w:p>
      <w:pPr>
        <w:sectPr>
          <w:pgSz w:w="11900" w:h="16838" w:orient="portrait"/>
          <w:cols w:equalWidth="0" w:num="2">
            <w:col w:w="1500" w:space="720"/>
            <w:col w:w="880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SIXTH:</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This Certificate of Merger and the Merger contemplated hereby shall become effective at 11:59 pm (Eastern Time) on October 28, 2026.</w:t>
      </w:r>
    </w:p>
    <w:p>
      <w:pPr>
        <w:spacing w:after="0" w:line="162" w:lineRule="exact"/>
        <w:rPr>
          <w:sz w:val="20"/>
          <w:szCs w:val="20"/>
          <w:color w:val="auto"/>
        </w:rPr>
      </w:pPr>
    </w:p>
    <w:p>
      <w:pPr>
        <w:sectPr>
          <w:pgSz w:w="11900" w:h="16838" w:orient="portrait"/>
          <w:cols w:equalWidth="0" w:num="2">
            <w:col w:w="1500" w:space="720"/>
            <w:col w:w="8800"/>
          </w:cols>
          <w:pgMar w:left="440" w:top="117"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Relay Merger Sub LLC has caused this Certificate of Merger to be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RELAY MERGER SUB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Bramson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Bramson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bl>
    <w:p>
      <w:pPr>
        <w:sectPr>
          <w:pgSz w:w="11900" w:h="16838" w:orient="portrait"/>
          <w:cols w:equalWidth="0" w:num="1">
            <w:col w:w="10580"/>
          </w:cols>
          <w:pgMar w:left="880" w:top="266"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LLC</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Amended and Restated Limited Liability Company Agreement of Navient LLC, a Delaware limited liability company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as of October 28, 2026 (as amended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Navient Holdings,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as member of the Company (in its capacity as the sole member of the Company, the “</w:t>
      </w:r>
      <w:r>
        <w:rPr>
          <w:rFonts w:ascii="Times New Roman" w:cs="Times New Roman" w:eastAsia="Times New Roman" w:hAnsi="Times New Roman"/>
          <w:sz w:val="18"/>
          <w:szCs w:val="18"/>
          <w:u w:val="single" w:color="auto"/>
          <w:color w:val="auto"/>
        </w:rPr>
        <w:t>Initial Member</w:t>
      </w:r>
      <w:r>
        <w:rPr>
          <w:rFonts w:ascii="Times New Roman" w:cs="Times New Roman" w:eastAsia="Times New Roman" w:hAnsi="Times New Roman"/>
          <w:sz w:val="18"/>
          <w:szCs w:val="18"/>
          <w:color w:val="auto"/>
        </w:rPr>
        <w:t>” and, together with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becoming a member of the Company, the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Company was formed under the name “Relay Merger Sub LLC” as a limited liability company pursuant to and in accordance with the Delaware Limited Liability Company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 18-101,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is currently governed by that certain Limited Liability Company Agreement of the Company, dated as of September 14, 2026 (the “</w:t>
      </w:r>
      <w:r>
        <w:rPr>
          <w:rFonts w:ascii="Times New Roman" w:cs="Times New Roman" w:eastAsia="Times New Roman" w:hAnsi="Times New Roman"/>
          <w:sz w:val="18"/>
          <w:szCs w:val="18"/>
          <w:u w:val="single" w:color="auto"/>
          <w:color w:val="auto"/>
        </w:rPr>
        <w:t>Initial LLC Agreement</w:t>
      </w:r>
      <w:r>
        <w:rPr>
          <w:rFonts w:ascii="Times New Roman" w:cs="Times New Roman" w:eastAsia="Times New Roman" w:hAnsi="Times New Roman"/>
          <w:sz w:val="18"/>
          <w:szCs w:val="18"/>
          <w:color w:val="auto"/>
        </w:rPr>
        <w:t>”), executed by the Initial Member;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Initial Member is, and at all times has been, the sole Member of the Company;</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is, and at all times prior hereto has been, treated as an entity disregarded as separate from the Initial Member for U.S. federal income tax purposes, and the Company and the Initial Member agree to consistently treat and report the Company as such for all accounting, financial, tax and other corporate and legal purposes, where applicable;</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WHEREAS, on the date hereof, Navient Corporation,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merged with and into the Company, with the Company surviving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Section 18-209 of the Act and Sections 251(g) and 264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by causing the filing with the Secretary of State of the State of Delaware of a Certificate of Merger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was formed for the purpose of participating in the Merger, and prior to the Merger, did not own any assets and did not take any actions other than those necessary or advisable to effect the transactions contemplated by the Merger immediately prior to the contemplation of such transactions; and</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WHEREAS, as of the effective time of the Merger, pursuant to that certain Agreement and Plan of Merger, dated as of the date hereof, by and among the Company, the Initial Member and Pubco, among other things, (i) all of the limited liability company interests in the Company issued and outstanding immediately prior to the Merger remained outstanding, (ii) the Initial Member continued as the sole member of the Company, and (iii) this Agreement became effective and amends and restates in its entirety the Initial LLC Agreement.</w:t>
      </w:r>
    </w:p>
    <w:p>
      <w:pPr>
        <w:sectPr>
          <w:pgSz w:w="11900" w:h="16838" w:orient="portrait"/>
          <w:cols w:equalWidth="0" w:num="1">
            <w:col w:w="11020"/>
          </w:cols>
          <w:pgMar w:left="440" w:top="117" w:right="439" w:bottom="1440" w:gutter="0" w:footer="0" w:header="0"/>
        </w:sectPr>
      </w:pPr>
    </w:p>
    <w:bookmarkStart w:id="12" w:name="page13"/>
    <w:bookmarkEnd w:id="12"/>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agreements and obligations set forth herein and for other good and valuable consideration, the receipt and sufficiency of which are hereby acknowledged, the Initial LLC Agreement is hereby amended and restated in its entirety as follows:</w:t>
      </w:r>
    </w:p>
    <w:p>
      <w:pPr>
        <w:spacing w:after="0" w:line="28" w:lineRule="exact"/>
        <w:rPr>
          <w:sz w:val="20"/>
          <w:szCs w:val="20"/>
          <w:color w:val="auto"/>
        </w:rPr>
      </w:pPr>
    </w:p>
    <w:p>
      <w:pPr>
        <w:ind w:right="240" w:firstLine="987"/>
        <w:spacing w:after="0" w:line="286"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limited liability company is Navient LLC. The Company is to have a perpetual existence until it is dissolved,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wound up and terminated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this Agreement.</w:t>
      </w:r>
    </w:p>
    <w:p>
      <w:pPr>
        <w:spacing w:after="0" w:line="154" w:lineRule="exact"/>
        <w:rPr>
          <w:rFonts w:ascii="Times New Roman" w:cs="Times New Roman" w:eastAsia="Times New Roman" w:hAnsi="Times New Roman"/>
          <w:sz w:val="18"/>
          <w:szCs w:val="18"/>
          <w:color w:val="auto"/>
        </w:rPr>
      </w:pPr>
    </w:p>
    <w:p>
      <w:pPr>
        <w:ind w:right="240" w:firstLine="987"/>
        <w:spacing w:after="0" w:line="282" w:lineRule="auto"/>
        <w:tabs>
          <w:tab w:leader="none" w:pos="117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Laura-Jayne Urso, as an “authorized person” within the meaning of the Act, has executed, delivered and filed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of Formation of the Company with the Secretary of State of the State of Delaware (such filing being hereby approved and ratified in all respects) and Edward Bramson, as an “authorized person” within the meaning of the Act, has executed, delivered and filed on behalf of the Company the Certificate of Merger with the Secretary of State of the State of Delaware (such filing being hereby approved and ratified in all respects).</w:t>
      </w:r>
    </w:p>
    <w:p>
      <w:pPr>
        <w:spacing w:after="0" w:line="161" w:lineRule="exact"/>
        <w:rPr>
          <w:rFonts w:ascii="Times New Roman" w:cs="Times New Roman" w:eastAsia="Times New Roman" w:hAnsi="Times New Roman"/>
          <w:sz w:val="17"/>
          <w:szCs w:val="17"/>
          <w:color w:val="auto"/>
        </w:rPr>
      </w:pPr>
    </w:p>
    <w:p>
      <w:pPr>
        <w:ind w:right="20" w:firstLine="987"/>
        <w:spacing w:after="0" w:line="259"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Authorized Limited Liability Company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authorized to issue one hundred (100) units of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interest, all of which shall be of one class and shall be designated as “Common Units,” and all of which shall be issued to the Initial Member. Common Units shall for all purposes be personal property. The Common Units shall be uncertificated. The authorized number of Common Units may be increased or decreased (but not below the number of Common Units thereof then outstanding) by the affirmative vote of Members holding a majority of the voting power of the Common Units that pursuant to this Agreement are entitled to vote thereon.</w:t>
      </w:r>
    </w:p>
    <w:p>
      <w:pPr>
        <w:spacing w:after="0" w:line="179" w:lineRule="exact"/>
        <w:rPr>
          <w:rFonts w:ascii="Times New Roman" w:cs="Times New Roman" w:eastAsia="Times New Roman" w:hAnsi="Times New Roman"/>
          <w:sz w:val="18"/>
          <w:szCs w:val="18"/>
          <w:color w:val="auto"/>
        </w:rPr>
      </w:pPr>
    </w:p>
    <w:p>
      <w:pPr>
        <w:ind w:firstLine="987"/>
        <w:spacing w:after="0" w:line="286"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nature of the business or purposes to be conducted or promoted is to engage in any lawful act or activity for which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companies may be organized under the Act.</w:t>
      </w:r>
    </w:p>
    <w:p>
      <w:pPr>
        <w:spacing w:after="0" w:line="154" w:lineRule="exact"/>
        <w:rPr>
          <w:rFonts w:ascii="Times New Roman" w:cs="Times New Roman" w:eastAsia="Times New Roman" w:hAnsi="Times New Roman"/>
          <w:sz w:val="18"/>
          <w:szCs w:val="18"/>
          <w:color w:val="auto"/>
        </w:rPr>
      </w:pPr>
    </w:p>
    <w:p>
      <w:pPr>
        <w:ind w:right="120" w:firstLine="987"/>
        <w:spacing w:after="0" w:line="268"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Registered Agent and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Company’s registered office in the State of Delaware is 2711 Centerville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Suite 400, County of New Castle, Wilmington, Delaware 19808. The name of its registered agent at such address is Corporation Service Company.</w:t>
      </w:r>
    </w:p>
    <w:p>
      <w:pPr>
        <w:spacing w:after="0" w:line="170"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Members; Member Meetings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Initial Member hereby continues as the sole Member of the Company. The name of each Member and the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Common Units owned by such Member shall be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list of Members and the number of Common Units shall be adjusted from time to time by the Board as additional Units are issued, additional Members are admitted to the Company or Members cease to be members of the Company. Notwithstanding any other provision of this Agreement, including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from time to time the Board shall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reflect any changes in the number of Common Units owned by a Member, the admission of new Members or Members ceasing to be members of the Company, without the consent of any other person. As of the date of this Agreement, the Initial Member is the sole Member of the Company.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Members may act by written consent in lieu of a meeting.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3" w:name="page14"/>
    <w:bookmarkEnd w:id="13"/>
    <w:p>
      <w:pPr>
        <w:ind w:left="1160" w:hanging="173"/>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Distributions shall be made to the Members in accordance with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For the avoidance of doubt, the stockholders of the Member, in their capacity as such, shall have no right to any distributions from the Company under this Agreement, as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Common Units shall be entitled to receive such dividends and distributions and other distributions in cash, Common Units or property of the Company when, as and if declared thereon by the Board from time to time out of assets or funds of the Company legally available therefor.</w:t>
      </w:r>
    </w:p>
    <w:p>
      <w:pPr>
        <w:spacing w:after="0" w:line="175" w:lineRule="exact"/>
        <w:rPr>
          <w:rFonts w:ascii="Times New Roman" w:cs="Times New Roman" w:eastAsia="Times New Roman" w:hAnsi="Times New Roman"/>
          <w:sz w:val="18"/>
          <w:szCs w:val="18"/>
          <w:color w:val="auto"/>
        </w:rPr>
      </w:pPr>
    </w:p>
    <w:p>
      <w:pPr>
        <w:ind w:right="40" w:firstLine="1428"/>
        <w:spacing w:after="0" w:line="261" w:lineRule="auto"/>
        <w:tabs>
          <w:tab w:leader="none" w:pos="167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Common Units shall be entitled to receive the assets and funds of the Company available for distribution in the event of any liquidation, dissolution or winding up of the affairs of the Company, whether voluntary or involuntary. A liquidation, dissolution or winding up of the affairs of the Company, as such terms are used in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shall not be deemed to be occasioned by or to include any consolidation or merger of the Company with or into any other person or a sale, lease, exchange or conveyance of all or a part of its assets</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60" w:firstLine="1428"/>
        <w:spacing w:after="0" w:line="255" w:lineRule="auto"/>
        <w:tabs>
          <w:tab w:leader="none" w:pos="167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business and affairs of the Company shall be managed by or under the direction of its board of directors (the “Board,” and each member of the Board, a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xml:space="preserve">”). In addition to the powers and authorities by this Agreement expressly conferred upon them, the Board may exercise all such powers of the Company and do all such lawful acts and things as are not by statute or by this Agreement directed or required to be exercised or done by the Members. The Directors need not be Members. The Directors shall be elected by the Members. Each Director shall be a “manager” within the meaning of the Act; provided that, notwithstanding the last sentence of Section 18-402 of the Act, except as provided in this Agreement or in a resolution of the Directors, a Director may not bind the Company. The initial Directors of the Company are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The number of Directors of the Company shall be fixed from time to time by resolution of the Board 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w:t>
      </w:r>
    </w:p>
    <w:p>
      <w:pPr>
        <w:spacing w:after="0" w:line="206" w:lineRule="exact"/>
        <w:rPr>
          <w:rFonts w:ascii="Times New Roman" w:cs="Times New Roman" w:eastAsia="Times New Roman" w:hAnsi="Times New Roman"/>
          <w:sz w:val="18"/>
          <w:szCs w:val="18"/>
          <w:color w:val="auto"/>
        </w:rPr>
      </w:pPr>
    </w:p>
    <w:p>
      <w:pPr>
        <w:ind w:right="220" w:firstLine="1428"/>
        <w:spacing w:after="0" w:line="282" w:lineRule="auto"/>
        <w:tabs>
          <w:tab w:leader="none" w:pos="167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Directors</w:t>
      </w:r>
      <w:r>
        <w:rPr>
          <w:rFonts w:ascii="Times New Roman" w:cs="Times New Roman" w:eastAsia="Times New Roman" w:hAnsi="Times New Roman"/>
          <w:sz w:val="18"/>
          <w:szCs w:val="18"/>
          <w:color w:val="auto"/>
        </w:rPr>
        <w:t>. Each Director shall serve until election and qualification of his or her successor, subject to his or her earlier death, disqualification, resignation or removal.</w:t>
      </w:r>
    </w:p>
    <w:p>
      <w:pPr>
        <w:spacing w:after="0" w:line="161" w:lineRule="exact"/>
        <w:rPr>
          <w:rFonts w:ascii="Times New Roman" w:cs="Times New Roman" w:eastAsia="Times New Roman" w:hAnsi="Times New Roman"/>
          <w:sz w:val="18"/>
          <w:szCs w:val="18"/>
          <w:color w:val="auto"/>
        </w:rPr>
      </w:pPr>
    </w:p>
    <w:p>
      <w:pPr>
        <w:ind w:right="300" w:firstLine="1428"/>
        <w:spacing w:after="0" w:line="282" w:lineRule="auto"/>
        <w:tabs>
          <w:tab w:leader="none" w:pos="168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 Director may be removed from office at any time, with or without cause, by the affirmative vote of the Members holding at least a majority in voting power of the Common Units of the Company entitled to vote thereon.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4" w:name="page15"/>
    <w:bookmarkEnd w:id="14"/>
    <w:p>
      <w:pPr>
        <w:ind w:right="80" w:firstLine="1428"/>
        <w:spacing w:after="0" w:line="261" w:lineRule="auto"/>
        <w:tabs>
          <w:tab w:leader="none" w:pos="167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Vacancies</w:t>
      </w:r>
      <w:r>
        <w:rPr>
          <w:rFonts w:ascii="Times New Roman" w:cs="Times New Roman" w:eastAsia="Times New Roman" w:hAnsi="Times New Roman"/>
          <w:sz w:val="18"/>
          <w:szCs w:val="18"/>
          <w:color w:val="auto"/>
        </w:rPr>
        <w:t>. Any newly created Directorship that results from an increase in the number of Directors or any vacancy on the Board that results from the death, disability, resignation, disqualification or removal of any Director or from any other cause shall be filled solely by the Members. Any Director elected to fill a vacancy not resulting from an increase in the number of Directors shall hold office for the remaining term of his or her predecessor.</w:t>
      </w:r>
    </w:p>
    <w:p>
      <w:pPr>
        <w:spacing w:after="0" w:line="179" w:lineRule="exact"/>
        <w:rPr>
          <w:rFonts w:ascii="Times New Roman" w:cs="Times New Roman" w:eastAsia="Times New Roman" w:hAnsi="Times New Roman"/>
          <w:sz w:val="18"/>
          <w:szCs w:val="18"/>
          <w:color w:val="auto"/>
        </w:rPr>
      </w:pPr>
    </w:p>
    <w:p>
      <w:pPr>
        <w:ind w:right="120" w:firstLine="1428"/>
        <w:spacing w:after="0" w:line="266" w:lineRule="auto"/>
        <w:tabs>
          <w:tab w:leader="none" w:pos="165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by delivering a resignation in writing or by electronic transmission to the Company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7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Meetings of the Board of Directors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Generally</w:t>
      </w:r>
      <w:r>
        <w:rPr>
          <w:rFonts w:ascii="Times New Roman" w:cs="Times New Roman" w:eastAsia="Times New Roman" w:hAnsi="Times New Roman"/>
          <w:sz w:val="18"/>
          <w:szCs w:val="18"/>
          <w:color w:val="auto"/>
        </w:rPr>
        <w:t>. The Directors may hold their meetings and have one or more offices, and keep the books of the Company outside of the State of Delaware.</w:t>
      </w:r>
    </w:p>
    <w:p>
      <w:pPr>
        <w:spacing w:after="0" w:line="161"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may be held without notice at such time and place as shall be determined from time to time by the Board; provided that any Director who is absent when such a determination is made shall be given notice of the determination prior to such regular meeting. A regular meeting of the Board may be held without notice immediately after and at the same place, if any, as the annual meeting of Members.</w:t>
      </w:r>
    </w:p>
    <w:p>
      <w:pPr>
        <w:spacing w:after="0" w:line="179" w:lineRule="exact"/>
        <w:rPr>
          <w:rFonts w:ascii="Times New Roman" w:cs="Times New Roman" w:eastAsia="Times New Roman" w:hAnsi="Times New Roman"/>
          <w:sz w:val="18"/>
          <w:szCs w:val="18"/>
          <w:color w:val="auto"/>
        </w:rPr>
      </w:pPr>
    </w:p>
    <w:p>
      <w:pPr>
        <w:jc w:val="both"/>
        <w:ind w:right="500" w:firstLine="1428"/>
        <w:spacing w:after="0" w:line="312" w:lineRule="auto"/>
        <w:tabs>
          <w:tab w:leader="none" w:pos="1677"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 xml:space="preserve"> Special meetings of the Board may be held at any time and place, if any, designated in a call by the Chief Executive Officer, the President, a majority of Directors then in office, or by one Director in the event that there is only a single Director in office.</w:t>
      </w:r>
    </w:p>
    <w:p>
      <w:pPr>
        <w:spacing w:after="0" w:line="139" w:lineRule="exact"/>
        <w:rPr>
          <w:rFonts w:ascii="Times New Roman" w:cs="Times New Roman" w:eastAsia="Times New Roman" w:hAnsi="Times New Roman"/>
          <w:sz w:val="17"/>
          <w:szCs w:val="17"/>
          <w:color w:val="auto"/>
        </w:rPr>
      </w:pPr>
    </w:p>
    <w:p>
      <w:pPr>
        <w:ind w:right="80" w:firstLine="1428"/>
        <w:spacing w:after="0" w:line="266" w:lineRule="auto"/>
        <w:tabs>
          <w:tab w:leader="none" w:pos="168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all meetings of the Board, a majority of the Directors shall constitute a quorum. If at any meeting of the Board there shall be less than a quorum, a majority of the Directors present may adjourn the meeting from time to time without further notice other than announcement at the meeting, until a quorum shall be present.</w:t>
      </w:r>
    </w:p>
    <w:p>
      <w:pPr>
        <w:spacing w:after="0" w:line="175"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Notice of the date, place and time of any special meeting of the Board shall be given to each Director by the Secretary or by the officer or one of the Directors calling the meeting. Notice shall be duly given to each Director (a) in person or by telephone at least twenty-four (24) hours in advance of the meeting, (b) by sending written notice by reputable overnight courier, e-mail or other means of electronic transmission, or delivering written notice by hand, to such Director’s last known business, home or means of electronic transmission address at least forty-eight (48) hours in advance of the meeting, or (c) by sending written notice by first-class mail to such Director’s last known business or home address at least seventy-two (72) hours in advance of the meeting. A notice or waiver of notice of a meeting of the Board need not specify the purposes of the meeting.</w:t>
      </w:r>
    </w:p>
    <w:p>
      <w:pPr>
        <w:spacing w:after="0" w:line="188" w:lineRule="exact"/>
        <w:rPr>
          <w:rFonts w:ascii="Times New Roman" w:cs="Times New Roman" w:eastAsia="Times New Roman" w:hAnsi="Times New Roman"/>
          <w:sz w:val="18"/>
          <w:szCs w:val="18"/>
          <w:color w:val="auto"/>
        </w:rPr>
      </w:pPr>
    </w:p>
    <w:p>
      <w:pPr>
        <w:ind w:right="80" w:firstLine="1428"/>
        <w:spacing w:after="0" w:line="266" w:lineRule="auto"/>
        <w:tabs>
          <w:tab w:leader="none" w:pos="16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by Conference Communications Equipment</w:t>
      </w:r>
      <w:r>
        <w:rPr>
          <w:rFonts w:ascii="Times New Roman" w:cs="Times New Roman" w:eastAsia="Times New Roman" w:hAnsi="Times New Roman"/>
          <w:sz w:val="18"/>
          <w:szCs w:val="18"/>
          <w:color w:val="auto"/>
        </w:rPr>
        <w:t>. Directors may participate in meetings of the Board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5" w:name="page16"/>
    <w:bookmarkEnd w:id="15"/>
    <w:p>
      <w:pPr>
        <w:ind w:left="-20" w:right="200" w:firstLine="1428"/>
        <w:spacing w:after="0" w:line="282" w:lineRule="auto"/>
        <w:tabs>
          <w:tab w:leader="none" w:pos="16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at Meeting</w:t>
      </w:r>
      <w:r>
        <w:rPr>
          <w:rFonts w:ascii="Times New Roman" w:cs="Times New Roman" w:eastAsia="Times New Roman" w:hAnsi="Times New Roman"/>
          <w:sz w:val="18"/>
          <w:szCs w:val="18"/>
          <w:color w:val="auto"/>
        </w:rPr>
        <w:t>. Every act or decision done or made by a majority of the Directors present at a meeting duly held at which a quorum is present shall be regarded as the act of the Board, unless a greater number is required by law.</w:t>
      </w:r>
    </w:p>
    <w:p>
      <w:pPr>
        <w:spacing w:after="0" w:line="161" w:lineRule="exact"/>
        <w:rPr>
          <w:rFonts w:ascii="Times New Roman" w:cs="Times New Roman" w:eastAsia="Times New Roman" w:hAnsi="Times New Roman"/>
          <w:sz w:val="18"/>
          <w:szCs w:val="18"/>
          <w:color w:val="auto"/>
        </w:rPr>
      </w:pPr>
    </w:p>
    <w:p>
      <w:pPr>
        <w:ind w:left="-20" w:firstLine="1428"/>
        <w:spacing w:after="0" w:line="266" w:lineRule="auto"/>
        <w:tabs>
          <w:tab w:leader="none" w:pos="16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or of any committee thereof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or committee thereof.</w:t>
      </w:r>
    </w:p>
    <w:p>
      <w:pPr>
        <w:spacing w:after="0" w:line="175" w:lineRule="exact"/>
        <w:rPr>
          <w:rFonts w:ascii="Times New Roman" w:cs="Times New Roman" w:eastAsia="Times New Roman" w:hAnsi="Times New Roman"/>
          <w:sz w:val="18"/>
          <w:szCs w:val="18"/>
          <w:color w:val="auto"/>
        </w:rPr>
      </w:pPr>
    </w:p>
    <w:p>
      <w:pPr>
        <w:ind w:left="-20" w:right="140" w:firstLine="1428"/>
        <w:spacing w:after="0" w:line="258" w:lineRule="auto"/>
        <w:tabs>
          <w:tab w:leader="none" w:pos="162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Board may designate one or more committees, each committee to consist of one or more of the Directors of the Company with such lawfully delegable powers and duties as the Board thereby confers, to serve at the pleasure of the Board. Any such committee, to the extent provided in the resolution of the Board and subject to the provisions of law, shall have and may exercise all the powers and authority of the Board in the management of the business and affairs of the Company and may authorize the seal of the Company to be affixed to all papers which may require it.</w:t>
      </w:r>
    </w:p>
    <w:p>
      <w:pPr>
        <w:spacing w:after="0" w:line="183" w:lineRule="exact"/>
        <w:rPr>
          <w:rFonts w:ascii="Times New Roman" w:cs="Times New Roman" w:eastAsia="Times New Roman" w:hAnsi="Times New Roman"/>
          <w:sz w:val="18"/>
          <w:szCs w:val="18"/>
          <w:color w:val="auto"/>
        </w:rPr>
      </w:pPr>
    </w:p>
    <w:p>
      <w:pPr>
        <w:ind w:left="-20" w:right="20" w:firstLine="1428"/>
        <w:spacing w:after="0" w:line="312" w:lineRule="auto"/>
        <w:tabs>
          <w:tab w:leader="none" w:pos="1627"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The Board shall designate the Audit Committee of the Initial Member as the Audit Committee of the Company with such lawfully delegable powers and duties as the Board of the Initial Member shall designate to the Audit Committee of the Initial Member.</w:t>
      </w:r>
    </w:p>
    <w:p>
      <w:pPr>
        <w:spacing w:after="0" w:line="135" w:lineRule="exact"/>
        <w:rPr>
          <w:rFonts w:ascii="Times New Roman" w:cs="Times New Roman" w:eastAsia="Times New Roman" w:hAnsi="Times New Roman"/>
          <w:sz w:val="17"/>
          <w:szCs w:val="17"/>
          <w:color w:val="auto"/>
        </w:rPr>
      </w:pPr>
    </w:p>
    <w:p>
      <w:pPr>
        <w:ind w:left="1240" w:hanging="27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20" w:right="80" w:firstLine="1428"/>
        <w:spacing w:after="0" w:line="255" w:lineRule="auto"/>
        <w:tabs>
          <w:tab w:leader="none" w:pos="16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officers of the Company shall be chosen by the Board and shall include a president, a vice president and a secretary. The Company may also have at the discretion of the Board such other officers as are desired, including a chairman of the Board, additional vice presidents, one or more assistant secretaries, a treasurer, one or more assistant treasurers, and such other officers as may be appointed in accordance with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In the event there are two or more vice presidents, then one or more may be designated as executive vice president, senior vice president, vice president marketing, or other similar or dissimilar title. Any number of offices may be held by the same person, unless this Agreement provides otherwise. The officers of the Company immediately prior to the Merger hereby continue as officers of the Company and are set forth on Schedule 2.</w:t>
      </w:r>
    </w:p>
    <w:p>
      <w:pPr>
        <w:spacing w:after="0" w:line="188" w:lineRule="exact"/>
        <w:rPr>
          <w:rFonts w:ascii="Times New Roman" w:cs="Times New Roman" w:eastAsia="Times New Roman" w:hAnsi="Times New Roman"/>
          <w:sz w:val="18"/>
          <w:szCs w:val="18"/>
          <w:color w:val="auto"/>
        </w:rPr>
      </w:pPr>
    </w:p>
    <w:p>
      <w:pPr>
        <w:ind w:left="-20" w:right="60" w:firstLine="1428"/>
        <w:spacing w:after="0" w:line="282" w:lineRule="auto"/>
        <w:tabs>
          <w:tab w:leader="none" w:pos="16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such other officers and agents, as it shall deem necessary, who shall hold their offices for such terms and shall exercise such powers and perform such duties as shall be determined from time to time by the Board.</w:t>
      </w:r>
    </w:p>
    <w:p>
      <w:pPr>
        <w:spacing w:after="0" w:line="161" w:lineRule="exact"/>
        <w:rPr>
          <w:rFonts w:ascii="Times New Roman" w:cs="Times New Roman" w:eastAsia="Times New Roman" w:hAnsi="Times New Roman"/>
          <w:sz w:val="18"/>
          <w:szCs w:val="18"/>
          <w:color w:val="auto"/>
        </w:rPr>
      </w:pPr>
    </w:p>
    <w:p>
      <w:pPr>
        <w:jc w:val="both"/>
        <w:ind w:left="-20" w:right="180" w:firstLine="1428"/>
        <w:spacing w:after="0" w:line="266" w:lineRule="auto"/>
        <w:tabs>
          <w:tab w:leader="none" w:pos="16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Company shall hold office until their successors are chosen and qualify in their stead. Any officer elected or appointed by the Board may be removed at any time, either with or without cause, by the Board. If the office of any officer or officers becomes vacant for any reason, the vacancy may be filled by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6" w:name="page17"/>
    <w:bookmarkEnd w:id="16"/>
    <w:p>
      <w:pPr>
        <w:ind w:left="-20" w:right="40" w:firstLine="987"/>
        <w:spacing w:after="0" w:line="254" w:lineRule="auto"/>
        <w:tabs>
          <w:tab w:leader="none" w:pos="12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Exculpation and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law, a Director of the Company shall not be personally liable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its Members for monetary damages for breach of fiduciary duty as a Director, except for liability (i) for any breach of the Director’s duty of loyalty to the Company or its Members, (ii) for acts or omissions not in good faith or which involve intentional misconduct or a knowing violation of law, (iii) under Sections 18-607 and 18-804 of the Act (which are the functional equivalent, for a Delaware limited liability company, of Section 174 of the DGCL applicable to directors of a Delaware corporation), as the same exist or hereafter may be amended, or (iv) for any transaction from which the Director derived an improper personal benefit. If the DGCL hereafter is amended to authorize the further elimination or limitation of the liability of Directors of a Delaware corporation, then the liability of a Director shall be eliminated or limited to the fullest extent permitted by the amended DGCL. In addition to the limitation on personal liability of Directors provided herein, the Company shall, to the fullest extent permitted by the DGCL as if the Company were organized as a Delaware corporation: (x) indemnify its officers and Directors and (y) advance expenses incurred by such officers or Directors in relation to any action, suit or proceeding.</w:t>
      </w:r>
    </w:p>
    <w:p>
      <w:pPr>
        <w:spacing w:after="0" w:line="81" w:lineRule="exact"/>
        <w:rPr>
          <w:rFonts w:ascii="Times New Roman" w:cs="Times New Roman" w:eastAsia="Times New Roman" w:hAnsi="Times New Roman"/>
          <w:sz w:val="18"/>
          <w:szCs w:val="18"/>
          <w:color w:val="auto"/>
        </w:rPr>
      </w:pPr>
    </w:p>
    <w:p>
      <w:pPr>
        <w:ind w:left="1400" w:right="20" w:firstLine="871"/>
        <w:spacing w:after="0" w:line="254" w:lineRule="auto"/>
        <w:tabs>
          <w:tab w:leader="none" w:pos="25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while a Director or officer of the Company is or was serving at the request of the Company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w:t>
      </w:r>
    </w:p>
    <w:p>
      <w:pPr>
        <w:spacing w:after="0" w:line="80" w:lineRule="exact"/>
        <w:rPr>
          <w:rFonts w:ascii="Times New Roman" w:cs="Times New Roman" w:eastAsia="Times New Roman" w:hAnsi="Times New Roman"/>
          <w:sz w:val="18"/>
          <w:szCs w:val="18"/>
          <w:color w:val="auto"/>
        </w:rPr>
      </w:pPr>
    </w:p>
    <w:p>
      <w:pPr>
        <w:ind w:left="1400" w:firstLine="871"/>
        <w:spacing w:after="0" w:line="253" w:lineRule="auto"/>
        <w:tabs>
          <w:tab w:leader="none" w:pos="251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the Company shall indemnify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while a Director or officer of the Company is or was serving at the request of the Company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66" w:right="459" w:bottom="1440" w:gutter="0" w:footer="0" w:header="0"/>
        </w:sectPr>
      </w:pPr>
    </w:p>
    <w:bookmarkStart w:id="17" w:name="page18"/>
    <w:bookmarkEnd w:id="17"/>
    <w:p>
      <w:pPr>
        <w:ind w:left="420" w:right="80" w:firstLine="871"/>
        <w:spacing w:after="0" w:line="258" w:lineRule="auto"/>
        <w:tabs>
          <w:tab w:leader="none" w:pos="15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Expenses, including without limitation attorneys’ fees, incurred by a current or former Director or officer in defending any civil, criminal, administrative or investigative action, suit or proceeding shall be paid by the Company in advance of the final disposition of such action, suit or proceeding upon receipt of an undertaking by or on behalf of such current or former Director or officer to repay such amount if it shall ultimately be determined that such person is not entitled to be indemnified by the Company as authorized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20" w:firstLine="871"/>
        <w:spacing w:after="0" w:line="256" w:lineRule="auto"/>
        <w:tabs>
          <w:tab w:leader="none" w:pos="15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indemnification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(unless ordered by a court) shall be made by the Company only as authorized in the specific case upon a determination that indemnification of the Director or officer is proper in the circumstances because such person has met the applicable standard of conduct. Such determination shall be made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Members.</w:t>
      </w:r>
    </w:p>
    <w:p>
      <w:pPr>
        <w:spacing w:after="0" w:line="79" w:lineRule="exact"/>
        <w:rPr>
          <w:rFonts w:ascii="Times New Roman" w:cs="Times New Roman" w:eastAsia="Times New Roman" w:hAnsi="Times New Roman"/>
          <w:sz w:val="18"/>
          <w:szCs w:val="18"/>
          <w:color w:val="auto"/>
        </w:rPr>
      </w:pPr>
    </w:p>
    <w:p>
      <w:pPr>
        <w:ind w:left="420" w:right="120" w:firstLine="871"/>
        <w:spacing w:after="0" w:line="256" w:lineRule="auto"/>
        <w:tabs>
          <w:tab w:leader="none" w:pos="15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Company would have the power or the obligation to indemnify such person against such liability under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20" w:right="20" w:firstLine="871"/>
        <w:spacing w:after="0" w:line="255" w:lineRule="auto"/>
        <w:tabs>
          <w:tab w:leader="none" w:pos="15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indemnify, and advance expenses to, a person who is or was a Director or officer of the Company shall be considered a contract between the Company and such person, and no modification or repeal of any provision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affect, to the detriment of such person, such obligations of the Company in connection with a claim based on any act or failure to act occurring before such modification or repeal. The indemnification and advancement of expenses provided by, or granted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80"/>
          </w:cols>
          <w:pgMar w:left="1440" w:top="270" w:right="47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repeal or modification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by the Members of the Company shall be prospective only, and shall not adversely affect 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limitation on the personal liability or right to indemnification or advancement of expenses hereunder existing at the time of such repeal or modification.</w:t>
      </w:r>
    </w:p>
    <w:p>
      <w:pPr>
        <w:spacing w:after="0" w:line="214" w:lineRule="exact"/>
        <w:rPr>
          <w:sz w:val="20"/>
          <w:szCs w:val="20"/>
          <w:color w:val="auto"/>
        </w:rPr>
      </w:pPr>
    </w:p>
    <w:p>
      <w:pPr>
        <w:jc w:val="both"/>
        <w:ind w:right="180" w:firstLine="987"/>
        <w:spacing w:after="0" w:line="268" w:lineRule="auto"/>
        <w:tabs>
          <w:tab w:leader="none" w:pos="12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Separability of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provision of this Agreement shall be considered separable, and if for any reason any provision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herein are determined to be invalid, unenforceable or illegal under any existing or future law, such invalidity, unenforceability or illegality shall not impair the operation of or affect those portions of this Agreement that are valid, enforceable and legal.</w:t>
      </w:r>
    </w:p>
    <w:p>
      <w:pPr>
        <w:spacing w:after="0" w:line="170" w:lineRule="exact"/>
        <w:rPr>
          <w:rFonts w:ascii="Times New Roman" w:cs="Times New Roman" w:eastAsia="Times New Roman" w:hAnsi="Times New Roman"/>
          <w:sz w:val="18"/>
          <w:szCs w:val="18"/>
          <w:color w:val="auto"/>
        </w:rPr>
      </w:pPr>
    </w:p>
    <w:p>
      <w:pPr>
        <w:ind w:right="320" w:firstLine="987"/>
        <w:spacing w:after="0" w:line="286" w:lineRule="auto"/>
        <w:tabs>
          <w:tab w:leader="none" w:pos="12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under, the laws of the State of Delaware (without regard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of laws principles), all rights and remedies being governed by said laws.</w:t>
      </w:r>
    </w:p>
    <w:p>
      <w:pPr>
        <w:spacing w:after="0" w:line="154"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140" w:firstLine="1428"/>
        <w:spacing w:after="0" w:line="258" w:lineRule="auto"/>
        <w:tabs>
          <w:tab w:leader="none" w:pos="16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hereof, the Board reserves the right at any time, and from time to time, to amend, alter, repeal, or rescind any provision contained herein, in the manner now or hereafter prescribed by law, and other provisions authorized by the laws of the State of Delaware at the time in force may be added or inserted, in the manner now or hereafter prescribed by law; and all rights, preferences and privileges of whatsoever nature conferred upon Members, Directors, or any other persons whomsoever by and pursuant to this Agreement in its present form or as hereafter amended are granted subject to this reservation.</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provisions set forth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(provisions as to number, classes and removal of Directors) and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(provision regarding certain limitations on powers of Members) may not be repealed or amended in any respect, and no provision imposing cumulative voting in the election of Directors may be added, unless such action is approved by the affirmative vote of Members holding at least a majority in voting power of the Common Units entitled to vote for the election of Directors thereon.</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251(g) Provisions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right="80" w:firstLine="1428"/>
        <w:spacing w:after="0" w:line="266" w:lineRule="auto"/>
        <w:tabs>
          <w:tab w:leader="none" w:pos="16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Directors</w:t>
      </w:r>
      <w:r>
        <w:rPr>
          <w:rFonts w:ascii="Times New Roman" w:cs="Times New Roman" w:eastAsia="Times New Roman" w:hAnsi="Times New Roman"/>
          <w:sz w:val="18"/>
          <w:szCs w:val="18"/>
          <w:color w:val="auto"/>
        </w:rPr>
        <w:t xml:space="preserve">. Notwithstanding anything herein to the contrary, each Director shall be subject to the same fiduciary duties applicable to directors of a corporation subject to the DGCL, and,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shall be liable for breach of such duties to the same extent as directors of a corporation subject to the DGCL.</w:t>
      </w:r>
    </w:p>
    <w:p>
      <w:pPr>
        <w:spacing w:after="0" w:line="175" w:lineRule="exact"/>
        <w:rPr>
          <w:rFonts w:ascii="Times New Roman" w:cs="Times New Roman" w:eastAsia="Times New Roman" w:hAnsi="Times New Roman"/>
          <w:sz w:val="18"/>
          <w:szCs w:val="18"/>
          <w:color w:val="auto"/>
        </w:rPr>
      </w:pPr>
    </w:p>
    <w:p>
      <w:pPr>
        <w:ind w:right="20" w:firstLine="1428"/>
        <w:spacing w:after="0" w:line="256" w:lineRule="auto"/>
        <w:tabs>
          <w:tab w:leader="none" w:pos="16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Consent</w:t>
      </w:r>
      <w:r>
        <w:rPr>
          <w:rFonts w:ascii="Times New Roman" w:cs="Times New Roman" w:eastAsia="Times New Roman" w:hAnsi="Times New Roman"/>
          <w:sz w:val="18"/>
          <w:szCs w:val="18"/>
          <w:color w:val="auto"/>
        </w:rPr>
        <w:t>. Notwithstanding anything in this Agreement to the contrary, any act or transaction by or involving the Company, other than the election or removal of the Directors, that, if taken by Pubco immediately prior to the effective time of the Merger, would require, for its adoption under the DGCL or under the certificate of incorporation or bylaws of Pubco immediately prior to the effective time of the Merger, the approval of the stockholders of Pubco, shall, pursuant to Section 251(g)(7)(A), require, in addition to approval of the Members as set forth herein, the approval of the stockholders of the Initial Member (or any successor by merger), by the same vote as is required by the DGCL and/or by the certificate of incorporation or bylaws of the Pubco immediately prior to the effective time of the Merger.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19" w:name="page20"/>
    <w:bookmarkEnd w:id="19"/>
    <w:p>
      <w:pPr>
        <w:ind w:right="60" w:firstLine="1428"/>
        <w:spacing w:after="0" w:line="258" w:lineRule="auto"/>
        <w:tabs>
          <w:tab w:leader="none" w:pos="16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Times New Roman" w:cs="Times New Roman" w:eastAsia="Times New Roman" w:hAnsi="Times New Roman"/>
          <w:sz w:val="18"/>
          <w:szCs w:val="18"/>
          <w:color w:val="auto"/>
        </w:rPr>
        <w:t>. Notwithstanding anything herein to the contrary, any amendment to this Agreement which amendment would, if adopted by a corporation subject to the DGCL, be required to be included in the certificate of incorporation of such corporation, shall, pursuant to Section 251(g)(7)(A) of the DGCL, require, in addition to the approval of the Members as set forth herein, the approval of the stockholders of the Initial Member (or any successor by merger), by the same vote as is required by the DGCL and/or by the certificate of incorporation or bylaws of Pubco immediately prior to the effective time of the Merger.</w:t>
      </w:r>
    </w:p>
    <w:p>
      <w:pPr>
        <w:spacing w:after="0" w:line="179"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Dissolution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firstLine="1428"/>
        <w:spacing w:after="0" w:line="261" w:lineRule="auto"/>
        <w:tabs>
          <w:tab w:leader="none" w:pos="16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dissolve and its affairs shall be wound up upon the first to occur of the following: (i) the affirmative vote, at a meeting duly called for such purpose, or by written consent of Members holding a majority of the Units, (ii) at any time there are no members of the Company unless the Company is continued in accordance with the Act, or (iii) the entry of a decree of judicial dissolution of the Company under Section 18-802 of the Act.</w:t>
      </w:r>
    </w:p>
    <w:p>
      <w:pPr>
        <w:spacing w:after="0" w:line="177" w:lineRule="exact"/>
        <w:rPr>
          <w:rFonts w:ascii="Times New Roman" w:cs="Times New Roman" w:eastAsia="Times New Roman" w:hAnsi="Times New Roman"/>
          <w:sz w:val="18"/>
          <w:szCs w:val="18"/>
          <w:color w:val="auto"/>
        </w:rPr>
      </w:pPr>
    </w:p>
    <w:p>
      <w:pPr>
        <w:ind w:right="300" w:firstLine="1428"/>
        <w:spacing w:after="0" w:line="267" w:lineRule="auto"/>
        <w:tabs>
          <w:tab w:leader="none" w:pos="16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set forth in Section 18-304 of the Act (</w:t>
      </w:r>
      <w:r>
        <w:rPr>
          <w:rFonts w:ascii="Times New Roman" w:cs="Times New Roman" w:eastAsia="Times New Roman" w:hAnsi="Times New Roman"/>
          <w:sz w:val="18"/>
          <w:szCs w:val="18"/>
          <w:i w:val="1"/>
          <w:iCs w:val="1"/>
          <w:color w:val="auto"/>
        </w:rPr>
        <w:t>Events of Bankruptcy</w:t>
      </w:r>
      <w:r>
        <w:rPr>
          <w:rFonts w:ascii="Times New Roman" w:cs="Times New Roman" w:eastAsia="Times New Roman" w:hAnsi="Times New Roman"/>
          <w:sz w:val="18"/>
          <w:szCs w:val="18"/>
          <w:color w:val="auto"/>
        </w:rPr>
        <w:t>) with respect to a Member shall not cause such Member to cease to be a member of the Company and, upon the occurrence of such an event, the Company shall continue without dissolution.</w:t>
      </w:r>
    </w:p>
    <w:p>
      <w:pPr>
        <w:spacing w:after="0" w:line="175" w:lineRule="exact"/>
        <w:rPr>
          <w:rFonts w:ascii="Times New Roman" w:cs="Times New Roman" w:eastAsia="Times New Roman" w:hAnsi="Times New Roman"/>
          <w:sz w:val="18"/>
          <w:szCs w:val="18"/>
          <w:color w:val="auto"/>
        </w:rPr>
      </w:pPr>
    </w:p>
    <w:p>
      <w:pPr>
        <w:jc w:val="both"/>
        <w:ind w:right="180" w:firstLine="1428"/>
        <w:spacing w:after="0" w:line="266" w:lineRule="auto"/>
        <w:tabs>
          <w:tab w:leader="none" w:pos="16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the Company shall conduct only such activities as are necessary to wind up its affairs (including the sale of the assets of the Company in an orderly manner), and the assets of the Company shall be applied in the manner, and in the order of priority, set forth in Section 18-804 of the Act.</w:t>
      </w:r>
    </w:p>
    <w:p>
      <w:pPr>
        <w:spacing w:after="0" w:line="171" w:lineRule="exact"/>
        <w:rPr>
          <w:rFonts w:ascii="Times New Roman" w:cs="Times New Roman" w:eastAsia="Times New Roman" w:hAnsi="Times New Roman"/>
          <w:sz w:val="18"/>
          <w:szCs w:val="18"/>
          <w:color w:val="auto"/>
        </w:rPr>
      </w:pPr>
    </w:p>
    <w:p>
      <w:pPr>
        <w:ind w:right="140" w:firstLine="987"/>
        <w:spacing w:after="0" w:line="262"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 Federal Income Tax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of this Agreement, the Company is, and at all times prior hereto has been, treated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entity disregarded as separate from the Member for U.S. federal income tax purposes and each of the Member and the Company shall consistently report and treat the Company as such for all applicable financial, accounting, tax, legal and corporate purposes so long as the Member is the sole Member of the Company.</w:t>
      </w:r>
    </w:p>
    <w:p>
      <w:pPr>
        <w:spacing w:after="0" w:line="176" w:lineRule="exact"/>
        <w:rPr>
          <w:rFonts w:ascii="Times New Roman" w:cs="Times New Roman" w:eastAsia="Times New Roman" w:hAnsi="Times New Roman"/>
          <w:sz w:val="18"/>
          <w:szCs w:val="18"/>
          <w:color w:val="auto"/>
        </w:rPr>
      </w:pPr>
    </w:p>
    <w:p>
      <w:pPr>
        <w:ind w:right="80" w:firstLine="987"/>
        <w:spacing w:after="0" w:line="286"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with the same effect as if all parties hereto had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document. All counterparts shall be construed together and shall constitute one instrument.</w:t>
      </w:r>
    </w:p>
    <w:p>
      <w:pPr>
        <w:spacing w:after="0" w:line="154" w:lineRule="exact"/>
        <w:rPr>
          <w:rFonts w:ascii="Times New Roman" w:cs="Times New Roman" w:eastAsia="Times New Roman" w:hAnsi="Times New Roman"/>
          <w:sz w:val="18"/>
          <w:szCs w:val="18"/>
          <w:color w:val="auto"/>
        </w:rPr>
      </w:pPr>
    </w:p>
    <w:p>
      <w:pPr>
        <w:ind w:right="40" w:firstLine="987"/>
        <w:spacing w:after="0" w:line="257"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Exclusive Forum</w:t>
      </w:r>
      <w:r>
        <w:rPr>
          <w:rFonts w:ascii="Times New Roman" w:cs="Times New Roman" w:eastAsia="Times New Roman" w:hAnsi="Times New Roman"/>
          <w:sz w:val="18"/>
          <w:szCs w:val="18"/>
          <w:color w:val="auto"/>
        </w:rPr>
        <w:t>. Unless the Company consents in writing to the selection of an alternative forum, the Court of Chancery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Delaware shall, to the fullest extent permitted by law, be the sole and exclusive forum for (i) any derivative action or proceeding brought on behalf of the Company, (ii) any action asserting a claim of breach of a fiduciary duty owed by any Director, officer or other employee of the Company to the Company or its Members, (iii) any action arising pursuant to any provision of the Act or the DGCL as applied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of this Agreement, or (iv) any action asserting a claim governed by the internal affairs doctrine. Any person or entity purchasing or otherwise acquiring any interest in Common Units of the Company shall be deemed to have notice of and consented to the provisions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 w:name="page21"/>
    <w:bookmarkEnd w:id="20"/>
    <w:p>
      <w:pPr>
        <w:ind w:left="-240" w:firstLine="987"/>
        <w:spacing w:after="0" w:line="278" w:lineRule="auto"/>
        <w:tabs>
          <w:tab w:leader="none" w:pos="102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 Benefit of Members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expressly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the provisions of this Agreement and the economic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conveyed herein are intended solely to benefit the Members and, to the fullest extent permitted by applicable law, shall not be construed as conferring any benefit upon any creditor of a Member or creditor of the Company (and no such creditor shall be a third-party beneficiary of this Agreement). No Member shall have any duty or obligation to any creditor of the Company or creditor of a Member to make any contributions or payments to the Company nor shall the Board have any duty or obligation to any creditor of the Company or creditor of a Member to issue any call for capital.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680" w:top="266" w:right="679" w:bottom="1440" w:gutter="0" w:footer="0" w:header="0"/>
        </w:sectPr>
      </w:pPr>
    </w:p>
    <w:bookmarkStart w:id="21" w:name="page22"/>
    <w:bookmarkEnd w:id="2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intending to be legally bound hereby, has duly executed this Agreement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SOLE MEMBER:</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Name:Edward Bramson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720"/>
          </w:cols>
          <w:pgMar w:left="440" w:top="270" w:right="7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EDWARD BRAMSON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STEVEN M. HAUBER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TROY T. STANDISH</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MATTHEW PALESE</w:t>
      </w:r>
    </w:p>
    <w:p>
      <w:pPr>
        <w:sectPr>
          <w:pgSz w:w="11900" w:h="16838" w:orient="portrait"/>
          <w:cols w:equalWidth="0" w:num="1">
            <w:col w:w="9019"/>
          </w:cols>
          <w:pgMar w:left="1440" w:top="266" w:right="1440" w:bottom="1440" w:gutter="0" w:footer="0" w:header="0"/>
        </w:sectPr>
      </w:pPr>
    </w:p>
    <w:bookmarkStart w:id="23" w:name="page24"/>
    <w:bookmarkEnd w:id="23"/>
    <w:tbl>
      <w:tblPr>
        <w:tblLayout w:type="fixed"/>
        <w:tblInd w:w="92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60" w:type="dxa"/>
            <w:vAlign w:val="bottom"/>
            <w:gridSpan w:val="6"/>
          </w:tcPr>
          <w:p>
            <w:pPr>
              <w:jc w:val="center"/>
              <w:ind w:right="484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r>
      <w:tr>
        <w:trPr>
          <w:trHeight w:val="30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4840" w:type="dxa"/>
            <w:vAlign w:val="bottom"/>
            <w:gridSpan w:val="3"/>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TITLE</w:t>
            </w:r>
          </w:p>
        </w:tc>
      </w:tr>
      <w:tr>
        <w:trPr>
          <w:trHeight w:val="20"/>
        </w:trPr>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18"/>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EDWARD BRAMSON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06"/>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STEVE M. HAUBER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&amp;</w:t>
            </w:r>
          </w:p>
        </w:tc>
      </w:tr>
      <w:tr>
        <w:trPr>
          <w:trHeight w:val="234"/>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7"/>
              </w:rPr>
              <w:t>TROY T. STANDISH</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9"/>
              </w:rPr>
              <w:t>EXECUTIVE VICE PRESIDENT &amp; CHIEF OPERATING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JUDAH A. HOLLAND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CHIEF TRANSITION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TED A. MORRIS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&amp; CONTROLLER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MATTHEW SHELDON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&amp; GENERAL COUNSEL</w:t>
            </w:r>
          </w:p>
        </w:tc>
      </w:tr>
      <w:tr>
        <w:trPr>
          <w:trHeight w:val="306"/>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ROGER YANKOUPE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TREASURER &amp; INVESTOR</w:t>
            </w:r>
          </w:p>
        </w:tc>
      </w:tr>
      <w:tr>
        <w:trPr>
          <w:trHeight w:val="234"/>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RELATIONS</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DEANNA COLOE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VICE PRESIDENT &amp; CHIEF AUDIT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7"/>
              </w:rPr>
              <w:t>PATTY MCKEOWN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&amp; CHIEF HUMAN RESOURCES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ERIC S. KISS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TAX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STEPHEN TINNEY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RISK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KIM MERRILL</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COMPLIANCE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PATRICK THEURER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&amp; CHIEF INFORMATION OFFICER</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ELIZABETH HAN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SECRETARY</w:t>
            </w:r>
          </w:p>
        </w:tc>
      </w:tr>
      <w:tr>
        <w:trPr>
          <w:trHeight w:val="324"/>
        </w:trPr>
        <w:tc>
          <w:tcPr>
            <w:tcW w:w="24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CAROL LEE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ASSISTANT SECRETARY</w:t>
            </w:r>
          </w:p>
        </w:tc>
      </w:tr>
    </w:tbl>
    <w:p>
      <w:pPr>
        <w:jc w:val="center"/>
        <w:ind w:right="220"/>
        <w:spacing w:after="0"/>
        <w:rPr>
          <w:sz w:val="20"/>
          <w:szCs w:val="20"/>
          <w:color w:val="auto"/>
        </w:rPr>
        <w:sectPr>
          <w:pgSz w:w="11900" w:h="16838" w:orient="portrait"/>
          <w:cols w:equalWidth="0" w:num="1">
            <w:col w:w="9900"/>
          </w:cols>
          <w:pgMar w:left="1440" w:top="257"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4" w:name="page25"/>
    <w:bookmarkEnd w:id="24"/>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40" w:type="dxa"/>
            <w:vAlign w:val="bottom"/>
            <w:gridSpan w:val="4"/>
          </w:tcPr>
          <w:p>
            <w:pPr>
              <w:ind w:left="17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Member Name</w:t>
            </w:r>
          </w:p>
        </w:tc>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Number of Common Units</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Navient Holdings, Inc.</w:t>
            </w:r>
          </w:p>
        </w:tc>
        <w:tc>
          <w:tcPr>
            <w:tcW w:w="17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Common Units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the Successor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SUPPLEMENTAL INDENTURE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28, 2026</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This Ninth Supplemental Indenture, dated as of October 28, 2026 (this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between Navient LLC (the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Bank of New York Mellon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under the Indenture referred to below.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Navient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(successor to Navient, LLC, which was the successor to SLM Corporation, which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to USA Education, Inc.) and the Trustee (successor to The Chase Manhattan Bank) have executed and delivered an indenture, dated as of October 1, 2000 (as amended, supplemented, waived or otherwise modified through the date hereto and hereby,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to provide for the issuance of Securities in Series;</w:t>
      </w:r>
    </w:p>
    <w:p>
      <w:pPr>
        <w:spacing w:after="0" w:line="176" w:lineRule="exact"/>
        <w:rPr>
          <w:sz w:val="20"/>
          <w:szCs w:val="20"/>
          <w:color w:val="auto"/>
        </w:rPr>
      </w:pPr>
    </w:p>
    <w:p>
      <w:pPr>
        <w:ind w:right="5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and the Trustee executed and delivered the eighth supplemental indenture, dated as of October 16, 2014,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 of the Company expressly and unconditionally assuming all of the obligations of Navient, LLC under the Indenture and the Securities;</w:t>
      </w:r>
    </w:p>
    <w:p>
      <w:pPr>
        <w:spacing w:after="0" w:line="132"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effective the date hereof, the Company merged with and into the Successor Company pursuant to an Agreement and Plan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18-209 of the Limited Liability Company Act of the State of Delaware and Section 251 of the General Corporation Law of the State of Delaware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Merger, the separate existence of the Company ceased and the Successor Company continued as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5.01 of the Indenture, the Company may merge into or be merged into any other Person so long as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5.01 are satisfied;</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one of the conditions set forth in Section 5.01 of the Indenture provides that the resulting Person is organized and existing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United States, any State thereof or the District of Columbia, and such Person assumes all of the obligations of the Company under the Indenture and the Securities, including performance of all obligations under the Indenture and payment of all amounts due on the Securities;</w:t>
      </w:r>
    </w:p>
    <w:p>
      <w:pPr>
        <w:spacing w:after="0" w:line="171"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9.01(2) of the Indenture, the Trustee and the Successor Company are authorized to execute and deliver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to amend or supplement the Indenture, without the consent of any Holder, to comply with Article 5 thereto;</w:t>
      </w:r>
    </w:p>
    <w:p>
      <w:pPr>
        <w:spacing w:after="0" w:line="15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(as successor to SLM Corporation) and the Trustee (as successor to J.P. Morgan Chase Bank, National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formerly Chase Manhattan Bank) executed and delivered an officers’ certificate, dated as of December 15, 2003, to provide for the establishment of a series of its Securities under the Indenture known as its “6% Senior Notes due December 15, 2043”;</w:t>
      </w:r>
    </w:p>
    <w:p>
      <w:pPr>
        <w:sectPr>
          <w:pgSz w:w="11900" w:h="16838" w:orient="portrait"/>
          <w:cols w:equalWidth="0" w:num="1">
            <w:col w:w="11020"/>
          </w:cols>
          <w:pgMar w:left="440" w:top="117" w:right="439" w:bottom="1440" w:gutter="0" w:footer="0" w:header="0"/>
        </w:sectPr>
      </w:pPr>
    </w:p>
    <w:bookmarkStart w:id="26" w:name="page27"/>
    <w:bookmarkEnd w:id="26"/>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the Successor Company has requested and hereby requests that the Trustee join in the execution and delivery of this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Successor Company and the Trustee mutually covenant and agree for the equal and ratable benefit of the Holders of the Securities as follows:</w:t>
      </w:r>
    </w:p>
    <w:p>
      <w:pPr>
        <w:spacing w:after="0" w:line="38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 hereto are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as therein defined. The words “herein,” “hereof” and “hereby” and other words of similar import used in this Supplemental Indenture refer to this Supplemental Indenture as a whole and not to any particular section hereof.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Assumption and Substitution</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Assumption</w:t>
      </w:r>
      <w:r>
        <w:rPr>
          <w:rFonts w:ascii="Times New Roman" w:cs="Times New Roman" w:eastAsia="Times New Roman" w:hAnsi="Times New Roman"/>
          <w:sz w:val="18"/>
          <w:szCs w:val="18"/>
          <w:color w:val="auto"/>
        </w:rPr>
        <w:t>. Pursuant to, and in compliance and in accordance with, Section 5.01(a) of the Indenture, the Successor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and unconditionally assumes all of the obligations of the Company under the Indenture and the Securities, including performance of all obligations under the Indenture and payment of all amounts due on the Securities.</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Successor Substituted</w:t>
      </w:r>
      <w:r>
        <w:rPr>
          <w:rFonts w:ascii="Times New Roman" w:cs="Times New Roman" w:eastAsia="Times New Roman" w:hAnsi="Times New Roman"/>
          <w:sz w:val="18"/>
          <w:szCs w:val="18"/>
          <w:color w:val="auto"/>
        </w:rPr>
        <w:t>. In accordance with Section 5.01 of the Indenture, the Successor Company hereby succeeds to, and is substituted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and may exercise every right and power of, the Company under the Indenture and the Securities, with the same effect as if the Successor Company had been an original party to the Indenture.</w:t>
      </w:r>
    </w:p>
    <w:p>
      <w:pPr>
        <w:spacing w:after="0" w:line="3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Nothing expressed or mentioned herein is intended or shall be construed to give any Person, other than the Holders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any legal or equitable right, remedy or claim under or in respect of this Supplemental Indenture or the Indenture or any provision herein or therein contained.</w:t>
      </w:r>
    </w:p>
    <w:p>
      <w:pPr>
        <w:spacing w:after="0" w:line="17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color w:val="auto"/>
        </w:rPr>
        <w:t>. THIS SUPPLEMENTAL INDENTURE SHALL BE DEEMED TO BE A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NEW YORK, AND FOR ALL PURPOSES SHALL BE GOVERNED BY AND CONSTRUED IN ACCORDANCE WITH THE LAWS OF SAID STATE. EACH OF THE PARTIES HERETO HEREBY IRREVOCABLY WAIVES, TO THE FULLEST EXTENT PERMITTED BY LAW, ANY AND ALL RIGHT TO TRIAL BY JURY IN ANY LEGAL PROCEEDING ARISING OUT OF OR RELATING TO THIS SUPPLEMENTAL INDENTURE OR THE TRANSACTIONS CONTEMPLATED HEREBY.</w:t>
      </w:r>
    </w:p>
    <w:p>
      <w:pPr>
        <w:spacing w:after="0" w:line="17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Severability Clause</w:t>
      </w:r>
      <w:r>
        <w:rPr>
          <w:rFonts w:ascii="Times New Roman" w:cs="Times New Roman" w:eastAsia="Times New Roman" w:hAnsi="Times New Roman"/>
          <w:sz w:val="18"/>
          <w:szCs w:val="18"/>
          <w:color w:val="auto"/>
        </w:rPr>
        <w:t>. In case any provision in this Supplemental Indenture shall be invalid, illegal or unenforceable in any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provision shall, as to such jurisdiction, be ineffective to the extent of such invalidity, illegality or unenforceability without affecting the validity, legality and enforceability of the remaining provisions; and the invalidity of a particular provision in a particular jurisdiction shall not invalidate such provision in any other jurisdiction.</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Ratification of Indenture; Supplemental Indentures Part of Indenture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Liability of Trustee</w:t>
      </w:r>
      <w:r>
        <w:rPr>
          <w:rFonts w:ascii="Times New Roman" w:cs="Times New Roman" w:eastAsia="Times New Roman" w:hAnsi="Times New Roman"/>
          <w:sz w:val="18"/>
          <w:szCs w:val="18"/>
          <w:color w:val="auto"/>
        </w:rPr>
        <w:t>. Except as expressly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 The Trustee makes no representation or warranty as to the validity or sufficiency of this Supplemental Indenture or the due execution hereof by the Successor Company. The recitals contained herein shall be taken as the statements solely of the Successor Company, and the Trustee assumes no responsibility for the correctness thereof.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7" w:name="page28"/>
    <w:bookmarkEnd w:id="27"/>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parties hereto may sign one or more copies of this Supplemental Indenture in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original, but all of which when taken together shall constitute one and the same agreement.</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Articles and the sections in this Supplemental Indenture are for convenience of reference only,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this Supplemental Indenture and shall not be deemed to alter or affect the meaning or interpretation of any provisions hereof.</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Successor Company represents and warrants that (a) it has all necessary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this Supplemental Indenture and to perform its obligations under the Indenture and the Securities, (b) it is the successor of the Company pursuant to the Merger effected in accordance with applicable law, (c) it is a limited liability company organized and existing under the laws of Delaware, (d) immediately after the Merger, and giving effect to the Merger, no Event of Default exists and (e) this Supplemental Indenture is executed and delivered pursuant to Section 9.01(2) of the Indenture and does not require the consent of the Securityholders.</w:t>
      </w:r>
    </w:p>
    <w:p>
      <w:pPr>
        <w:spacing w:after="0" w:line="17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Supplemental Indenture is subject to the provisions of the TIA that are required to be part of the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to the extent applicable, be governed by such provisions. If any provision of this Supplemental Indenture limits, qualifies or conflicts with another provision hereof which is required to be included herein by any provisions of the TIA, such required provision shall control.</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440" w:top="266" w:right="599" w:bottom="1440" w:gutter="0" w:footer="0" w:header="0"/>
        </w:sectPr>
      </w:pPr>
    </w:p>
    <w:bookmarkStart w:id="28" w:name="page29"/>
    <w:bookmarkEnd w:id="28"/>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Supplemental Indenture to be duly executed and made effective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 the Successor Company</w:t>
      </w:r>
    </w:p>
    <w:p>
      <w:pPr>
        <w:spacing w:after="0" w:line="205"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Matthew Sheldon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Sheldon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&amp; General Counsel</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Ninth Supplemental Indenture (2000 Indenture)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18" w:lineRule="exact"/>
        <w:rPr>
          <w:sz w:val="20"/>
          <w:szCs w:val="20"/>
          <w:color w:val="auto"/>
        </w:rPr>
      </w:pPr>
    </w:p>
    <w:tbl>
      <w:tblPr>
        <w:tblLayout w:type="fixed"/>
        <w:tblInd w:w="562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Terence Rawlins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Terence Rawlins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Ninth Supplemental Indenture (2000 Indenture)</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the Successor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EIGHTEENTH SUPPLEMENTAL INDENTURE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28, 2026</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This Eighteenth Supplemental Indenture, dated as of October 28, 2026 (this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between Navient LLC (the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Bank of New York Mellon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under the Indenture referred to below.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Navient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Trustee executed and delivered the base indenture, dated as of July 18, 2014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as amended, supplemented, waived or otherwise modified through the date hereto and hereby,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to provide for the issuance of Securities in series;</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eleventh supplemental indenture, dated as of January 27, 2020,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establishment of a series of its Securities under the Base Indenture known as its “5.00% Senior Notes due 2027”;</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twelfth supplemental indenture, dated as of February 2, 2021,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establishment of a series of its Securities under the Base Indenture known as its “4.875% Senior Notes due 2028”;</w:t>
      </w:r>
    </w:p>
    <w:p>
      <w:pPr>
        <w:spacing w:after="0" w:line="15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thirteenth supplemental indenture, dated as of November 4, 2021,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Securities under the Base Indenture known as its “5.500% Senior Notes due 2029”;</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fourteenth supplemental indenture, dated as of May 4, 2023, to provide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establishment of a series of its Securities under the Base Indenture known as its “9.375% Senior Notes due 2030”;</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fifteenth supplemental indenture, dated as of November 3, 2023,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establishment of a series of its Securities under the Base Indenture known as its “11.500% Senior Notes due 2031”;</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sixteenth supplemental indenture, dated as of May 19, 2025, to provide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establishment of a series of its Securities under the Base Indenture known as its “7.875% Senior Notes due 2032”;</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seventeenth supplemental indenture, dated as of May 29, 2026,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establishment of a series of its Securities under the Base Indenture known as its “9.375% Senior Notes due 2031”;</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effective the date hereof, the Company merged with and into the Successor Company pursuant to an Agreement and Plan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18-209 of the Limited Liability Company Act of the State of Delaware and Section 251 of the General Corporation Law of the State of Delaware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1" w:name="page32"/>
    <w:bookmarkEnd w:id="31"/>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as a result of the Merger, the separate existence of the Company ceased and the Successor Company continued as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6.04 of the Indenture, the Company may permit a merger of any other entity into the Company or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be merged into any other entity so long as the conditions set forth in Section 6.04 are satisfied;</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one of the conditions set forth in Section 6.04 of the Indenture provides that the Company shall be the continuing entity,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transferee or lessee entity (if other than the Company) shall be organized and existing under the laws of the United States or any State thereof and expressly assume, by indenture supplemental thereto,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the Indenture or under the Securities to be performed or observed by the Company;</w:t>
      </w:r>
    </w:p>
    <w:p>
      <w:pPr>
        <w:spacing w:after="0" w:line="18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14.01(e) of the Indenture, the Trustee and the Successor Company are authorized to execute and deliver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to amend or supplement the Indenture, without the consent of any Holder, to evidence the succession of another entity to the Company, or successive successions, and the assumption by such successor of the covenants and obligations of the Company contained in the Securities of one or more series and in the Indenture or any supplemental indenture;</w:t>
      </w:r>
    </w:p>
    <w:p>
      <w:pPr>
        <w:spacing w:after="0" w:line="176"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Successor Company has requested and hereby requests that the Trustee join in the execution and delivery of this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the receipt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Successor Company and the Trustee mutually covenant and agree for the equal and ratable benefit of the Holders of the Securities as follows:</w:t>
      </w:r>
    </w:p>
    <w:p>
      <w:pPr>
        <w:spacing w:after="0" w:line="38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 hereto are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as therein defined. The words “herein,” “hereof” and “hereby” and other words of similar import used in this Supplemental Indenture refer to this Supplemental Indenture as a whole and not to any particular section hereof.</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Assumption and Substitution</w:t>
      </w:r>
    </w:p>
    <w:p>
      <w:pPr>
        <w:spacing w:after="0" w:line="22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Assumption</w:t>
      </w:r>
      <w:r>
        <w:rPr>
          <w:rFonts w:ascii="Times New Roman" w:cs="Times New Roman" w:eastAsia="Times New Roman" w:hAnsi="Times New Roman"/>
          <w:sz w:val="18"/>
          <w:szCs w:val="18"/>
          <w:color w:val="auto"/>
        </w:rPr>
        <w:t>. Pursuant to, and in compliance and in accordance with, Section 6.04(a) of the Indenture, the Successor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assumes the due and punctual payment of the principal of and interest and premium, if any, on all the Securities, according to their tenor, and the due and punctual performance and observance of all other obligations to the Holders and the Trustee under the Indenture or under the Securities to be performed or observed by the Company.</w:t>
      </w:r>
    </w:p>
    <w:p>
      <w:pPr>
        <w:spacing w:after="0" w:line="17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Successor Substituted</w:t>
      </w:r>
      <w:r>
        <w:rPr>
          <w:rFonts w:ascii="Times New Roman" w:cs="Times New Roman" w:eastAsia="Times New Roman" w:hAnsi="Times New Roman"/>
          <w:sz w:val="18"/>
          <w:szCs w:val="18"/>
          <w:color w:val="auto"/>
        </w:rPr>
        <w:t>. In accordance with Section 6.04(b) of the Indenture, the Successor Company hereby succeeds to,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substituted for, and may exercise every right and power of, and assumes all obligations and covenants of, the Company under the Indenture and the Securities with the same effect as if such successor entity had been named as the Company therein.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2" w:name="page33"/>
    <w:bookmarkEnd w:id="32"/>
    <w:p>
      <w:pPr>
        <w:ind w:left="4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Nothing expressed or mentioned herein is intended or shall be construed to give any Person, other than the Holders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any legal or equitable right, remedy or claim under or in respect of this Supplemental Indenture or the Indenture or any provision herein or therein contained.</w:t>
      </w:r>
    </w:p>
    <w:p>
      <w:pPr>
        <w:spacing w:after="0" w:line="17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color w:val="auto"/>
        </w:rPr>
        <w:t>. THIS SUPPLEMENTAL INDENTURE SHALL BE DEEMED TO BE A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NEW YORK, AND FOR ALL PURPOSES SHALL BE GOVERNED BY AND CONSTRUED IN ACCORDANCE WITH THE LAWS OF SAID STATE. EACH OF THE PARTIES HERETO HEREBY IRREOVCABLY WAIVES, TO THE FULLEST EXTENT PERMITTED BY LAW, ANY AND ALL RIGHT TO TRIAL BY JURY IN ANY LEGAL PROCEEDING ARISING OUT OF OR RELATING TO THIS SUPPLEMENTAL INDENTURE OR THE TRANSACTIONS CONTEMPLATED HEREBY.</w:t>
      </w:r>
    </w:p>
    <w:p>
      <w:pPr>
        <w:spacing w:after="0" w:line="17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Severability Clause</w:t>
      </w:r>
      <w:r>
        <w:rPr>
          <w:rFonts w:ascii="Times New Roman" w:cs="Times New Roman" w:eastAsia="Times New Roman" w:hAnsi="Times New Roman"/>
          <w:sz w:val="18"/>
          <w:szCs w:val="18"/>
          <w:color w:val="auto"/>
        </w:rPr>
        <w:t>. In case any provision in this Supplemental Indenture shall be invalid, illegal or unenforceable in any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provision shall, as to such jurisdiction, be ineffective to the extent of such invalidity, illegality or unenforceability without affecting the validity, legality and enforceability of the remaining provisions; and the invalidity of a particular provision in a particular jurisdiction shall not invalidate such provision in any other jurisdiction.</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Ratification of Indenture; Supplemental Indentures Part of Indenture; No Liability of Trustee</w:t>
      </w:r>
      <w:r>
        <w:rPr>
          <w:rFonts w:ascii="Times New Roman" w:cs="Times New Roman" w:eastAsia="Times New Roman" w:hAnsi="Times New Roman"/>
          <w:sz w:val="18"/>
          <w:szCs w:val="18"/>
          <w:color w:val="auto"/>
        </w:rPr>
        <w:t>. Except as expressly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 The Trustee makes no representation or warranty as to the validity or sufficiency of this Supplemental Indenture or the due execution hereof by the Successor Company. The recitals contained herein shall be taken as the statements solely of the Successor Company, and the Trustee assumes no responsibility for the correctness thereof.</w:t>
      </w:r>
    </w:p>
    <w:p>
      <w:pPr>
        <w:spacing w:after="0" w:line="18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parties hereto may sign one or more copies of this Supplemental Indenture in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original, but all of which when taken together shall constitute one and the same agreement.</w:t>
      </w:r>
    </w:p>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Articles and the sections in this Supplemental Indenture are for convenience of reference only,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this Supplemental Indenture and shall not be deemed to alter or affect the meaning or interpretation of any provisions hereof.</w:t>
      </w:r>
    </w:p>
    <w:p>
      <w:pPr>
        <w:spacing w:after="0" w:line="15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Successor Company represents and warrants that (a) it has all necessary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this Supplemental Indenture and to perform its obligations under the Indenture and the Securities, (b) it is the successor of the Company pursuant to the Merger effected in accordance with applicable law, (c) it is a limited liability company organized and existing under the laws of Delaware, (d) immediately after the Merger, the Successor Company would not be in Default in the performance of any covenant or condition of the Indenture and (e) this Supplemental Indenture is executed and delivered pursuant to Section 14.01(e) of the Indenture and does not require the consent of the Securityholders.</w:t>
      </w:r>
    </w:p>
    <w:p>
      <w:pPr>
        <w:spacing w:after="0" w:line="18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Supplemental Indenture is subject to the provisions of the TIA that are required to be part of the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to the extent applicable, be governed by such provisions. If any provision of this Supplemental Indenture limits, qualifies or conflicts with another provision hereof which is required to be included herein by any provisions of the TIA, such required provision shall control.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3" w:name="page34"/>
    <w:bookmarkEnd w:id="33"/>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Supplemental Indenture to be duly executed and made effective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NAVIENT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 the Successor Company</w:t>
      </w:r>
    </w:p>
    <w:p>
      <w:pPr>
        <w:spacing w:after="0" w:line="218" w:lineRule="exact"/>
        <w:rPr>
          <w:sz w:val="20"/>
          <w:szCs w:val="20"/>
          <w:color w:val="auto"/>
        </w:rPr>
      </w:pPr>
    </w:p>
    <w:tbl>
      <w:tblPr>
        <w:tblLayout w:type="fixed"/>
        <w:tblInd w:w="662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Matthew Sheldon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Sheldon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&amp; General Counsel</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Eighteenth Supplemental Indenture (2014 Indenture)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18" w:lineRule="exact"/>
        <w:rPr>
          <w:sz w:val="20"/>
          <w:szCs w:val="20"/>
          <w:color w:val="auto"/>
        </w:rPr>
      </w:pPr>
    </w:p>
    <w:tbl>
      <w:tblPr>
        <w:tblLayout w:type="fixed"/>
        <w:tblInd w:w="562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Terence Rawlins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Terence Rawlins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Eighteenth Supplemental Indenture (2014 Indenture)</w:t>
      </w:r>
      <w:r>
        <w:rPr>
          <w:rFonts w:ascii="Times New Roman" w:cs="Times New Roman" w:eastAsia="Times New Roman" w:hAnsi="Times New Roman"/>
          <w:sz w:val="18"/>
          <w:szCs w:val="18"/>
          <w:color w:val="auto"/>
        </w:rPr>
        <w:t>]</w:t>
      </w:r>
    </w:p>
    <w:sectPr>
      <w:pgSz w:w="11900" w:h="16838" w:orient="portrait"/>
      <w:cols w:equalWidth="0" w:num="1">
        <w:col w:w="10020"/>
      </w:cols>
      <w:pgMar w:left="1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
      <w:numFmt w:val="bullet"/>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7"/>
    </w:lvl>
    <w:lvl w:ilvl="1">
      <w:lvlJc w:val="left"/>
      <w:lvlText w:val="(%2)"/>
      <w:numFmt w:val="lowerLetter"/>
      <w:start w:val="1"/>
    </w:lvl>
  </w:abstractNum>
  <w:abstractNum w:abstractNumId="4">
    <w:nsid w:val="12200854"/>
    <w:multiLevelType w:val="hybridMultilevel"/>
    <w:lvl w:ilvl="0">
      <w:lvlJc w:val="left"/>
      <w:lvlText w:val="%1"/>
      <w:numFmt w:val="decimal"/>
      <w:start w:val="1"/>
    </w:lvl>
    <w:lvl w:ilvl="1">
      <w:lvlJc w:val="left"/>
      <w:lvlText w:val="(%2)"/>
      <w:numFmt w:val="lowerLetter"/>
      <w:start w:val="5"/>
    </w:lvl>
  </w:abstractNum>
  <w:abstractNum w:abstractNumId="5">
    <w:nsid w:val="4DB127F8"/>
    <w:multiLevelType w:val="hybridMultilevel"/>
    <w:lvl w:ilvl="0">
      <w:lvlJc w:val="left"/>
      <w:lvlText w:val="%1."/>
      <w:numFmt w:val="decimal"/>
      <w:start w:val="9"/>
    </w:lvl>
    <w:lvl w:ilvl="1">
      <w:lvlJc w:val="left"/>
      <w:lvlText w:val="(%2)"/>
      <w:numFmt w:val="lowerLetter"/>
      <w:start w:val="1"/>
    </w:lvl>
  </w:abstractNum>
  <w:abstractNum w:abstractNumId="6">
    <w:nsid w:val="216231B"/>
    <w:multiLevelType w:val="hybridMultilevel"/>
    <w:lvl w:ilvl="0">
      <w:lvlJc w:val="left"/>
      <w:lvlText w:val="%1"/>
      <w:numFmt w:val="decimal"/>
      <w:start w:val="1"/>
    </w:lvl>
    <w:lvl w:ilvl="1">
      <w:lvlJc w:val="left"/>
      <w:lvlText w:val="(%2)"/>
      <w:numFmt w:val="lowerLetter"/>
      <w:start w:val="7"/>
    </w:lvl>
  </w:abstractNum>
  <w:abstractNum w:abstractNumId="7">
    <w:nsid w:val="1F16E9E8"/>
    <w:multiLevelType w:val="hybridMultilevel"/>
    <w:lvl w:ilvl="0">
      <w:lvlJc w:val="left"/>
      <w:lvlText w:val="%1."/>
      <w:numFmt w:val="decimal"/>
      <w:start w:val="10"/>
    </w:lvl>
    <w:lvl w:ilvl="1">
      <w:lvlJc w:val="left"/>
      <w:lvlText w:val="(%2)"/>
      <w:numFmt w:val="lowerLetter"/>
      <w:start w:val="1"/>
    </w:lvl>
  </w:abstractNum>
  <w:abstractNum w:abstractNumId="8">
    <w:nsid w:val="1190CDE7"/>
    <w:multiLevelType w:val="hybridMultilevel"/>
    <w:lvl w:ilvl="0">
      <w:lvlJc w:val="left"/>
      <w:lvlText w:val="%1."/>
      <w:numFmt w:val="decimal"/>
      <w:start w:val="11"/>
    </w:lvl>
    <w:lvl w:ilvl="1">
      <w:lvlJc w:val="left"/>
      <w:lvlText w:val="(%2)"/>
      <w:numFmt w:val="lowerLetter"/>
      <w:start w:val="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decimal"/>
      <w:start w:val="12"/>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3"/>
    </w:lvl>
  </w:abstractNum>
  <w:abstractNum w:abstractNumId="12">
    <w:nsid w:val="109CF92E"/>
    <w:multiLevelType w:val="hybridMultilevel"/>
    <w:lvl w:ilvl="0">
      <w:lvlJc w:val="left"/>
      <w:lvlText w:val="%1."/>
      <w:numFmt w:val="decimal"/>
      <w:start w:val="16"/>
    </w:lvl>
    <w:lvl w:ilvl="1">
      <w:lvlJc w:val="left"/>
      <w:lvlText w:val="(%2)"/>
      <w:numFmt w:val="lowerLetter"/>
      <w:start w:val="1"/>
    </w:lvl>
  </w:abstractNum>
  <w:abstractNum w:abstractNumId="13">
    <w:nsid w:val="DED7263"/>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21" Type="http://schemas.openxmlformats.org/officeDocument/2006/relationships/hyperlink" Target="http://www.sec.gov/Archives/edgar/data/2152623/000119312526436899/d48172dex21.htm" TargetMode="External"/><Relationship Id="rId22" Type="http://schemas.openxmlformats.org/officeDocument/2006/relationships/hyperlink" Target="http://www.sec.gov/Archives/edgar/data/2152623/000119312526443614/d3428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2026-11-02T15:39:07Z</dcterms:created>
  <dcterms:modified xsi:type="dcterms:W3CDTF">2026-11-02T15:39:07Z</dcterms:modified>
</cp:coreProperties>
</file>