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43"/>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149860</wp:posOffset>
            </wp:positionH>
            <wp:positionV relativeFrom="page">
              <wp:posOffset>157480</wp:posOffset>
            </wp:positionV>
            <wp:extent cx="72618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page">
              <wp:posOffset>149860</wp:posOffset>
            </wp:positionH>
            <wp:positionV relativeFrom="page">
              <wp:posOffset>195580</wp:posOffset>
            </wp:positionV>
            <wp:extent cx="72618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7620"/>
                    </a:xfrm>
                    <a:prstGeom prst="rect">
                      <a:avLst/>
                    </a:prstGeom>
                    <a:noFill/>
                  </pic:spPr>
                </pic:pic>
              </a:graphicData>
            </a:graphic>
          </wp:anchor>
        </w:drawing>
        <w:t>UNITED STATES</w:t>
      </w:r>
    </w:p>
    <w:p>
      <w:pPr>
        <w:spacing w:after="0" w:line="15" w:lineRule="exact"/>
        <w:rPr>
          <w:sz w:val="24"/>
          <w:szCs w:val="24"/>
          <w:color w:val="auto"/>
        </w:rPr>
      </w:pPr>
    </w:p>
    <w:p>
      <w:pPr>
        <w:jc w:val="center"/>
        <w:ind w:right="-643"/>
        <w:spacing w:after="0"/>
        <w:rPr>
          <w:sz w:val="20"/>
          <w:szCs w:val="20"/>
          <w:color w:val="auto"/>
        </w:rPr>
      </w:pPr>
      <w:r>
        <w:rPr>
          <w:rFonts w:ascii="Arial" w:cs="Arial" w:eastAsia="Arial" w:hAnsi="Arial"/>
          <w:sz w:val="29"/>
          <w:szCs w:val="29"/>
          <w:b w:val="1"/>
          <w:bCs w:val="1"/>
          <w:color w:val="auto"/>
        </w:rPr>
        <w:t>SECURITIES AND EXCHANGE COMMISSION</w:t>
      </w:r>
    </w:p>
    <w:p>
      <w:pPr>
        <w:ind w:left="4544"/>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206375</wp:posOffset>
            </wp:positionV>
            <wp:extent cx="15252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5004"/>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215900</wp:posOffset>
            </wp:positionV>
            <wp:extent cx="152527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643"/>
        <w:spacing w:after="0"/>
        <w:rPr>
          <w:sz w:val="20"/>
          <w:szCs w:val="20"/>
          <w:color w:val="auto"/>
        </w:rPr>
      </w:pPr>
      <w:r>
        <w:rPr>
          <w:rFonts w:ascii="Arial" w:cs="Arial" w:eastAsia="Arial" w:hAnsi="Arial"/>
          <w:sz w:val="19"/>
          <w:szCs w:val="19"/>
          <w:b w:val="1"/>
          <w:bCs w:val="1"/>
          <w:color w:val="auto"/>
        </w:rPr>
        <w:t>CURRENT REPORT</w:t>
      </w:r>
    </w:p>
    <w:p>
      <w:pPr>
        <w:spacing w:after="0" w:line="17" w:lineRule="exact"/>
        <w:rPr>
          <w:sz w:val="24"/>
          <w:szCs w:val="24"/>
          <w:color w:val="auto"/>
        </w:rPr>
      </w:pPr>
    </w:p>
    <w:p>
      <w:pPr>
        <w:jc w:val="center"/>
        <w:ind w:right="-643"/>
        <w:spacing w:after="0"/>
        <w:rPr>
          <w:sz w:val="20"/>
          <w:szCs w:val="20"/>
          <w:color w:val="auto"/>
        </w:rPr>
      </w:pPr>
      <w:r>
        <w:rPr>
          <w:rFonts w:ascii="Arial" w:cs="Arial" w:eastAsia="Arial" w:hAnsi="Arial"/>
          <w:sz w:val="19"/>
          <w:szCs w:val="19"/>
          <w:b w:val="1"/>
          <w:bCs w:val="1"/>
          <w:color w:val="auto"/>
        </w:rPr>
        <w:t>Pursuant to Section 13 or 15(d)</w:t>
      </w:r>
    </w:p>
    <w:p>
      <w:pPr>
        <w:jc w:val="center"/>
        <w:ind w:right="-643"/>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68" w:lineRule="exact"/>
        <w:rPr>
          <w:sz w:val="24"/>
          <w:szCs w:val="24"/>
          <w:color w:val="auto"/>
        </w:rPr>
      </w:pPr>
    </w:p>
    <w:p>
      <w:pPr>
        <w:ind w:left="3144"/>
        <w:spacing w:after="0"/>
        <w:rPr>
          <w:sz w:val="20"/>
          <w:szCs w:val="20"/>
          <w:color w:val="auto"/>
        </w:rPr>
      </w:pPr>
      <w:r>
        <w:rPr>
          <w:rFonts w:ascii="Arial" w:cs="Arial" w:eastAsia="Arial" w:hAnsi="Arial"/>
          <w:sz w:val="19"/>
          <w:szCs w:val="19"/>
          <w:b w:val="1"/>
          <w:bCs w:val="1"/>
          <w:color w:val="auto"/>
        </w:rPr>
        <w:t>Date of Report (Date of earliest event reported): April 29,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212725</wp:posOffset>
            </wp:positionV>
            <wp:extent cx="152527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ind w:left="4004"/>
        <w:spacing w:after="0"/>
        <w:rPr>
          <w:sz w:val="20"/>
          <w:szCs w:val="20"/>
          <w:color w:val="auto"/>
        </w:rPr>
      </w:pPr>
      <w:r>
        <w:rPr>
          <w:rFonts w:ascii="Arial" w:cs="Arial" w:eastAsia="Arial" w:hAnsi="Arial"/>
          <w:sz w:val="38"/>
          <w:szCs w:val="38"/>
          <w:b w:val="1"/>
          <w:bCs w:val="1"/>
          <w:color w:val="auto"/>
        </w:rPr>
        <w:t>Navient Corporation</w:t>
      </w:r>
    </w:p>
    <w:p>
      <w:pPr>
        <w:spacing w:after="0" w:line="47" w:lineRule="exact"/>
        <w:rPr>
          <w:sz w:val="24"/>
          <w:szCs w:val="24"/>
          <w:color w:val="auto"/>
        </w:rPr>
      </w:pPr>
    </w:p>
    <w:p>
      <w:pPr>
        <w:ind w:left="3944"/>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210185</wp:posOffset>
            </wp:positionV>
            <wp:extent cx="152527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tbl>
      <w:tblPr>
        <w:tblLayout w:type="fixed"/>
        <w:tblInd w:w="1204" w:type="dxa"/>
        <w:tblCellMar>
          <w:top w:w="0" w:type="dxa"/>
          <w:left w:w="0" w:type="dxa"/>
          <w:bottom w:w="0" w:type="dxa"/>
          <w:right w:w="0" w:type="dxa"/>
        </w:tblCellMar>
      </w:tblPr>
      <w:tr>
        <w:trPr>
          <w:trHeight w:val="189"/>
        </w:trPr>
        <w:tc>
          <w:tcPr>
            <w:tcW w:w="4180" w:type="dxa"/>
            <w:vAlign w:val="bottom"/>
          </w:tcPr>
          <w:p>
            <w:pPr>
              <w:jc w:val="center"/>
              <w:ind w:right="2630"/>
              <w:spacing w:after="0"/>
              <w:rPr>
                <w:sz w:val="20"/>
                <w:szCs w:val="20"/>
                <w:color w:val="auto"/>
              </w:rPr>
            </w:pPr>
            <w:r>
              <w:rPr>
                <w:rFonts w:ascii="Arial" w:cs="Arial" w:eastAsia="Arial" w:hAnsi="Arial"/>
                <w:sz w:val="16"/>
                <w:szCs w:val="16"/>
                <w:b w:val="1"/>
                <w:bCs w:val="1"/>
                <w:color w:val="auto"/>
                <w:w w:val="91"/>
              </w:rPr>
              <w:t>Delaware</w:t>
            </w:r>
          </w:p>
        </w:tc>
        <w:tc>
          <w:tcPr>
            <w:tcW w:w="2280" w:type="dxa"/>
            <w:vAlign w:val="bottom"/>
          </w:tcPr>
          <w:p>
            <w:pPr>
              <w:ind w:left="120"/>
              <w:spacing w:after="0"/>
              <w:rPr>
                <w:sz w:val="20"/>
                <w:szCs w:val="20"/>
                <w:color w:val="auto"/>
              </w:rPr>
            </w:pPr>
            <w:r>
              <w:rPr>
                <w:rFonts w:ascii="Arial" w:cs="Arial" w:eastAsia="Arial" w:hAnsi="Arial"/>
                <w:sz w:val="16"/>
                <w:szCs w:val="16"/>
                <w:b w:val="1"/>
                <w:bCs w:val="1"/>
                <w:color w:val="auto"/>
              </w:rPr>
              <w:t>001-36228</w:t>
            </w:r>
          </w:p>
        </w:tc>
        <w:tc>
          <w:tcPr>
            <w:tcW w:w="2440" w:type="dxa"/>
            <w:vAlign w:val="bottom"/>
          </w:tcPr>
          <w:p>
            <w:pPr>
              <w:jc w:val="right"/>
              <w:ind w:right="30"/>
              <w:spacing w:after="0"/>
              <w:rPr>
                <w:sz w:val="20"/>
                <w:szCs w:val="20"/>
                <w:color w:val="auto"/>
              </w:rPr>
            </w:pPr>
            <w:r>
              <w:rPr>
                <w:rFonts w:ascii="Arial" w:cs="Arial" w:eastAsia="Arial" w:hAnsi="Arial"/>
                <w:sz w:val="16"/>
                <w:szCs w:val="16"/>
                <w:b w:val="1"/>
                <w:bCs w:val="1"/>
                <w:color w:val="auto"/>
              </w:rPr>
              <w:t>46-4054283</w:t>
            </w:r>
          </w:p>
        </w:tc>
      </w:tr>
      <w:tr>
        <w:trPr>
          <w:trHeight w:val="132"/>
        </w:trPr>
        <w:tc>
          <w:tcPr>
            <w:tcW w:w="4180" w:type="dxa"/>
            <w:vAlign w:val="bottom"/>
          </w:tcPr>
          <w:p>
            <w:pPr>
              <w:jc w:val="center"/>
              <w:ind w:right="2650"/>
              <w:spacing w:after="0" w:line="133" w:lineRule="exact"/>
              <w:rPr>
                <w:sz w:val="20"/>
                <w:szCs w:val="20"/>
                <w:color w:val="auto"/>
              </w:rPr>
            </w:pPr>
            <w:r>
              <w:rPr>
                <w:rFonts w:ascii="Arial" w:cs="Arial" w:eastAsia="Arial" w:hAnsi="Arial"/>
                <w:sz w:val="13"/>
                <w:szCs w:val="13"/>
                <w:b w:val="1"/>
                <w:bCs w:val="1"/>
                <w:color w:val="auto"/>
                <w:w w:val="89"/>
              </w:rPr>
              <w:t>(State or other jurisdiction</w:t>
            </w:r>
          </w:p>
        </w:tc>
        <w:tc>
          <w:tcPr>
            <w:tcW w:w="2280" w:type="dxa"/>
            <w:vAlign w:val="bottom"/>
          </w:tcPr>
          <w:p>
            <w:pPr>
              <w:ind w:left="100"/>
              <w:spacing w:after="0" w:line="133" w:lineRule="exact"/>
              <w:rPr>
                <w:sz w:val="20"/>
                <w:szCs w:val="20"/>
                <w:color w:val="auto"/>
              </w:rPr>
            </w:pPr>
            <w:r>
              <w:rPr>
                <w:rFonts w:ascii="Arial" w:cs="Arial" w:eastAsia="Arial" w:hAnsi="Arial"/>
                <w:sz w:val="13"/>
                <w:szCs w:val="13"/>
                <w:b w:val="1"/>
                <w:bCs w:val="1"/>
                <w:color w:val="auto"/>
              </w:rPr>
              <w:t>(Commission</w:t>
            </w:r>
          </w:p>
        </w:tc>
        <w:tc>
          <w:tcPr>
            <w:tcW w:w="2440" w:type="dxa"/>
            <w:vAlign w:val="bottom"/>
          </w:tcPr>
          <w:p>
            <w:pPr>
              <w:jc w:val="center"/>
              <w:ind w:left="1370"/>
              <w:spacing w:after="0" w:line="133" w:lineRule="exact"/>
              <w:rPr>
                <w:sz w:val="20"/>
                <w:szCs w:val="20"/>
                <w:color w:val="auto"/>
              </w:rPr>
            </w:pPr>
            <w:r>
              <w:rPr>
                <w:rFonts w:ascii="Arial" w:cs="Arial" w:eastAsia="Arial" w:hAnsi="Arial"/>
                <w:sz w:val="13"/>
                <w:szCs w:val="13"/>
                <w:b w:val="1"/>
                <w:bCs w:val="1"/>
                <w:color w:val="auto"/>
                <w:w w:val="92"/>
              </w:rPr>
              <w:t>(I.R.S. Employer</w:t>
            </w:r>
          </w:p>
        </w:tc>
      </w:tr>
      <w:tr>
        <w:trPr>
          <w:trHeight w:val="166"/>
        </w:trPr>
        <w:tc>
          <w:tcPr>
            <w:tcW w:w="4180" w:type="dxa"/>
            <w:vAlign w:val="bottom"/>
          </w:tcPr>
          <w:p>
            <w:pPr>
              <w:jc w:val="center"/>
              <w:ind w:right="2650"/>
              <w:spacing w:after="0"/>
              <w:rPr>
                <w:sz w:val="20"/>
                <w:szCs w:val="20"/>
                <w:color w:val="auto"/>
              </w:rPr>
            </w:pPr>
            <w:r>
              <w:rPr>
                <w:rFonts w:ascii="Arial" w:cs="Arial" w:eastAsia="Arial" w:hAnsi="Arial"/>
                <w:sz w:val="13"/>
                <w:szCs w:val="13"/>
                <w:b w:val="1"/>
                <w:bCs w:val="1"/>
                <w:color w:val="auto"/>
                <w:w w:val="90"/>
              </w:rPr>
              <w:t>of incorporation)</w:t>
            </w:r>
          </w:p>
        </w:tc>
        <w:tc>
          <w:tcPr>
            <w:tcW w:w="2280" w:type="dxa"/>
            <w:vAlign w:val="bottom"/>
          </w:tcPr>
          <w:p>
            <w:pPr>
              <w:ind w:left="100"/>
              <w:spacing w:after="0"/>
              <w:rPr>
                <w:sz w:val="20"/>
                <w:szCs w:val="20"/>
                <w:color w:val="auto"/>
              </w:rPr>
            </w:pPr>
            <w:r>
              <w:rPr>
                <w:rFonts w:ascii="Arial" w:cs="Arial" w:eastAsia="Arial" w:hAnsi="Arial"/>
                <w:sz w:val="13"/>
                <w:szCs w:val="13"/>
                <w:b w:val="1"/>
                <w:bCs w:val="1"/>
                <w:color w:val="auto"/>
              </w:rPr>
              <w:t>File Number)</w:t>
            </w:r>
          </w:p>
        </w:tc>
        <w:tc>
          <w:tcPr>
            <w:tcW w:w="2440" w:type="dxa"/>
            <w:vAlign w:val="bottom"/>
          </w:tcPr>
          <w:p>
            <w:pPr>
              <w:jc w:val="center"/>
              <w:ind w:left="1370"/>
              <w:spacing w:after="0"/>
              <w:rPr>
                <w:sz w:val="20"/>
                <w:szCs w:val="20"/>
                <w:color w:val="auto"/>
              </w:rPr>
            </w:pPr>
            <w:r>
              <w:rPr>
                <w:rFonts w:ascii="Arial" w:cs="Arial" w:eastAsia="Arial" w:hAnsi="Arial"/>
                <w:sz w:val="13"/>
                <w:szCs w:val="13"/>
                <w:b w:val="1"/>
                <w:bCs w:val="1"/>
                <w:color w:val="auto"/>
                <w:w w:val="91"/>
              </w:rPr>
              <w:t>Identification No.)</w:t>
            </w:r>
          </w:p>
        </w:tc>
      </w:tr>
      <w:tr>
        <w:trPr>
          <w:trHeight w:val="362"/>
        </w:trPr>
        <w:tc>
          <w:tcPr>
            <w:tcW w:w="4180" w:type="dxa"/>
            <w:vAlign w:val="bottom"/>
          </w:tcPr>
          <w:p>
            <w:pPr>
              <w:jc w:val="center"/>
              <w:ind w:left="1010"/>
              <w:spacing w:after="0"/>
              <w:rPr>
                <w:sz w:val="20"/>
                <w:szCs w:val="20"/>
                <w:color w:val="auto"/>
              </w:rPr>
            </w:pPr>
            <w:r>
              <w:rPr>
                <w:rFonts w:ascii="Arial" w:cs="Arial" w:eastAsia="Arial" w:hAnsi="Arial"/>
                <w:sz w:val="16"/>
                <w:szCs w:val="16"/>
                <w:b w:val="1"/>
                <w:bCs w:val="1"/>
                <w:color w:val="auto"/>
                <w:w w:val="90"/>
              </w:rPr>
              <w:t>123 Justison Street, Wilmington, Delaware</w:t>
            </w:r>
          </w:p>
        </w:tc>
        <w:tc>
          <w:tcPr>
            <w:tcW w:w="2280" w:type="dxa"/>
            <w:vAlign w:val="bottom"/>
          </w:tcPr>
          <w:p>
            <w:pPr>
              <w:spacing w:after="0"/>
              <w:rPr>
                <w:sz w:val="24"/>
                <w:szCs w:val="24"/>
                <w:color w:val="auto"/>
              </w:rPr>
            </w:pPr>
          </w:p>
        </w:tc>
        <w:tc>
          <w:tcPr>
            <w:tcW w:w="2440" w:type="dxa"/>
            <w:vAlign w:val="bottom"/>
          </w:tcPr>
          <w:p>
            <w:pPr>
              <w:jc w:val="right"/>
              <w:ind w:right="230"/>
              <w:spacing w:after="0"/>
              <w:rPr>
                <w:sz w:val="20"/>
                <w:szCs w:val="20"/>
                <w:color w:val="auto"/>
              </w:rPr>
            </w:pPr>
            <w:r>
              <w:rPr>
                <w:rFonts w:ascii="Arial" w:cs="Arial" w:eastAsia="Arial" w:hAnsi="Arial"/>
                <w:sz w:val="16"/>
                <w:szCs w:val="16"/>
                <w:b w:val="1"/>
                <w:bCs w:val="1"/>
                <w:color w:val="auto"/>
              </w:rPr>
              <w:t>19801</w:t>
            </w:r>
          </w:p>
        </w:tc>
      </w:tr>
      <w:tr>
        <w:trPr>
          <w:trHeight w:val="166"/>
        </w:trPr>
        <w:tc>
          <w:tcPr>
            <w:tcW w:w="4180" w:type="dxa"/>
            <w:vAlign w:val="bottom"/>
          </w:tcPr>
          <w:p>
            <w:pPr>
              <w:jc w:val="center"/>
              <w:ind w:left="1030"/>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2280" w:type="dxa"/>
            <w:vAlign w:val="bottom"/>
          </w:tcPr>
          <w:p>
            <w:pPr>
              <w:spacing w:after="0"/>
              <w:rPr>
                <w:sz w:val="14"/>
                <w:szCs w:val="14"/>
                <w:color w:val="auto"/>
              </w:rPr>
            </w:pPr>
          </w:p>
        </w:tc>
        <w:tc>
          <w:tcPr>
            <w:tcW w:w="2440" w:type="dxa"/>
            <w:vAlign w:val="bottom"/>
          </w:tcPr>
          <w:p>
            <w:pPr>
              <w:jc w:val="center"/>
              <w:ind w:left="1370"/>
              <w:spacing w:after="0"/>
              <w:rPr>
                <w:sz w:val="20"/>
                <w:szCs w:val="20"/>
                <w:color w:val="auto"/>
              </w:rPr>
            </w:pPr>
            <w:r>
              <w:rPr>
                <w:rFonts w:ascii="Arial" w:cs="Arial" w:eastAsia="Arial" w:hAnsi="Arial"/>
                <w:sz w:val="13"/>
                <w:szCs w:val="13"/>
                <w:b w:val="1"/>
                <w:bCs w:val="1"/>
                <w:color w:val="auto"/>
                <w:w w:val="93"/>
              </w:rPr>
              <w:t>(Zip Code)</w:t>
            </w:r>
          </w:p>
        </w:tc>
      </w:tr>
    </w:tbl>
    <w:p>
      <w:pPr>
        <w:spacing w:after="0" w:line="162" w:lineRule="exact"/>
        <w:rPr>
          <w:sz w:val="24"/>
          <w:szCs w:val="24"/>
          <w:color w:val="auto"/>
        </w:rPr>
      </w:pPr>
    </w:p>
    <w:p>
      <w:pPr>
        <w:ind w:left="3424"/>
        <w:spacing w:after="0"/>
        <w:rPr>
          <w:sz w:val="20"/>
          <w:szCs w:val="20"/>
          <w:color w:val="auto"/>
        </w:rPr>
      </w:pPr>
      <w:r>
        <w:rPr>
          <w:rFonts w:ascii="Arial" w:cs="Arial" w:eastAsia="Arial" w:hAnsi="Arial"/>
          <w:sz w:val="16"/>
          <w:szCs w:val="16"/>
          <w:b w:val="1"/>
          <w:bCs w:val="1"/>
          <w:color w:val="auto"/>
        </w:rPr>
        <w:t>Registrant’s telephone number, including area code: (302) 283-8000</w:t>
      </w:r>
    </w:p>
    <w:p>
      <w:pPr>
        <w:spacing w:after="0" w:line="200" w:lineRule="exact"/>
        <w:rPr>
          <w:sz w:val="24"/>
          <w:szCs w:val="24"/>
          <w:color w:val="auto"/>
        </w:rPr>
      </w:pPr>
    </w:p>
    <w:p>
      <w:pPr>
        <w:spacing w:after="0" w:line="213" w:lineRule="exact"/>
        <w:rPr>
          <w:sz w:val="24"/>
          <w:szCs w:val="24"/>
          <w:color w:val="auto"/>
        </w:rPr>
      </w:pPr>
    </w:p>
    <w:p>
      <w:pPr>
        <w:ind w:left="4024"/>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207645</wp:posOffset>
            </wp:positionV>
            <wp:extent cx="152527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ind w:left="4"/>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39" w:lineRule="exact"/>
        <w:rPr>
          <w:sz w:val="24"/>
          <w:szCs w:val="24"/>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6" w:lineRule="exact"/>
        <w:rPr>
          <w:rFonts w:ascii="MS PGothic" w:cs="MS PGothic" w:eastAsia="MS PGothic" w:hAnsi="MS PGothic"/>
          <w:sz w:val="16"/>
          <w:szCs w:val="16"/>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6" w:lineRule="exact"/>
        <w:rPr>
          <w:rFonts w:ascii="MS PGothic" w:cs="MS PGothic" w:eastAsia="MS PGothic" w:hAnsi="MS PGothic"/>
          <w:sz w:val="16"/>
          <w:szCs w:val="16"/>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6" w:lineRule="exact"/>
        <w:rPr>
          <w:rFonts w:ascii="MS PGothic" w:cs="MS PGothic" w:eastAsia="MS PGothic" w:hAnsi="MS PGothic"/>
          <w:sz w:val="16"/>
          <w:szCs w:val="16"/>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618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180975</wp:posOffset>
            </wp:positionV>
            <wp:extent cx="72618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0804"/>
          </w:cols>
          <w:pgMar w:left="236" w:top="343" w:right="859" w:bottom="1440" w:gutter="0" w:footer="0" w:header="0"/>
        </w:sectPr>
      </w:pPr>
    </w:p>
    <w:bookmarkStart w:id="1" w:name="page2"/>
    <w:bookmarkEnd w:id="1"/>
    <w:p>
      <w:pPr>
        <w:spacing w:after="0"/>
        <w:tabs>
          <w:tab w:leader="none" w:pos="1340"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08" w:lineRule="exact"/>
        <w:rPr>
          <w:sz w:val="20"/>
          <w:szCs w:val="20"/>
          <w:color w:val="auto"/>
        </w:rPr>
      </w:pPr>
    </w:p>
    <w:p>
      <w:pPr>
        <w:ind w:right="100" w:firstLine="458"/>
        <w:spacing w:after="0" w:line="264" w:lineRule="auto"/>
        <w:rPr>
          <w:sz w:val="20"/>
          <w:szCs w:val="20"/>
          <w:color w:val="auto"/>
        </w:rPr>
      </w:pPr>
      <w:r>
        <w:rPr>
          <w:rFonts w:ascii="Arial" w:cs="Arial" w:eastAsia="Arial" w:hAnsi="Arial"/>
          <w:sz w:val="16"/>
          <w:szCs w:val="16"/>
          <w:color w:val="auto"/>
        </w:rPr>
        <w:t>Navient Corporation (the “Company”) frequently provides relevant information to its investors via posting to its corporate website. On April 29, 2016, a presentation entitled “2016 1</w:t>
      </w:r>
      <w:r>
        <w:rPr>
          <w:rFonts w:ascii="Arial" w:cs="Arial" w:eastAsia="Arial" w:hAnsi="Arial"/>
          <w:sz w:val="13"/>
          <w:szCs w:val="13"/>
          <w:color w:val="auto"/>
        </w:rPr>
        <w:t>st</w:t>
      </w:r>
      <w:r>
        <w:rPr>
          <w:rFonts w:ascii="Arial" w:cs="Arial" w:eastAsia="Arial" w:hAnsi="Arial"/>
          <w:sz w:val="16"/>
          <w:szCs w:val="16"/>
          <w:color w:val="auto"/>
        </w:rPr>
        <w:t xml:space="preserve"> Quarter Investor Deck” was made available on the Company’s website at </w:t>
      </w:r>
      <w:r>
        <w:rPr>
          <w:rFonts w:ascii="Arial" w:cs="Arial" w:eastAsia="Arial" w:hAnsi="Arial"/>
          <w:sz w:val="16"/>
          <w:szCs w:val="16"/>
          <w:u w:val="single" w:color="auto"/>
          <w:color w:val="auto"/>
        </w:rPr>
        <w:t>https://www.navient.com/about/investors/webcasts/</w:t>
      </w:r>
      <w:r>
        <w:rPr>
          <w:rFonts w:ascii="Arial" w:cs="Arial" w:eastAsia="Arial" w:hAnsi="Arial"/>
          <w:sz w:val="16"/>
          <w:szCs w:val="16"/>
          <w:color w:val="auto"/>
        </w:rPr>
        <w:t>. In addition, the presentation is being furnished herewith as Exhibit 99.1</w:t>
      </w:r>
    </w:p>
    <w:p>
      <w:pPr>
        <w:spacing w:after="0" w:line="162" w:lineRule="exact"/>
        <w:rPr>
          <w:sz w:val="20"/>
          <w:szCs w:val="20"/>
          <w:color w:val="auto"/>
        </w:rPr>
      </w:pPr>
    </w:p>
    <w:p>
      <w:pPr>
        <w:jc w:val="both"/>
        <w:ind w:firstLine="458"/>
        <w:spacing w:after="0" w:line="264" w:lineRule="auto"/>
        <w:rPr>
          <w:sz w:val="20"/>
          <w:szCs w:val="20"/>
          <w:color w:val="auto"/>
        </w:rPr>
      </w:pPr>
      <w:r>
        <w:rPr>
          <w:rFonts w:ascii="Arial" w:cs="Arial" w:eastAsia="Arial" w:hAnsi="Arial"/>
          <w:sz w:val="16"/>
          <w:szCs w:val="16"/>
          <w:color w:val="auto"/>
        </w:rPr>
        <w:t>The information contained in, or incorporated into, this Item 7.01, including Exhibit 99.1 attached hereto, is being furnished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90" w:lineRule="exact"/>
        <w:rPr>
          <w:sz w:val="20"/>
          <w:szCs w:val="20"/>
          <w:color w:val="auto"/>
        </w:rPr>
      </w:pPr>
    </w:p>
    <w:p>
      <w:pPr>
        <w:spacing w:after="0"/>
        <w:tabs>
          <w:tab w:leader="none" w:pos="134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120" w:lineRule="exact"/>
        <w:rPr>
          <w:sz w:val="20"/>
          <w:szCs w:val="20"/>
          <w:color w:val="auto"/>
        </w:rPr>
      </w:pPr>
    </w:p>
    <w:p>
      <w:pPr>
        <w:ind w:left="900" w:hanging="447"/>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w:t>
      </w:r>
    </w:p>
    <w:p>
      <w:pPr>
        <w:spacing w:after="0"/>
        <w:tabs>
          <w:tab w:leader="none" w:pos="980" w:val="left"/>
        </w:tabs>
        <w:rPr>
          <w:sz w:val="20"/>
          <w:szCs w:val="20"/>
          <w:color w:val="auto"/>
        </w:rPr>
      </w:pPr>
      <w:r>
        <w:rPr>
          <w:rFonts w:ascii="Arial" w:cs="Arial" w:eastAsia="Arial" w:hAnsi="Arial"/>
          <w:sz w:val="13"/>
          <w:szCs w:val="13"/>
          <w:b w:val="1"/>
          <w:bCs w:val="1"/>
          <w:u w:val="single" w:color="auto"/>
          <w:color w:val="auto"/>
        </w:rPr>
        <w:t>Number</w:t>
      </w:r>
      <w:r>
        <w:rPr>
          <w:sz w:val="20"/>
          <w:szCs w:val="20"/>
          <w:color w:val="auto"/>
        </w:rPr>
        <w:tab/>
      </w:r>
      <w:r>
        <w:rPr>
          <w:rFonts w:ascii="Arial" w:cs="Arial" w:eastAsia="Arial" w:hAnsi="Arial"/>
          <w:sz w:val="13"/>
          <w:szCs w:val="13"/>
          <w:b w:val="1"/>
          <w:bCs w:val="1"/>
          <w:u w:val="single" w:color="auto"/>
          <w:color w:val="auto"/>
        </w:rPr>
        <w:t>Description</w:t>
      </w:r>
    </w:p>
    <w:p>
      <w:pPr>
        <w:spacing w:after="0" w:line="84"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4"/>
          <w:szCs w:val="14"/>
          <w:color w:val="auto"/>
        </w:rPr>
        <w:t>2016 1</w:t>
      </w:r>
      <w:r>
        <w:rPr>
          <w:rFonts w:ascii="Arial" w:cs="Arial" w:eastAsia="Arial" w:hAnsi="Arial"/>
          <w:sz w:val="11"/>
          <w:szCs w:val="11"/>
          <w:color w:val="auto"/>
        </w:rPr>
        <w:t>st</w:t>
      </w:r>
      <w:r>
        <w:rPr>
          <w:rFonts w:ascii="Arial" w:cs="Arial" w:eastAsia="Arial" w:hAnsi="Arial"/>
          <w:sz w:val="14"/>
          <w:szCs w:val="14"/>
          <w:color w:val="auto"/>
        </w:rPr>
        <w:t xml:space="preserve"> Quarter Investor Deck.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89535</wp:posOffset>
            </wp:positionV>
            <wp:extent cx="72453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157" w:lineRule="exact"/>
        <w:rPr>
          <w:sz w:val="20"/>
          <w:szCs w:val="20"/>
          <w:color w:val="auto"/>
        </w:rPr>
      </w:pPr>
    </w:p>
    <w:p>
      <w:pPr>
        <w:spacing w:after="0"/>
        <w:tabs>
          <w:tab w:leader="none" w:pos="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Furnished herewith.</w:t>
      </w:r>
    </w:p>
    <w:p>
      <w:pPr>
        <w:sectPr>
          <w:pgSz w:w="11900" w:h="16838" w:orient="portrait"/>
          <w:cols w:equalWidth="0" w:num="1">
            <w:col w:w="11300"/>
          </w:cols>
          <w:pgMar w:left="240" w:top="255" w:right="35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SIGNATURES</w:t>
      </w:r>
    </w:p>
    <w:p>
      <w:pPr>
        <w:spacing w:after="0" w:line="204" w:lineRule="exact"/>
        <w:rPr>
          <w:sz w:val="20"/>
          <w:szCs w:val="20"/>
          <w:color w:val="auto"/>
        </w:rPr>
      </w:pPr>
    </w:p>
    <w:p>
      <w:pPr>
        <w:ind w:firstLine="458"/>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940"/>
        <w:spacing w:after="0"/>
        <w:rPr>
          <w:sz w:val="20"/>
          <w:szCs w:val="20"/>
          <w:color w:val="auto"/>
        </w:rPr>
      </w:pPr>
      <w:r>
        <w:rPr>
          <w:rFonts w:ascii="Arial" w:cs="Arial" w:eastAsia="Arial" w:hAnsi="Arial"/>
          <w:sz w:val="16"/>
          <w:szCs w:val="16"/>
          <w:b w:val="1"/>
          <w:bCs w:val="1"/>
          <w:color w:val="auto"/>
        </w:rPr>
        <w:t>NAVIENT CORPORATION</w:t>
      </w:r>
    </w:p>
    <w:p>
      <w:pPr>
        <w:spacing w:after="0" w:line="204" w:lineRule="exact"/>
        <w:rPr>
          <w:sz w:val="20"/>
          <w:szCs w:val="20"/>
          <w:color w:val="auto"/>
        </w:rPr>
      </w:pPr>
    </w:p>
    <w:p>
      <w:pPr>
        <w:spacing w:after="0"/>
        <w:tabs>
          <w:tab w:leader="none" w:pos="5920" w:val="left"/>
        </w:tabs>
        <w:rPr>
          <w:sz w:val="20"/>
          <w:szCs w:val="20"/>
          <w:color w:val="auto"/>
        </w:rPr>
      </w:pPr>
      <w:r>
        <w:rPr>
          <w:rFonts w:ascii="Arial" w:cs="Arial" w:eastAsia="Arial" w:hAnsi="Arial"/>
          <w:sz w:val="16"/>
          <w:szCs w:val="16"/>
          <w:color w:val="auto"/>
        </w:rPr>
        <w:t>Date: April 29, 2016</w:t>
      </w:r>
      <w:r>
        <w:rPr>
          <w:sz w:val="20"/>
          <w:szCs w:val="20"/>
          <w:color w:val="auto"/>
        </w:rPr>
        <w:tab/>
      </w:r>
      <w:r>
        <w:rPr>
          <w:rFonts w:ascii="Arial" w:cs="Arial" w:eastAsia="Arial" w:hAnsi="Arial"/>
          <w:sz w:val="15"/>
          <w:szCs w:val="15"/>
          <w:color w:val="auto"/>
        </w:rPr>
        <w:t>By:  /s/ Mark L. Heleen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13335</wp:posOffset>
            </wp:positionV>
            <wp:extent cx="326453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64535" cy="7620"/>
                    </a:xfrm>
                    <a:prstGeom prst="rect">
                      <a:avLst/>
                    </a:prstGeom>
                    <a:noFill/>
                  </pic:spPr>
                </pic:pic>
              </a:graphicData>
            </a:graphic>
          </wp:anchor>
        </w:drawing>
      </w:r>
    </w:p>
    <w:p>
      <w:pPr>
        <w:spacing w:after="0" w:line="25"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Mark L. Heleen</w:t>
      </w:r>
    </w:p>
    <w:p>
      <w:pPr>
        <w:spacing w:after="0" w:line="8"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Executive Vice President, Chief Legal Officer and Secretary</w:t>
      </w:r>
    </w:p>
    <w:p>
      <w:pPr>
        <w:sectPr>
          <w:pgSz w:w="11900" w:h="16838" w:orient="portrait"/>
          <w:cols w:equalWidth="0" w:num="1">
            <w:col w:w="11340"/>
          </w:cols>
          <w:pgMar w:left="240" w:top="255" w:right="319" w:bottom="1440" w:gutter="0" w:footer="0" w:header="0"/>
        </w:sectPr>
      </w:pPr>
    </w:p>
    <w:bookmarkStart w:id="3" w:name="page4"/>
    <w:bookmarkEnd w:id="3"/>
    <w:p>
      <w:pPr>
        <w:jc w:val="right"/>
        <w:ind w:right="387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INDEX</w:t>
      </w:r>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w:t>
      </w:r>
    </w:p>
    <w:p>
      <w:pPr>
        <w:spacing w:after="0" w:line="182" w:lineRule="auto"/>
        <w:tabs>
          <w:tab w:leader="none" w:pos="980" w:val="left"/>
        </w:tabs>
        <w:rPr>
          <w:sz w:val="20"/>
          <w:szCs w:val="20"/>
          <w:color w:val="auto"/>
        </w:rPr>
      </w:pPr>
      <w:r>
        <w:rPr>
          <w:rFonts w:ascii="Arial" w:cs="Arial" w:eastAsia="Arial" w:hAnsi="Arial"/>
          <w:sz w:val="19"/>
          <w:szCs w:val="19"/>
          <w:b w:val="1"/>
          <w:bCs w:val="1"/>
          <w:u w:val="single" w:color="auto"/>
          <w:color w:val="auto"/>
          <w:vertAlign w:val="superscript"/>
        </w:rPr>
        <w:t>Number</w:t>
      </w:r>
      <w:r>
        <w:rPr>
          <w:sz w:val="20"/>
          <w:szCs w:val="20"/>
          <w:color w:val="auto"/>
        </w:rPr>
        <w:tab/>
      </w:r>
      <w:r>
        <w:rPr>
          <w:rFonts w:ascii="Arial" w:cs="Arial" w:eastAsia="Arial" w:hAnsi="Arial"/>
          <w:sz w:val="11"/>
          <w:szCs w:val="11"/>
          <w:b w:val="1"/>
          <w:bCs w:val="1"/>
          <w:u w:val="single" w:color="auto"/>
          <w:color w:val="auto"/>
        </w:rPr>
        <w:t>Description</w:t>
      </w:r>
    </w:p>
    <w:p>
      <w:pPr>
        <w:spacing w:after="0" w:line="103"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4"/>
          <w:szCs w:val="14"/>
          <w:color w:val="auto"/>
        </w:rPr>
        <w:t>2016 1</w:t>
      </w:r>
      <w:r>
        <w:rPr>
          <w:rFonts w:ascii="Arial" w:cs="Arial" w:eastAsia="Arial" w:hAnsi="Arial"/>
          <w:sz w:val="11"/>
          <w:szCs w:val="11"/>
          <w:color w:val="auto"/>
        </w:rPr>
        <w:t>st</w:t>
      </w:r>
      <w:r>
        <w:rPr>
          <w:rFonts w:ascii="Arial" w:cs="Arial" w:eastAsia="Arial" w:hAnsi="Arial"/>
          <w:sz w:val="14"/>
          <w:szCs w:val="14"/>
          <w:color w:val="auto"/>
        </w:rPr>
        <w:t xml:space="preserve"> Quarter Investor Deck.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81915</wp:posOffset>
            </wp:positionV>
            <wp:extent cx="72453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145" w:lineRule="exact"/>
        <w:rPr>
          <w:sz w:val="20"/>
          <w:szCs w:val="20"/>
          <w:color w:val="auto"/>
        </w:rPr>
      </w:pPr>
    </w:p>
    <w:p>
      <w:pPr>
        <w:spacing w:after="0"/>
        <w:tabs>
          <w:tab w:leader="none" w:pos="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Furnished herewith.</w:t>
      </w:r>
    </w:p>
    <w:p>
      <w:pPr>
        <w:sectPr>
          <w:pgSz w:w="11900" w:h="16838" w:orient="portrait"/>
          <w:cols w:equalWidth="0" w:num="1">
            <w:col w:w="10219"/>
          </w:cols>
          <w:pgMar w:left="240" w:top="255" w:right="1440" w:bottom="1440" w:gutter="0" w:footer="0" w:header="0"/>
        </w:sectPr>
      </w:pPr>
    </w:p>
    <w:bookmarkStart w:id="4" w:name="page5"/>
    <w:bookmarkEnd w:id="4"/>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92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2019-12-09T00:08:39Z</dcterms:created>
  <dcterms:modified xsi:type="dcterms:W3CDTF">2019-12-09T00:08:39Z</dcterms:modified>
</cp:coreProperties>
</file>