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91"/>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891"/>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292"/>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3034665</wp:posOffset>
            </wp:positionH>
            <wp:positionV relativeFrom="paragraph">
              <wp:posOffset>132715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85" w:lineRule="exact"/>
        <w:rPr>
          <w:sz w:val="24"/>
          <w:szCs w:val="24"/>
          <w:color w:val="auto"/>
        </w:rPr>
      </w:pPr>
    </w:p>
    <w:p>
      <w:pPr>
        <w:ind w:left="4752"/>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3034665</wp:posOffset>
            </wp:positionH>
            <wp:positionV relativeFrom="paragraph">
              <wp:posOffset>165100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3912" w:right="180" w:hanging="3183"/>
        <w:spacing w:after="0" w:line="500" w:lineRule="auto"/>
        <w:tabs>
          <w:tab w:leader="none" w:pos="189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 For the fiscal year ended December 31, 2025</w:t>
      </w:r>
    </w:p>
    <w:p>
      <w:pPr>
        <w:spacing w:after="0" w:line="2" w:lineRule="exact"/>
        <w:rPr>
          <w:sz w:val="24"/>
          <w:szCs w:val="24"/>
          <w:color w:val="auto"/>
        </w:rPr>
      </w:pPr>
    </w:p>
    <w:p>
      <w:pPr>
        <w:ind w:left="5532"/>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52" w:hanging="2723"/>
        <w:spacing w:after="0" w:line="537" w:lineRule="auto"/>
        <w:tabs>
          <w:tab w:leader="none" w:pos="170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15(d) OF THE SECURITIES EXCHANGE ACT OF 1934 For the transition period from _________ to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3034665</wp:posOffset>
            </wp:positionH>
            <wp:positionV relativeFrom="paragraph">
              <wp:posOffset>-7620</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188" w:lineRule="exact"/>
        <w:rPr>
          <w:sz w:val="24"/>
          <w:szCs w:val="24"/>
          <w:color w:val="auto"/>
        </w:rPr>
      </w:pPr>
    </w:p>
    <w:p>
      <w:pPr>
        <w:ind w:left="4412"/>
        <w:spacing w:after="0"/>
        <w:rPr>
          <w:sz w:val="20"/>
          <w:szCs w:val="20"/>
          <w:color w:val="auto"/>
        </w:rPr>
      </w:pPr>
      <w:r>
        <w:rPr>
          <w:rFonts w:ascii="Times New Roman" w:cs="Times New Roman" w:eastAsia="Times New Roman" w:hAnsi="Times New Roman"/>
          <w:sz w:val="18"/>
          <w:szCs w:val="18"/>
          <w:b w:val="1"/>
          <w:bCs w:val="1"/>
          <w:color w:val="auto"/>
        </w:rPr>
        <w:t>Commission File No. 001-36228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3034665</wp:posOffset>
            </wp:positionH>
            <wp:positionV relativeFrom="paragraph">
              <wp:posOffset>173990</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812" w:hanging="812"/>
        <w:spacing w:after="0"/>
        <w:tabs>
          <w:tab w:leader="none" w:pos="8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45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Navient 401(k) Savings Plan</w:t>
      </w: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ind w:left="812" w:hanging="812"/>
        <w:spacing w:after="0"/>
        <w:tabs>
          <w:tab w:leader="none" w:pos="8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3034665</wp:posOffset>
            </wp:positionH>
            <wp:positionV relativeFrom="paragraph">
              <wp:posOffset>-719455</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-273685</wp:posOffset>
            </wp:positionV>
            <wp:extent cx="10629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1714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171450</wp:posOffset>
            </wp:positionV>
            <wp:extent cx="10629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891"/>
        <w:spacing w:after="0"/>
        <w:rPr>
          <w:sz w:val="20"/>
          <w:szCs w:val="20"/>
          <w:color w:val="auto"/>
        </w:rPr>
      </w:pPr>
      <w:r>
        <w:rPr>
          <w:rFonts w:ascii="Times New Roman" w:cs="Times New Roman" w:eastAsia="Times New Roman" w:hAnsi="Times New Roman"/>
          <w:sz w:val="18"/>
          <w:szCs w:val="18"/>
          <w:b w:val="1"/>
          <w:bCs w:val="1"/>
          <w:color w:val="auto"/>
        </w:rPr>
        <w:t>Navient Corporation</w:t>
      </w:r>
    </w:p>
    <w:p>
      <w:pPr>
        <w:spacing w:after="0" w:line="31" w:lineRule="exact"/>
        <w:rPr>
          <w:sz w:val="24"/>
          <w:szCs w:val="24"/>
          <w:color w:val="auto"/>
        </w:rPr>
      </w:pPr>
    </w:p>
    <w:p>
      <w:pPr>
        <w:jc w:val="center"/>
        <w:ind w:right="-891"/>
        <w:spacing w:after="0"/>
        <w:rPr>
          <w:sz w:val="20"/>
          <w:szCs w:val="20"/>
          <w:color w:val="auto"/>
        </w:rPr>
      </w:pPr>
      <w:r>
        <w:rPr>
          <w:rFonts w:ascii="Times New Roman" w:cs="Times New Roman" w:eastAsia="Times New Roman" w:hAnsi="Times New Roman"/>
          <w:sz w:val="18"/>
          <w:szCs w:val="18"/>
          <w:b w:val="1"/>
          <w:bCs w:val="1"/>
          <w:color w:val="auto"/>
        </w:rPr>
        <w:t>13865 Sunrise Valley Drive</w:t>
      </w:r>
    </w:p>
    <w:p>
      <w:pPr>
        <w:spacing w:after="0" w:line="9" w:lineRule="exact"/>
        <w:rPr>
          <w:sz w:val="24"/>
          <w:szCs w:val="24"/>
          <w:color w:val="auto"/>
        </w:rPr>
      </w:pPr>
    </w:p>
    <w:p>
      <w:pPr>
        <w:jc w:val="center"/>
        <w:ind w:right="-891"/>
        <w:spacing w:after="0"/>
        <w:rPr>
          <w:sz w:val="20"/>
          <w:szCs w:val="20"/>
          <w:color w:val="auto"/>
        </w:rPr>
      </w:pPr>
      <w:r>
        <w:rPr>
          <w:rFonts w:ascii="Times New Roman" w:cs="Times New Roman" w:eastAsia="Times New Roman" w:hAnsi="Times New Roman"/>
          <w:sz w:val="18"/>
          <w:szCs w:val="18"/>
          <w:b w:val="1"/>
          <w:bCs w:val="1"/>
          <w:color w:val="auto"/>
        </w:rPr>
        <w:t>Herndon, Virginia 20171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306070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32"/>
          </w:cols>
          <w:pgMar w:left="328" w:top="394" w:right="1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REQUIRED INFORMATION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Navient 401(k) Savings Plan (the Plan) is subject to the provisions of the Employee Retirement Income Security Act of 1974, as amended (ERISA), and for purposes of satisfying the requirements of 11-K has included for filing herewith the Plan financial statements and schedules prepared in accordance with the financial reporting requirements of ERISA.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0" w:type="dxa"/>
            <w:vAlign w:val="bottom"/>
            <w:tcBorders>
              <w:top w:val="single" w:sz="8" w:color="auto"/>
            </w:tcBorders>
            <w:vMerge w:val="restart"/>
          </w:tcPr>
          <w:p>
            <w:pPr>
              <w:spacing w:after="0"/>
              <w:rPr>
                <w:sz w:val="22"/>
                <w:szCs w:val="22"/>
                <w:color w:val="auto"/>
              </w:rPr>
            </w:pPr>
          </w:p>
        </w:tc>
        <w:tc>
          <w:tcPr>
            <w:tcW w:w="20" w:type="dxa"/>
            <w:vAlign w:val="bottom"/>
            <w:tcBorders>
              <w:top w:val="single" w:sz="8" w:color="auto"/>
            </w:tcBorders>
            <w:vMerge w:val="restart"/>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8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6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540" w:type="dxa"/>
            <w:vAlign w:val="bottom"/>
            <w:shd w:val="clear" w:color="auto" w:fill="CCEEFF"/>
          </w:tcPr>
          <w:p>
            <w:pPr>
              <w:jc w:val="center"/>
              <w:ind w:left="187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20" w:type="dxa"/>
            <w:vAlign w:val="bottom"/>
            <w:tcBorders>
              <w:top w:val="single" w:sz="8" w:color="0000EE"/>
            </w:tcBorders>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6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6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Net Assets Available for Benefits December 31, 2025 and 2024</w:t>
            </w:r>
          </w:p>
        </w:tc>
        <w:tc>
          <w:tcPr>
            <w:tcW w:w="2540" w:type="dxa"/>
            <w:vAlign w:val="bottom"/>
            <w:shd w:val="clear" w:color="auto" w:fill="CCEEFF"/>
          </w:tcPr>
          <w:p>
            <w:pPr>
              <w:jc w:val="center"/>
              <w:ind w:left="187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20" w:type="dxa"/>
            <w:vAlign w:val="bottom"/>
            <w:tcBorders>
              <w:top w:val="single" w:sz="8" w:color="0000EE"/>
            </w:tcBorders>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6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 of Changes in Net Assets Available for Benefits Year Ended December 31, 2025</w:t>
            </w:r>
          </w:p>
        </w:tc>
        <w:tc>
          <w:tcPr>
            <w:tcW w:w="2540" w:type="dxa"/>
            <w:vAlign w:val="bottom"/>
            <w:shd w:val="clear" w:color="auto" w:fill="CCEEFF"/>
          </w:tcPr>
          <w:p>
            <w:pPr>
              <w:jc w:val="center"/>
              <w:ind w:left="187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20" w:type="dxa"/>
            <w:vAlign w:val="bottom"/>
            <w:tcBorders>
              <w:top w:val="single" w:sz="8" w:color="0000EE"/>
            </w:tcBorders>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6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2540" w:type="dxa"/>
            <w:vAlign w:val="bottom"/>
            <w:shd w:val="clear" w:color="auto" w:fill="CCEEFF"/>
          </w:tcPr>
          <w:p>
            <w:pPr>
              <w:jc w:val="center"/>
              <w:ind w:left="187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20" w:type="dxa"/>
            <w:vAlign w:val="bottom"/>
            <w:tcBorders>
              <w:top w:val="single" w:sz="8" w:color="0000EE"/>
            </w:tcBorders>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6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2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6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Schedule H, Line 4i - Schedule of Assets (Held at End of Year)</w:t>
            </w:r>
          </w:p>
        </w:tc>
        <w:tc>
          <w:tcPr>
            <w:tcW w:w="2540" w:type="dxa"/>
            <w:vAlign w:val="bottom"/>
            <w:shd w:val="clear" w:color="auto" w:fill="CCEEFF"/>
          </w:tcPr>
          <w:p>
            <w:pPr>
              <w:jc w:val="center"/>
              <w:ind w:left="1870"/>
              <w:spacing w:after="0" w:line="176"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45" w:lineRule="exact"/>
        <w:rPr>
          <w:sz w:val="20"/>
          <w:szCs w:val="20"/>
          <w:color w:val="auto"/>
        </w:rPr>
      </w:pPr>
    </w:p>
    <w:p>
      <w:pPr>
        <w:ind w:right="220" w:firstLine="8"/>
        <w:spacing w:after="0" w:line="195"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schedules required by 29 CFR 2520.103-10 of the Department of Labor’s Rules and Regulations for Reporting and Disclosure under ERISA have been omitted because they were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239" w:right="2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Schedule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290195</wp:posOffset>
            </wp:positionV>
            <wp:extent cx="2082800" cy="617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828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Employee Benefits Fiduciary Committee and Plan Participants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Navient 401(k) Savings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the Financial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Navient 401(k) Savings Plan (the "Plan") as of December 31, 2025 and 2024, and the related statement of changes in net assets available for benefits for the year ended December 31, 2025, and the related notes to the financial statements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purposes of expressing an opinion on the effectiveness of the Plan's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7620</wp:posOffset>
            </wp:positionV>
            <wp:extent cx="2082800"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828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supplemental information in the accompanying Schedule H, Line 4i - schedule of assets (held at end of year) as of December 31, 2025 has been subjected to audit procedures performed in conjunction with the audits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Bethesda,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70980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4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643,029,010</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687,690,167</w:t>
            </w:r>
          </w:p>
        </w:tc>
      </w:tr>
      <w:tr>
        <w:trPr>
          <w:trHeight w:val="223"/>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2,808,815</w:t>
            </w:r>
          </w:p>
        </w:tc>
        <w:tc>
          <w:tcPr>
            <w:tcW w:w="3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6,333,718</w:t>
            </w:r>
          </w:p>
        </w:tc>
      </w:tr>
      <w:tr>
        <w:trPr>
          <w:trHeight w:val="216"/>
        </w:trPr>
        <w:tc>
          <w:tcPr>
            <w:tcW w:w="352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645,837,825</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694,023,885</w:t>
            </w:r>
          </w:p>
        </w:tc>
      </w:tr>
      <w:tr>
        <w:trPr>
          <w:trHeight w:val="21"/>
        </w:trPr>
        <w:tc>
          <w:tcPr>
            <w:tcW w:w="35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3520" w:type="dxa"/>
            <w:vAlign w:val="bottom"/>
          </w:tcPr>
          <w:p>
            <w:pPr>
              <w:spacing w:after="0"/>
              <w:rPr>
                <w:sz w:val="24"/>
                <w:szCs w:val="24"/>
                <w:color w:val="auto"/>
              </w:rPr>
            </w:pPr>
          </w:p>
        </w:tc>
        <w:tc>
          <w:tcPr>
            <w:tcW w:w="47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See Notes to Financial Statements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3"/>
        </w:trPr>
        <w:tc>
          <w:tcPr>
            <w:tcW w:w="3520" w:type="dxa"/>
            <w:vAlign w:val="bottom"/>
          </w:tcPr>
          <w:p>
            <w:pPr>
              <w:spacing w:after="0"/>
              <w:rPr>
                <w:sz w:val="24"/>
                <w:szCs w:val="24"/>
                <w:color w:val="auto"/>
              </w:rPr>
            </w:pPr>
          </w:p>
        </w:tc>
        <w:tc>
          <w:tcPr>
            <w:tcW w:w="4420" w:type="dxa"/>
            <w:vAlign w:val="bottom"/>
          </w:tcPr>
          <w:p>
            <w:pPr>
              <w:jc w:val="right"/>
              <w:ind w:right="2199"/>
              <w:spacing w:after="0"/>
              <w:rPr>
                <w:sz w:val="20"/>
                <w:szCs w:val="20"/>
                <w:color w:val="auto"/>
              </w:rPr>
            </w:pPr>
            <w:r>
              <w:rPr>
                <w:rFonts w:ascii="Times New Roman" w:cs="Times New Roman" w:eastAsia="Times New Roman" w:hAnsi="Times New Roman"/>
                <w:sz w:val="11"/>
                <w:szCs w:val="11"/>
                <w:color w:val="auto"/>
              </w:rPr>
              <w:t>3</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
        </w:trPr>
        <w:tc>
          <w:tcPr>
            <w:tcW w:w="352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70980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income:</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87,472,970</w:t>
            </w:r>
          </w:p>
        </w:tc>
      </w:tr>
      <w:tr>
        <w:trPr>
          <w:trHeight w:val="216"/>
        </w:trPr>
        <w:tc>
          <w:tcPr>
            <w:tcW w:w="9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Dividends and interest</w:t>
            </w:r>
          </w:p>
        </w:tc>
        <w:tc>
          <w:tcPr>
            <w:tcW w:w="4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13,307,272</w:t>
            </w:r>
          </w:p>
        </w:tc>
      </w:tr>
      <w:tr>
        <w:trPr>
          <w:trHeight w:val="236"/>
        </w:trPr>
        <w:tc>
          <w:tcPr>
            <w:tcW w:w="9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113,561</w:t>
            </w:r>
          </w:p>
        </w:tc>
      </w:tr>
      <w:tr>
        <w:trPr>
          <w:trHeight w:val="210"/>
        </w:trPr>
        <w:tc>
          <w:tcPr>
            <w:tcW w:w="948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100,893,803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9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4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312,028</w:t>
            </w:r>
          </w:p>
        </w:tc>
        <w:tc>
          <w:tcPr>
            <w:tcW w:w="80" w:type="dxa"/>
            <w:vAlign w:val="bottom"/>
          </w:tcPr>
          <w:p>
            <w:pPr>
              <w:spacing w:after="0"/>
              <w:rPr>
                <w:sz w:val="19"/>
                <w:szCs w:val="19"/>
                <w:color w:val="auto"/>
              </w:rPr>
            </w:pPr>
          </w:p>
        </w:tc>
      </w:tr>
      <w:tr>
        <w:trPr>
          <w:trHeight w:val="216"/>
        </w:trPr>
        <w:tc>
          <w:tcPr>
            <w:tcW w:w="9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Employer</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5,181,510</w:t>
            </w:r>
          </w:p>
        </w:tc>
        <w:tc>
          <w:tcPr>
            <w:tcW w:w="80" w:type="dxa"/>
            <w:vAlign w:val="bottom"/>
            <w:shd w:val="clear" w:color="auto" w:fill="CCEEFF"/>
          </w:tcPr>
          <w:p>
            <w:pPr>
              <w:spacing w:after="0"/>
              <w:rPr>
                <w:sz w:val="18"/>
                <w:szCs w:val="18"/>
                <w:color w:val="auto"/>
              </w:rPr>
            </w:pPr>
          </w:p>
        </w:tc>
      </w:tr>
      <w:tr>
        <w:trPr>
          <w:trHeight w:val="216"/>
        </w:trPr>
        <w:tc>
          <w:tcPr>
            <w:tcW w:w="9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Participant</w:t>
            </w:r>
          </w:p>
        </w:tc>
        <w:tc>
          <w:tcPr>
            <w:tcW w:w="4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10,705,041</w:t>
            </w:r>
          </w:p>
        </w:tc>
      </w:tr>
      <w:tr>
        <w:trPr>
          <w:trHeight w:val="236"/>
        </w:trPr>
        <w:tc>
          <w:tcPr>
            <w:tcW w:w="9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Rollover</w:t>
            </w:r>
          </w:p>
        </w:tc>
        <w:tc>
          <w:tcPr>
            <w:tcW w:w="4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1,761,005</w:t>
            </w:r>
          </w:p>
        </w:tc>
        <w:tc>
          <w:tcPr>
            <w:tcW w:w="80" w:type="dxa"/>
            <w:vAlign w:val="bottom"/>
            <w:shd w:val="clear" w:color="auto" w:fill="CCEEFF"/>
          </w:tcPr>
          <w:p>
            <w:pPr>
              <w:spacing w:after="0"/>
              <w:rPr>
                <w:sz w:val="20"/>
                <w:szCs w:val="20"/>
                <w:color w:val="auto"/>
              </w:rPr>
            </w:pPr>
          </w:p>
        </w:tc>
      </w:tr>
      <w:tr>
        <w:trPr>
          <w:trHeight w:val="210"/>
        </w:trPr>
        <w:tc>
          <w:tcPr>
            <w:tcW w:w="948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17,647,556</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9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Total Additions</w:t>
            </w:r>
          </w:p>
        </w:tc>
        <w:tc>
          <w:tcPr>
            <w:tcW w:w="4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118,853,387</w:t>
            </w:r>
          </w:p>
        </w:tc>
        <w:tc>
          <w:tcPr>
            <w:tcW w:w="80" w:type="dxa"/>
            <w:vAlign w:val="bottom"/>
          </w:tcPr>
          <w:p>
            <w:pPr>
              <w:spacing w:after="0"/>
              <w:rPr>
                <w:sz w:val="19"/>
                <w:szCs w:val="19"/>
                <w:color w:val="auto"/>
              </w:rPr>
            </w:pPr>
          </w:p>
        </w:tc>
      </w:tr>
      <w:tr>
        <w:trPr>
          <w:trHeight w:val="216"/>
        </w:trPr>
        <w:tc>
          <w:tcPr>
            <w:tcW w:w="9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Deductions</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108,249,973</w:t>
            </w:r>
          </w:p>
        </w:tc>
        <w:tc>
          <w:tcPr>
            <w:tcW w:w="80" w:type="dxa"/>
            <w:vAlign w:val="bottom"/>
            <w:shd w:val="clear" w:color="auto" w:fill="CCEEFF"/>
          </w:tcPr>
          <w:p>
            <w:pPr>
              <w:spacing w:after="0"/>
              <w:rPr>
                <w:sz w:val="18"/>
                <w:szCs w:val="18"/>
                <w:color w:val="auto"/>
              </w:rPr>
            </w:pPr>
          </w:p>
        </w:tc>
      </w:tr>
      <w:tr>
        <w:trPr>
          <w:trHeight w:val="223"/>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4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258,748</w:t>
            </w:r>
          </w:p>
        </w:tc>
        <w:tc>
          <w:tcPr>
            <w:tcW w:w="80" w:type="dxa"/>
            <w:vAlign w:val="bottom"/>
          </w:tcPr>
          <w:p>
            <w:pPr>
              <w:spacing w:after="0"/>
              <w:rPr>
                <w:sz w:val="19"/>
                <w:szCs w:val="19"/>
                <w:color w:val="auto"/>
              </w:rPr>
            </w:pPr>
          </w:p>
        </w:tc>
      </w:tr>
      <w:tr>
        <w:trPr>
          <w:trHeight w:val="216"/>
        </w:trPr>
        <w:tc>
          <w:tcPr>
            <w:tcW w:w="9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Total Deductions</w:t>
            </w:r>
          </w:p>
        </w:tc>
        <w:tc>
          <w:tcPr>
            <w:tcW w:w="4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108,508,721</w:t>
            </w:r>
          </w:p>
        </w:tc>
        <w:tc>
          <w:tcPr>
            <w:tcW w:w="80" w:type="dxa"/>
            <w:vAlign w:val="bottom"/>
          </w:tcPr>
          <w:p>
            <w:pPr>
              <w:spacing w:after="0"/>
              <w:rPr>
                <w:sz w:val="19"/>
                <w:szCs w:val="19"/>
                <w:color w:val="auto"/>
              </w:rPr>
            </w:pPr>
          </w:p>
        </w:tc>
      </w:tr>
      <w:tr>
        <w:trPr>
          <w:trHeight w:val="216"/>
        </w:trPr>
        <w:tc>
          <w:tcPr>
            <w:tcW w:w="9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w:t>
            </w:r>
          </w:p>
        </w:tc>
        <w:tc>
          <w:tcPr>
            <w:tcW w:w="4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10,344,666</w:t>
            </w:r>
          </w:p>
        </w:tc>
      </w:tr>
      <w:tr>
        <w:trPr>
          <w:trHeight w:val="216"/>
        </w:trPr>
        <w:tc>
          <w:tcPr>
            <w:tcW w:w="9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other plans (see Note 1)</w:t>
            </w:r>
          </w:p>
        </w:tc>
        <w:tc>
          <w:tcPr>
            <w:tcW w:w="4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(58,530,726)</w:t>
            </w:r>
          </w:p>
        </w:tc>
      </w:tr>
      <w:tr>
        <w:trPr>
          <w:trHeight w:val="216"/>
        </w:trPr>
        <w:tc>
          <w:tcPr>
            <w:tcW w:w="9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4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694,023,885</w:t>
            </w:r>
          </w:p>
        </w:tc>
        <w:tc>
          <w:tcPr>
            <w:tcW w:w="80" w:type="dxa"/>
            <w:vAlign w:val="bottom"/>
            <w:shd w:val="clear" w:color="auto" w:fill="CCEEFF"/>
          </w:tcPr>
          <w:p>
            <w:pPr>
              <w:spacing w:after="0"/>
              <w:rPr>
                <w:sz w:val="20"/>
                <w:szCs w:val="20"/>
                <w:color w:val="auto"/>
              </w:rPr>
            </w:pPr>
          </w:p>
        </w:tc>
      </w:tr>
      <w:tr>
        <w:trPr>
          <w:trHeight w:val="203"/>
        </w:trPr>
        <w:tc>
          <w:tcPr>
            <w:tcW w:w="9480" w:type="dxa"/>
            <w:vAlign w:val="bottom"/>
            <w:tcBorders>
              <w:top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End of year</w:t>
            </w: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645,837,825</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9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70980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10" w:lineRule="exact"/>
        <w:rPr>
          <w:sz w:val="20"/>
          <w:szCs w:val="20"/>
          <w:color w:val="auto"/>
        </w:rPr>
      </w:pPr>
    </w:p>
    <w:p>
      <w:pPr>
        <w:ind w:left="820" w:right="9140" w:hanging="812"/>
        <w:spacing w:after="0" w:line="317" w:lineRule="auto"/>
        <w:tabs>
          <w:tab w:leader="none" w:pos="8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Plan Description General</w:t>
      </w:r>
    </w:p>
    <w:p>
      <w:pPr>
        <w:spacing w:after="0" w:line="135" w:lineRule="exact"/>
        <w:rPr>
          <w:rFonts w:ascii="Times New Roman" w:cs="Times New Roman" w:eastAsia="Times New Roman" w:hAnsi="Times New Roman"/>
          <w:sz w:val="17"/>
          <w:szCs w:val="17"/>
          <w:color w:val="auto"/>
        </w:rPr>
      </w:pPr>
    </w:p>
    <w:p>
      <w:pPr>
        <w:jc w:val="both"/>
        <w:ind w:left="82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Navient 401(k) Savings Plan (the "Plan") was established on April 30, 2014, as a defined contribution plan established for the benefit of certain eligible employees of Navient Corporation (the "Company") and its participating subsidiaries. The Plan is subject to the provisions of the Employee Retirement Income Security Act of 1974, as amended (“ERISA”). The Navient Corporation Employee Benefits Fiduciary Committee (the "Committee") is responsible for oversight of the Plan. The Committee determines the appropriateness of the Plan's investment offerings and monitors investment performance. The following description of the Plan provides only general information. Participants should refer to the Plan documents for a more complete description of the Plan's provisions.</w:t>
      </w:r>
    </w:p>
    <w:p>
      <w:pPr>
        <w:spacing w:after="0" w:line="187" w:lineRule="exact"/>
        <w:rPr>
          <w:rFonts w:ascii="Times New Roman" w:cs="Times New Roman" w:eastAsia="Times New Roman" w:hAnsi="Times New Roman"/>
          <w:sz w:val="17"/>
          <w:szCs w:val="17"/>
          <w:color w:val="auto"/>
        </w:rPr>
      </w:pPr>
    </w:p>
    <w:p>
      <w:pPr>
        <w:jc w:val="both"/>
        <w:ind w:left="8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Plan covers substantially all employees of the Company and its participating subsidiaries. Eligible employees may participate in the Plan after one month of service. Effective June 1, 2021, the Plan eligibility was amended to include temporary employees who have worked at least 1,000 hours of service in an initial twelve-month period or thereafter, measured as of January 1st.</w:t>
      </w:r>
    </w:p>
    <w:p>
      <w:pPr>
        <w:spacing w:after="0" w:line="175" w:lineRule="exact"/>
        <w:rPr>
          <w:rFonts w:ascii="Times New Roman" w:cs="Times New Roman" w:eastAsia="Times New Roman" w:hAnsi="Times New Roman"/>
          <w:sz w:val="17"/>
          <w:szCs w:val="17"/>
          <w:color w:val="auto"/>
        </w:rPr>
      </w:pPr>
    </w:p>
    <w:p>
      <w:pPr>
        <w:jc w:val="both"/>
        <w:ind w:left="8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February 2025, the Company sold its government services business and nearly 1,200 employees were transferred to Gallant GAPS Holdings, LLC, an affiliate of Gallant Capital Partners, LLC. Employees distributed or transferred out of the Plan were fully vested upon transfer or distribution.</w:t>
      </w:r>
    </w:p>
    <w:p>
      <w:pPr>
        <w:spacing w:after="0" w:line="175" w:lineRule="exact"/>
        <w:rPr>
          <w:rFonts w:ascii="Times New Roman" w:cs="Times New Roman" w:eastAsia="Times New Roman" w:hAnsi="Times New Roman"/>
          <w:sz w:val="17"/>
          <w:szCs w:val="17"/>
          <w:color w:val="auto"/>
        </w:rPr>
      </w:pPr>
    </w:p>
    <w:p>
      <w:pPr>
        <w:ind w:left="82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Fidelity Management Trust Company (“Fidelity”) is the Plan Trustee. An affiliate of Fidelity, Fidelity Investments Institutional Operations Company, Inc. (“FIIOC”), serves as recordkeeper.</w:t>
      </w:r>
    </w:p>
    <w:p>
      <w:pPr>
        <w:spacing w:after="0" w:line="157"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Contributions and vesting</w:t>
      </w:r>
    </w:p>
    <w:p>
      <w:pPr>
        <w:spacing w:after="0" w:line="31" w:lineRule="exact"/>
        <w:rPr>
          <w:rFonts w:ascii="Times New Roman" w:cs="Times New Roman" w:eastAsia="Times New Roman" w:hAnsi="Times New Roman"/>
          <w:sz w:val="17"/>
          <w:szCs w:val="17"/>
          <w:color w:val="auto"/>
        </w:rPr>
      </w:pPr>
    </w:p>
    <w:p>
      <w:pPr>
        <w:jc w:val="both"/>
        <w:ind w:left="8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Participants are eligible to contribute from 1 to 75 percent of their eligible compensation to the Plan, in increments of whole percentages, up to the Internal Revenue Service (“IRS”) annual maximum limits. The Plan allows participants who will attain age 50 in the current Plan year to make catch-up contributions into the Plan up to the IRS maximum. The Plan has a qualified automatic contribution arrangement (“QACA”) in which eligible employees are automatically enrolled to contribute 3% of their eligible compensation each pay period. This contribution amount automatically increases each year by 1% of eligible compensation, up to a maximum employee contribution equal to 10% of eligible compensation. Participants have the ability to opt out of automatic enrollments and automatic increases. Participants may also contribute amounts into the Plan from other qualified employer plans in which they had previously participated. Participants direct the investment of their contributions into various investment options offered by the Plan.</w:t>
      </w:r>
    </w:p>
    <w:p>
      <w:pPr>
        <w:spacing w:after="0" w:line="193" w:lineRule="exact"/>
        <w:rPr>
          <w:rFonts w:ascii="Times New Roman" w:cs="Times New Roman" w:eastAsia="Times New Roman" w:hAnsi="Times New Roman"/>
          <w:sz w:val="17"/>
          <w:szCs w:val="17"/>
          <w:color w:val="auto"/>
        </w:rPr>
      </w:pPr>
    </w:p>
    <w:p>
      <w:pPr>
        <w:ind w:left="82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Effective August 2, 2021, Participants are restricted from directing more than 20% of their future contributions into the Navient Stock Fund. In addition, Participants will be restricted from directing more than 20% of their existing aggregate account balance to the Navient Stock Fund.</w:t>
      </w:r>
    </w:p>
    <w:p>
      <w:pPr>
        <w:spacing w:after="0" w:line="161" w:lineRule="exact"/>
        <w:rPr>
          <w:rFonts w:ascii="Times New Roman" w:cs="Times New Roman" w:eastAsia="Times New Roman" w:hAnsi="Times New Roman"/>
          <w:sz w:val="17"/>
          <w:szCs w:val="17"/>
          <w:color w:val="auto"/>
        </w:rPr>
      </w:pPr>
    </w:p>
    <w:p>
      <w:pPr>
        <w:jc w:val="both"/>
        <w:ind w:left="8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Company makes a QACA safe harbor matching contribution on behalf of each participant after the participant has accrued six months of service. This matching contribution is 100% of employee contributions (i.e., a dollar-for-dollar match) up to the first 5% of a participant’s compensation. These matching contributions and related earnings vest after one year of service. Participants also direct the investments of Company contributions.</w:t>
      </w:r>
    </w:p>
    <w:p>
      <w:pPr>
        <w:spacing w:after="0" w:line="179" w:lineRule="exact"/>
        <w:rPr>
          <w:rFonts w:ascii="Times New Roman" w:cs="Times New Roman" w:eastAsia="Times New Roman" w:hAnsi="Times New Roman"/>
          <w:sz w:val="17"/>
          <w:szCs w:val="17"/>
          <w:color w:val="auto"/>
        </w:rPr>
      </w:pPr>
    </w:p>
    <w:p>
      <w:pPr>
        <w:jc w:val="both"/>
        <w:ind w:left="8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Participants forfeit their right to Company contributions that are unvested at the time of their termination of service. During 2025, Company contributions were reduced by $4,914 from previously forfeited non-vested accounts. Unused forfeitures at December 31, 2025 and 2024 totaled $3,916 and $4,391, respectively, which will be used to offset future Company contributions.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70980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41"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Plan also allows the Company to make a discretionary profit-sharing contribution, whereby the Company determines the amount of net profits, if any, to contribute to the Plan. The Company did not make any profit-sharing contributions for the year ended December 31, 2025.</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jc w:val="both"/>
        <w:ind w:left="820"/>
        <w:spacing w:after="0" w:line="252" w:lineRule="auto"/>
        <w:rPr>
          <w:sz w:val="20"/>
          <w:szCs w:val="20"/>
          <w:color w:val="auto"/>
        </w:rPr>
      </w:pPr>
      <w:r>
        <w:rPr>
          <w:rFonts w:ascii="Times New Roman" w:cs="Times New Roman" w:eastAsia="Times New Roman" w:hAnsi="Times New Roman"/>
          <w:sz w:val="18"/>
          <w:szCs w:val="18"/>
          <w:color w:val="auto"/>
        </w:rPr>
        <w:t>Participants may generally borrow up to 50% of their vested benefit to a maximum of $50,000. Participants may have no more than two loans outstanding at any time. The term of a loan will be three or five years, at the election of the participant, except for a loan to purchase the participant's principal residence, which can be repaid over 20 years. Loans are secured by the participant's account balance, bear interest at the prime rate established by the Federal Reserve and are repaid biweekly through automatic payroll deductions. In addition, participants may repay all or a portion (in $500 increments) of such loans at any time. Loans allowable under the Plan, collateralized by participant account balances, are due in varying installments through 2036, with interest rates ranging from 3.25% to 9%.</w:t>
      </w:r>
    </w:p>
    <w:p>
      <w:pPr>
        <w:spacing w:after="0" w:line="1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Investment elections</w:t>
      </w:r>
    </w:p>
    <w:p>
      <w:pPr>
        <w:spacing w:after="0" w:line="31" w:lineRule="exact"/>
        <w:rPr>
          <w:sz w:val="20"/>
          <w:szCs w:val="20"/>
          <w:color w:val="auto"/>
        </w:rPr>
      </w:pPr>
    </w:p>
    <w:p>
      <w:pPr>
        <w:jc w:val="both"/>
        <w:ind w:left="820"/>
        <w:spacing w:after="0" w:line="252" w:lineRule="auto"/>
        <w:rPr>
          <w:sz w:val="20"/>
          <w:szCs w:val="20"/>
          <w:color w:val="auto"/>
        </w:rPr>
      </w:pPr>
      <w:r>
        <w:rPr>
          <w:rFonts w:ascii="Times New Roman" w:cs="Times New Roman" w:eastAsia="Times New Roman" w:hAnsi="Times New Roman"/>
          <w:sz w:val="18"/>
          <w:szCs w:val="18"/>
          <w:color w:val="auto"/>
        </w:rPr>
        <w:t>The Plan offers a variety of investment options, including various registered investment companies, a unitized employer stock fund and common collective trust funds. In addition, participants have the option to direct investments through a self-directed brokerage account. Under the self-directed brokerage account, participants may direct investments in many eligible security types other than Company stock or other investments offered by Fidelity within the Plan. If a participant does not make an investment election, contributions are made to a qualified default investment. The qualified default investment is the Fidelity Freedom Fund, based on the participant’s date of birth and year in which the participant attains age 65.</w:t>
      </w:r>
    </w:p>
    <w:p>
      <w:pPr>
        <w:spacing w:after="0" w:line="1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31"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and the Company’s contributions and their portion of the Plan’s earnings (losses). Plan earnings (losses) are allocated based on the participant’s designated investments of their account balances, as defined. The benefit to which a participant is entitled is the benefit that can be provided from the participant’s vested account.</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Participants may withdraw funds from their account upon retirement, disability, separation from employment, attainment of age 59-1/2, and certain other times as specified in the Plan document. Distributions shall be made in a lump sum in cash, in the Company’s common stock, or a combination thereof, reduced by the outstanding balance of any loans not repaid by the participant.</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31"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Participants pay fees relating to participant’s loans and withdrawals. Additionally, participants may pay for commissions associated with common stock purchases and sales and short-term transaction fees in certain funds when participants trade in and out of the funds within the time restriction specified for such funds. Participant costs, including investment management fees charged by the respective funds, are charged directly to the participant's account and are reflected in the statement of changes in net assets available for benefits. The Company bears the remaining cost of Plan administration.</w:t>
      </w:r>
    </w:p>
    <w:p>
      <w:pPr>
        <w:spacing w:after="0" w:line="1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31"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The Navient Corporation Employee Benefits Fiduciary Committee administers the Plan and is responsible for development of Plan investment policies and guidelines. Officers and Directors of the Company or its subsidiaries presently serve as Committee members. The Plan did not pay the Company, its subsidiaries or the Committee members for their services.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70980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10" w:lineRule="exact"/>
        <w:rPr>
          <w:sz w:val="20"/>
          <w:szCs w:val="20"/>
          <w:color w:val="auto"/>
        </w:rPr>
      </w:pPr>
    </w:p>
    <w:p>
      <w:pPr>
        <w:ind w:left="820" w:hanging="812"/>
        <w:spacing w:after="0"/>
        <w:tabs>
          <w:tab w:leader="none" w:pos="8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accounting</w:t>
      </w:r>
    </w:p>
    <w:p>
      <w:pPr>
        <w:spacing w:after="0" w:line="31" w:lineRule="exact"/>
        <w:rPr>
          <w:rFonts w:ascii="Times New Roman" w:cs="Times New Roman" w:eastAsia="Times New Roman" w:hAnsi="Times New Roman"/>
          <w:sz w:val="18"/>
          <w:szCs w:val="18"/>
          <w:b w:val="1"/>
          <w:bCs w:val="1"/>
          <w:color w:val="auto"/>
        </w:rPr>
      </w:pPr>
    </w:p>
    <w:p>
      <w:pPr>
        <w:ind w:left="8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of the Plan are prepared on the accrual basis of accounting in accordance with accounting principles generally accepted in the United States of America.</w:t>
      </w:r>
    </w:p>
    <w:p>
      <w:pPr>
        <w:spacing w:after="0" w:line="177"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rFonts w:ascii="Times New Roman" w:cs="Times New Roman" w:eastAsia="Times New Roman" w:hAnsi="Times New Roman"/>
          <w:sz w:val="18"/>
          <w:szCs w:val="18"/>
          <w:b w:val="1"/>
          <w:bCs w:val="1"/>
          <w:color w:val="auto"/>
        </w:rPr>
      </w:pPr>
    </w:p>
    <w:p>
      <w:pPr>
        <w:jc w:val="both"/>
        <w:ind w:left="8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Financial Accounting Standards Board’s ("FASB") Accounting Standards Codification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ASC 820 specifies a fair value hierarchy which prioritizes the inputs to valuation techniques used to measure fair value into three broad levels. Classification is based on the lowest level of input that is significant to the fair value of the instrument. The three levels are as follows:</w:t>
      </w:r>
    </w:p>
    <w:p>
      <w:pPr>
        <w:spacing w:after="0" w:line="187"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 that the reporting entity has the ability to access at the measurement date. The types of financial instruments included in Level 1 are highly liquid instruments with quoted prices.</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Level 2 – Inputs to the valuation methodology include: quoted prices for similar assets or liabilities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180"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Level 3 – Pricing inputs significant to the valuation are unobservable. Inputs are developed based on the best information available; however, significant judgment is required by management in developing the inputs.</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related disclosures are in Note 3.</w:t>
      </w:r>
    </w:p>
    <w:p>
      <w:pPr>
        <w:spacing w:after="0" w:line="2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31" w:lineRule="exact"/>
        <w:rPr>
          <w:sz w:val="20"/>
          <w:szCs w:val="20"/>
          <w:color w:val="auto"/>
        </w:rPr>
      </w:pPr>
    </w:p>
    <w:p>
      <w:pPr>
        <w:ind w:left="820" w:right="20"/>
        <w:spacing w:after="0" w:line="260" w:lineRule="auto"/>
        <w:rPr>
          <w:sz w:val="20"/>
          <w:szCs w:val="20"/>
          <w:color w:val="auto"/>
        </w:rPr>
      </w:pPr>
      <w:r>
        <w:rPr>
          <w:rFonts w:ascii="Times New Roman" w:cs="Times New Roman" w:eastAsia="Times New Roman" w:hAnsi="Times New Roman"/>
          <w:sz w:val="18"/>
          <w:szCs w:val="18"/>
          <w:color w:val="auto"/>
        </w:rPr>
        <w:t>Investments held by the Plan at December 31, 2025, consist of various mutual funds, a unitized employer common stock fund, common/collective trusts, and a self-directed brokerage option:</w:t>
      </w:r>
    </w:p>
    <w:p>
      <w:pPr>
        <w:spacing w:after="0" w:line="181" w:lineRule="exact"/>
        <w:rPr>
          <w:sz w:val="20"/>
          <w:szCs w:val="20"/>
          <w:color w:val="auto"/>
        </w:rPr>
      </w:pPr>
    </w:p>
    <w:p>
      <w:pPr>
        <w:ind w:left="1620" w:hanging="316"/>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 Fair value is determined based on quoted market prices, which represents the net asset value (“NAV”) for shares held at year-end.</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fund – The Navient Stock Fund unit value is based on the closing price of the Company’s stock and the value of the money market component on the last business day of the Plan year. The Company’s stock is listed and traded on the NASDAQ Global Select Market. Investments traded in the over-the-counter market and listed securities for which no sale was reported on that date are valued at the average of the last reported bid and asked prices.</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Common/collective trusts (“CCTs”) – CCT funds are valued at the NAV of units of CCT. The NAV, as provided by the CCT managers, is used as a practical expedient to estimate fair value. The NAV is based on the fair value of the underlying investments held by the fund less its liabilities.</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Self-directed brokerage – All brokerage account investments traded on a national securities exchange are carried at fair value based on the closing price on the last business day of the year.</w:t>
      </w:r>
    </w:p>
    <w:p>
      <w:pPr>
        <w:spacing w:after="0" w:line="162"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Dividend income is recorded on the ex-dividend date. Interest earned on investments is recorded on an accrual basis. Purchases and sales of securities are recorded on the trade date.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70980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Interest income is recorded on the accrual basis. If a participant ceases to make loan repayments and the Plan administrator deems the participant loan to be in default, the participant loan balance is reduced and a benefit payment is recorded.</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31" w:lineRule="exact"/>
        <w:rPr>
          <w:sz w:val="20"/>
          <w:szCs w:val="20"/>
          <w:color w:val="auto"/>
        </w:rPr>
      </w:pPr>
    </w:p>
    <w:p>
      <w:pPr>
        <w:jc w:val="both"/>
        <w:ind w:left="820"/>
        <w:spacing w:after="0" w:line="260" w:lineRule="auto"/>
        <w:rPr>
          <w:sz w:val="20"/>
          <w:szCs w:val="20"/>
          <w:color w:val="auto"/>
        </w:rPr>
      </w:pPr>
      <w:r>
        <w:rPr>
          <w:rFonts w:ascii="Times New Roman" w:cs="Times New Roman" w:eastAsia="Times New Roman" w:hAnsi="Times New Roman"/>
          <w:sz w:val="18"/>
          <w:szCs w:val="18"/>
          <w:color w:val="auto"/>
        </w:rPr>
        <w:t>Contributions made by employees electing to participate in the Plan under salary reduction agreements or by automatic enrollment and Company contributions are recorded when payable into the Plan.</w:t>
      </w:r>
    </w:p>
    <w:p>
      <w:pPr>
        <w:spacing w:after="0" w:line="1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1"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31"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The Plan provides for various investment options. Such investments are subject to various risks such as interest rate, market and credit risks. Due to the level of risk associated with certain investment securities, it is reasonably possible that changes in the value of investment securities will occur in the near term, including a decrease in value, and that such changes could materially affect participants' account balances and the amounts reported in the statement of net assets available for benefits.</w:t>
      </w:r>
    </w:p>
    <w:p>
      <w:pPr>
        <w:spacing w:after="0" w:line="1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70980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10" w:lineRule="exact"/>
        <w:rPr>
          <w:sz w:val="20"/>
          <w:szCs w:val="20"/>
          <w:color w:val="auto"/>
        </w:rPr>
      </w:pPr>
    </w:p>
    <w:p>
      <w:pPr>
        <w:ind w:left="820" w:hanging="812"/>
        <w:spacing w:after="0"/>
        <w:tabs>
          <w:tab w:leader="none" w:pos="8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Plan investments at December 31, 2025 and 2024 are shown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Based on</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at</w:t>
            </w:r>
          </w:p>
        </w:tc>
        <w:tc>
          <w:tcPr>
            <w:tcW w:w="180" w:type="dxa"/>
            <w:vAlign w:val="bottom"/>
          </w:tcPr>
          <w:p>
            <w:pPr>
              <w:spacing w:after="0"/>
              <w:rPr>
                <w:sz w:val="18"/>
                <w:szCs w:val="18"/>
                <w:color w:val="auto"/>
              </w:rPr>
            </w:pPr>
          </w:p>
        </w:tc>
        <w:tc>
          <w:tcPr>
            <w:tcW w:w="15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rPr>
              <w:t>Quoted prices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observable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Pr>
          <w:p>
            <w:pPr>
              <w:spacing w:after="0"/>
              <w:rPr>
                <w:sz w:val="18"/>
                <w:szCs w:val="18"/>
                <w:color w:val="auto"/>
              </w:rPr>
            </w:pPr>
          </w:p>
        </w:tc>
        <w:tc>
          <w:tcPr>
            <w:tcW w:w="15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active markets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Inputs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1"/>
        </w:trPr>
        <w:tc>
          <w:tcPr>
            <w:tcW w:w="50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131,016,324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131,016,324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fund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6,016,875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6,016,875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27,626,365</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27,626,365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164,659,564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158,642,689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6,016,875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measured at NAV (a)</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478,369,446</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643,029,010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w w:val="99"/>
              </w:rPr>
              <w:t>Based on</w:t>
            </w: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Fair value at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Quoted prices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observable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active markets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Inputs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1"/>
        </w:trPr>
        <w:tc>
          <w:tcPr>
            <w:tcW w:w="5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482,999,332</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482,999,332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fund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7,390,479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7,390,479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33,293,316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33,293,316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523,683,127</w:t>
            </w:r>
          </w:p>
        </w:tc>
        <w:tc>
          <w:tcPr>
            <w:tcW w:w="2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516,292,648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7,390,479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measured at NAV (a)</w:t>
            </w:r>
          </w:p>
        </w:tc>
        <w:tc>
          <w:tcPr>
            <w:tcW w:w="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164,007,040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687,690,167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61" w:lineRule="auto"/>
        <w:tabs>
          <w:tab w:leader="none" w:pos="2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Subtopic 820-10, investments in common collective trusts that were measured at NAV per share (or its equivalent) have not been classified in the fair value hierarchy. The fair value amounts presented in this table are intended to permit reconciliation of the fair value hierarchy to the line items presented in the statements of net assets available for benefits. There are no participant redemptions restrictions for these investments; however, the Plan is required to provide a one-year redemption notice to liquidate its entire share.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70980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10" w:lineRule="exact"/>
        <w:rPr>
          <w:sz w:val="20"/>
          <w:szCs w:val="20"/>
          <w:color w:val="auto"/>
        </w:rPr>
      </w:pPr>
    </w:p>
    <w:p>
      <w:pPr>
        <w:ind w:left="820" w:hanging="812"/>
        <w:spacing w:after="0"/>
        <w:tabs>
          <w:tab w:leader="none" w:pos="8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Termination</w:t>
      </w:r>
    </w:p>
    <w:p>
      <w:pPr>
        <w:spacing w:after="0" w:line="229"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and the Internal Revenue Code (“IRC”). In the event of Plan termination, participants would become 100% vested in their Company contributions.</w:t>
      </w:r>
    </w:p>
    <w:p>
      <w:pPr>
        <w:spacing w:after="0" w:line="171" w:lineRule="exact"/>
        <w:rPr>
          <w:rFonts w:ascii="Times New Roman" w:cs="Times New Roman" w:eastAsia="Times New Roman" w:hAnsi="Times New Roman"/>
          <w:sz w:val="18"/>
          <w:szCs w:val="18"/>
          <w:b w:val="1"/>
          <w:bCs w:val="1"/>
          <w:color w:val="auto"/>
        </w:rPr>
      </w:pPr>
    </w:p>
    <w:p>
      <w:pPr>
        <w:ind w:left="820" w:hanging="812"/>
        <w:spacing w:after="0"/>
        <w:tabs>
          <w:tab w:leader="none" w:pos="8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 and Party-In-Interest Transactions</w:t>
      </w:r>
    </w:p>
    <w:p>
      <w:pPr>
        <w:spacing w:after="0" w:line="229" w:lineRule="exact"/>
        <w:rPr>
          <w:rFonts w:ascii="Times New Roman" w:cs="Times New Roman" w:eastAsia="Times New Roman" w:hAnsi="Times New Roman"/>
          <w:sz w:val="18"/>
          <w:szCs w:val="18"/>
          <w:b w:val="1"/>
          <w:bCs w:val="1"/>
          <w:color w:val="auto"/>
        </w:rPr>
      </w:pPr>
    </w:p>
    <w:p>
      <w:pPr>
        <w:jc w:val="both"/>
        <w:ind w:left="8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Plan investments are managed by Fidelity. Fidelity is the trustee as defined by the Plan and therefore these transactions qualify as party-in-interest transactions. The Plan also earns "revenue credits" from Fidelity based on certain investments of the Plan. During 2025, $113,561 was earned and included in other income on the statement of changes in net assets available for benefits. These fee credits are allocated to participants who invested in the Plan investments that earned the fee credits.</w:t>
      </w:r>
    </w:p>
    <w:p>
      <w:pPr>
        <w:spacing w:after="0" w:line="179" w:lineRule="exact"/>
        <w:rPr>
          <w:rFonts w:ascii="Times New Roman" w:cs="Times New Roman" w:eastAsia="Times New Roman" w:hAnsi="Times New Roman"/>
          <w:sz w:val="18"/>
          <w:szCs w:val="18"/>
          <w:b w:val="1"/>
          <w:bCs w:val="1"/>
          <w:color w:val="auto"/>
        </w:rPr>
      </w:pPr>
    </w:p>
    <w:p>
      <w:pPr>
        <w:jc w:val="both"/>
        <w:ind w:left="8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the Plan has investments in the Navient Stock Fund comprised principally of Navient Corporation common stock. At December 31, 2025 and 2024, the Plan held 588,672 and 708,340 units, respectively, valued at $6,016,875, and $7,390,479, respectively. During 2025, 49,602 units in the amount of $516,676 were purchased and 169,270 units in the amount of $1,752,506 were sold related to the Navient Stock Fund. Such transactions qualify as party-in-interest transactions, as Navient Corporation is the Plan’s sponsor. During 2025, the Plan recorded dividend income in the amount of $320,605 from participants’ investments in the Navient Stock Fund.</w:t>
      </w:r>
    </w:p>
    <w:p>
      <w:pPr>
        <w:spacing w:after="0" w:line="179" w:lineRule="exact"/>
        <w:rPr>
          <w:rFonts w:ascii="Times New Roman" w:cs="Times New Roman" w:eastAsia="Times New Roman" w:hAnsi="Times New Roman"/>
          <w:sz w:val="18"/>
          <w:szCs w:val="18"/>
          <w:b w:val="1"/>
          <w:bCs w:val="1"/>
          <w:color w:val="auto"/>
        </w:rPr>
      </w:pPr>
    </w:p>
    <w:p>
      <w:pPr>
        <w:ind w:left="820" w:hanging="812"/>
        <w:spacing w:after="0"/>
        <w:tabs>
          <w:tab w:leader="none" w:pos="8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Status</w:t>
      </w:r>
    </w:p>
    <w:p>
      <w:pPr>
        <w:spacing w:after="0" w:line="229" w:lineRule="exact"/>
        <w:rPr>
          <w:rFonts w:ascii="Times New Roman" w:cs="Times New Roman" w:eastAsia="Times New Roman" w:hAnsi="Times New Roman"/>
          <w:sz w:val="18"/>
          <w:szCs w:val="18"/>
          <w:b w:val="1"/>
          <w:bCs w:val="1"/>
          <w:color w:val="auto"/>
        </w:rPr>
      </w:pPr>
    </w:p>
    <w:p>
      <w:pPr>
        <w:jc w:val="both"/>
        <w:ind w:left="8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IRS has determined and informed the Company by a letter dated August 10, 2016, that the Plan is designed in accordance with applicable sections of the IRC. Although the Plan has been amended since receiving the determination letter, the Plan administrator believes that the Plan and related trust are operating in accordance with the IRC and are qualified under Section 401(a) of the IRC. Accordingly, no provision for income taxes has been made.</w:t>
      </w:r>
    </w:p>
    <w:p>
      <w:pPr>
        <w:spacing w:after="0" w:line="179" w:lineRule="exact"/>
        <w:rPr>
          <w:rFonts w:ascii="Times New Roman" w:cs="Times New Roman" w:eastAsia="Times New Roman" w:hAnsi="Times New Roman"/>
          <w:sz w:val="18"/>
          <w:szCs w:val="18"/>
          <w:b w:val="1"/>
          <w:bCs w:val="1"/>
          <w:color w:val="auto"/>
        </w:rPr>
      </w:pPr>
    </w:p>
    <w:p>
      <w:pPr>
        <w:jc w:val="both"/>
        <w:ind w:left="8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if the Plan has taken an uncertain position that more likely than not would not be sustained upon examination by the IRS. The Plan is subject to routine audits by taxing jurisdictions for years since inception; however, there are currently no audits for any tax periods in progress.</w:t>
      </w:r>
    </w:p>
    <w:p>
      <w:pPr>
        <w:spacing w:after="0" w:line="175" w:lineRule="exact"/>
        <w:rPr>
          <w:rFonts w:ascii="Times New Roman" w:cs="Times New Roman" w:eastAsia="Times New Roman" w:hAnsi="Times New Roman"/>
          <w:sz w:val="18"/>
          <w:szCs w:val="18"/>
          <w:b w:val="1"/>
          <w:bCs w:val="1"/>
          <w:color w:val="auto"/>
        </w:rPr>
      </w:pPr>
    </w:p>
    <w:p>
      <w:pPr>
        <w:ind w:left="820" w:hanging="812"/>
        <w:spacing w:after="0"/>
        <w:tabs>
          <w:tab w:leader="none" w:pos="8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Management has evaluated subsequent events through June 23, 2026, the date the financial statements were issued.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Navient 401(k) Savings Plan</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88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EIN: 46-4054283 Plan: 001</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88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December 31, 2025</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(a)</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 Identity of issuer, borrower, or similar entity</w:t>
            </w:r>
          </w:p>
        </w:tc>
        <w:tc>
          <w:tcPr>
            <w:tcW w:w="38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 Description of Investment</w:t>
            </w:r>
          </w:p>
        </w:tc>
        <w:tc>
          <w:tcPr>
            <w:tcW w:w="1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 Cost</w:t>
            </w:r>
          </w:p>
        </w:tc>
        <w:tc>
          <w:tcPr>
            <w:tcW w:w="1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 Current value</w:t>
            </w:r>
          </w:p>
        </w:tc>
      </w:tr>
      <w:tr>
        <w:trPr>
          <w:trHeight w:val="216"/>
        </w:trPr>
        <w:tc>
          <w:tcPr>
            <w:tcW w:w="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BROKERAGELINK</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27,626,365</w:t>
            </w:r>
          </w:p>
        </w:tc>
      </w:tr>
      <w:tr>
        <w:trPr>
          <w:trHeight w:val="216"/>
        </w:trPr>
        <w:tc>
          <w:tcPr>
            <w:tcW w:w="260" w:type="dxa"/>
            <w:vAlign w:val="bottom"/>
          </w:tcPr>
          <w:p>
            <w:pPr>
              <w:spacing w:after="0"/>
              <w:rPr>
                <w:sz w:val="18"/>
                <w:szCs w:val="18"/>
                <w:color w:val="auto"/>
              </w:rPr>
            </w:pP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JH ENTERPRISE III</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13,124,853</w:t>
            </w:r>
          </w:p>
        </w:tc>
      </w:tr>
      <w:tr>
        <w:trPr>
          <w:trHeight w:val="216"/>
        </w:trPr>
        <w:tc>
          <w:tcPr>
            <w:tcW w:w="260" w:type="dxa"/>
            <w:vAlign w:val="bottom"/>
            <w:shd w:val="clear" w:color="auto" w:fill="CCEEFF"/>
          </w:tcPr>
          <w:p>
            <w:pPr>
              <w:spacing w:after="0"/>
              <w:rPr>
                <w:sz w:val="18"/>
                <w:szCs w:val="18"/>
                <w:color w:val="auto"/>
              </w:rPr>
            </w:pP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 OVERSEAS VAL R</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16,155,851</w:t>
            </w:r>
          </w:p>
        </w:tc>
      </w:tr>
      <w:tr>
        <w:trPr>
          <w:trHeight w:val="216"/>
        </w:trPr>
        <w:tc>
          <w:tcPr>
            <w:tcW w:w="260" w:type="dxa"/>
            <w:vAlign w:val="bottom"/>
          </w:tcPr>
          <w:p>
            <w:pPr>
              <w:spacing w:after="0"/>
              <w:rPr>
                <w:sz w:val="18"/>
                <w:szCs w:val="18"/>
                <w:color w:val="auto"/>
              </w:rPr>
            </w:pP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SPL SM CAP VAL E</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3,985,342</w:t>
            </w:r>
          </w:p>
        </w:tc>
        <w:tc>
          <w:tcPr>
            <w:tcW w:w="10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PUTNAM STABLE VALUE</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4,842,857</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PGIM GLB TOT RTN Z</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Mutual Funds</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712,285</w:t>
            </w:r>
          </w:p>
        </w:tc>
        <w:tc>
          <w:tcPr>
            <w:tcW w:w="10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LOOMIS SM CP GRTH N</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Mutual Funds</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16,724,520</w:t>
            </w:r>
          </w:p>
        </w:tc>
      </w:tr>
      <w:tr>
        <w:trPr>
          <w:trHeight w:val="216"/>
        </w:trPr>
        <w:tc>
          <w:tcPr>
            <w:tcW w:w="260" w:type="dxa"/>
            <w:vAlign w:val="bottom"/>
          </w:tcPr>
          <w:p>
            <w:pPr>
              <w:spacing w:after="0"/>
              <w:rPr>
                <w:sz w:val="18"/>
                <w:szCs w:val="18"/>
                <w:color w:val="auto"/>
              </w:rPr>
            </w:pP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DODGE &amp; COX INCOME X</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Mutual Funds</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18,818,719</w:t>
            </w:r>
          </w:p>
        </w:tc>
      </w:tr>
      <w:tr>
        <w:trPr>
          <w:trHeight w:val="216"/>
        </w:trPr>
        <w:tc>
          <w:tcPr>
            <w:tcW w:w="260" w:type="dxa"/>
            <w:vAlign w:val="bottom"/>
            <w:shd w:val="clear" w:color="auto" w:fill="CCEEFF"/>
          </w:tcPr>
          <w:p>
            <w:pPr>
              <w:spacing w:after="0"/>
              <w:rPr>
                <w:sz w:val="18"/>
                <w:szCs w:val="18"/>
                <w:color w:val="auto"/>
              </w:rPr>
            </w:pP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VANG VMMR-FED MMKT</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Mutual Funds</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25,974,623</w:t>
            </w:r>
          </w:p>
        </w:tc>
      </w:tr>
      <w:tr>
        <w:trPr>
          <w:trHeight w:val="216"/>
        </w:trPr>
        <w:tc>
          <w:tcPr>
            <w:tcW w:w="260" w:type="dxa"/>
            <w:vAlign w:val="bottom"/>
          </w:tcPr>
          <w:p>
            <w:pPr>
              <w:spacing w:after="0"/>
              <w:rPr>
                <w:sz w:val="18"/>
                <w:szCs w:val="18"/>
                <w:color w:val="auto"/>
              </w:rPr>
            </w:pP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 WASH MUTL INV R6</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Mutual Funds</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17,149,913</w:t>
            </w:r>
          </w:p>
        </w:tc>
      </w:tr>
      <w:tr>
        <w:trPr>
          <w:trHeight w:val="216"/>
        </w:trPr>
        <w:tc>
          <w:tcPr>
            <w:tcW w:w="260" w:type="dxa"/>
            <w:vAlign w:val="bottom"/>
            <w:shd w:val="clear" w:color="auto" w:fill="CCEEFF"/>
          </w:tcPr>
          <w:p>
            <w:pPr>
              <w:spacing w:after="0"/>
              <w:rPr>
                <w:sz w:val="18"/>
                <w:szCs w:val="18"/>
                <w:color w:val="auto"/>
              </w:rPr>
            </w:pP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VICTORY S ESTB VAL Y</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Mutual Funds</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14,029,526</w:t>
            </w:r>
          </w:p>
        </w:tc>
      </w:tr>
      <w:tr>
        <w:trPr>
          <w:trHeight w:val="216"/>
        </w:trPr>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NAVIENT STOCK FUND</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Common Stock Fund</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6,016,875</w:t>
            </w:r>
          </w:p>
        </w:tc>
        <w:tc>
          <w:tcPr>
            <w:tcW w:w="100" w:type="dxa"/>
            <w:vAlign w:val="bottom"/>
          </w:tcPr>
          <w:p>
            <w:pPr>
              <w:spacing w:after="0"/>
              <w:rPr>
                <w:sz w:val="18"/>
                <w:szCs w:val="18"/>
                <w:color w:val="auto"/>
              </w:rPr>
            </w:pPr>
          </w:p>
        </w:tc>
      </w:tr>
      <w:tr>
        <w:trPr>
          <w:trHeight w:val="216"/>
        </w:trPr>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 BALANCED K</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Mutual Funds</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23,471,401</w:t>
            </w:r>
          </w:p>
        </w:tc>
      </w:tr>
      <w:tr>
        <w:trPr>
          <w:trHeight w:val="216"/>
        </w:trPr>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 US BOND IDX</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Mutual Funds</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12,040,713</w:t>
            </w:r>
          </w:p>
        </w:tc>
      </w:tr>
      <w:tr>
        <w:trPr>
          <w:trHeight w:val="216"/>
        </w:trPr>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 INFL PR BD IDX</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Mutual Funds</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2,094,624</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 CONTRA POOL CL A</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81,245,975</w:t>
            </w:r>
          </w:p>
        </w:tc>
      </w:tr>
      <w:tr>
        <w:trPr>
          <w:trHeight w:val="216"/>
        </w:trPr>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 OTC POOL A</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45,534,030</w:t>
            </w:r>
          </w:p>
        </w:tc>
      </w:tr>
      <w:tr>
        <w:trPr>
          <w:trHeight w:val="216"/>
        </w:trPr>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 500 INDEX PL CL C</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114,761,691</w:t>
            </w:r>
          </w:p>
        </w:tc>
        <w:tc>
          <w:tcPr>
            <w:tcW w:w="100" w:type="dxa"/>
            <w:vAlign w:val="bottom"/>
          </w:tcPr>
          <w:p>
            <w:pPr>
              <w:spacing w:after="0"/>
              <w:rPr>
                <w:sz w:val="18"/>
                <w:szCs w:val="18"/>
                <w:color w:val="auto"/>
              </w:rPr>
            </w:pPr>
          </w:p>
        </w:tc>
      </w:tr>
      <w:tr>
        <w:trPr>
          <w:trHeight w:val="216"/>
        </w:trPr>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 SMALL CP IND CL C</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5,868,119</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 INTL INDEX C</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15,409,275</w:t>
            </w:r>
          </w:p>
        </w:tc>
      </w:tr>
      <w:tr>
        <w:trPr>
          <w:trHeight w:val="216"/>
        </w:trPr>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 MID CAP IDX CL C</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9,520,192</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 FRDM RETIRE D</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1,409,766</w:t>
            </w:r>
          </w:p>
        </w:tc>
        <w:tc>
          <w:tcPr>
            <w:tcW w:w="100" w:type="dxa"/>
            <w:vAlign w:val="bottom"/>
          </w:tcPr>
          <w:p>
            <w:pPr>
              <w:spacing w:after="0"/>
              <w:rPr>
                <w:sz w:val="18"/>
                <w:szCs w:val="18"/>
                <w:color w:val="auto"/>
              </w:rPr>
            </w:pPr>
          </w:p>
        </w:tc>
      </w:tr>
      <w:tr>
        <w:trPr>
          <w:trHeight w:val="216"/>
        </w:trPr>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 FRDM 2010 CP D</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1,263,388</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 FRDM 2015 CP D</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209,320</w:t>
            </w:r>
          </w:p>
        </w:tc>
        <w:tc>
          <w:tcPr>
            <w:tcW w:w="100" w:type="dxa"/>
            <w:vAlign w:val="bottom"/>
          </w:tcPr>
          <w:p>
            <w:pPr>
              <w:spacing w:after="0"/>
              <w:rPr>
                <w:sz w:val="18"/>
                <w:szCs w:val="18"/>
                <w:color w:val="auto"/>
              </w:rPr>
            </w:pPr>
          </w:p>
        </w:tc>
      </w:tr>
      <w:tr>
        <w:trPr>
          <w:trHeight w:val="216"/>
        </w:trPr>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 FRDM 2020 CP D</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7,489,565</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 FRDM 2025 CP D</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10,611,006</w:t>
            </w:r>
          </w:p>
        </w:tc>
      </w:tr>
      <w:tr>
        <w:trPr>
          <w:trHeight w:val="216"/>
        </w:trPr>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 FRDM 2030 CP D</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28,710,069</w:t>
            </w:r>
          </w:p>
        </w:tc>
      </w:tr>
      <w:tr>
        <w:trPr>
          <w:trHeight w:val="216"/>
        </w:trPr>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 FRDM 2035 CP D</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18,792,691</w:t>
            </w:r>
          </w:p>
        </w:tc>
      </w:tr>
      <w:tr>
        <w:trPr>
          <w:trHeight w:val="216"/>
        </w:trPr>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 FRDM 2040 CP D</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34,500,176</w:t>
            </w:r>
          </w:p>
        </w:tc>
      </w:tr>
      <w:tr>
        <w:trPr>
          <w:trHeight w:val="216"/>
        </w:trPr>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 FRDM 2045 CP D</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16,900,135</w:t>
            </w:r>
          </w:p>
        </w:tc>
      </w:tr>
      <w:tr>
        <w:trPr>
          <w:trHeight w:val="216"/>
        </w:trPr>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 FRDM 2050 CP D</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18,495,519</w:t>
            </w:r>
          </w:p>
        </w:tc>
      </w:tr>
      <w:tr>
        <w:trPr>
          <w:trHeight w:val="216"/>
        </w:trPr>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 FRDM 2055 CP D</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20,931,158</w:t>
            </w:r>
          </w:p>
        </w:tc>
      </w:tr>
      <w:tr>
        <w:trPr>
          <w:trHeight w:val="216"/>
        </w:trPr>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 FRDM 2060 CP D</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7,257,472</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 FRDM 2065 CP D</w:t>
            </w:r>
          </w:p>
        </w:tc>
        <w:tc>
          <w:tcPr>
            <w:tcW w:w="3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1,283,728</w:t>
            </w:r>
          </w:p>
        </w:tc>
        <w:tc>
          <w:tcPr>
            <w:tcW w:w="100" w:type="dxa"/>
            <w:vAlign w:val="bottom"/>
          </w:tcPr>
          <w:p>
            <w:pPr>
              <w:spacing w:after="0"/>
              <w:rPr>
                <w:sz w:val="18"/>
                <w:szCs w:val="18"/>
                <w:color w:val="auto"/>
              </w:rPr>
            </w:pPr>
          </w:p>
        </w:tc>
      </w:tr>
      <w:tr>
        <w:trPr>
          <w:trHeight w:val="216"/>
        </w:trPr>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 FRDM 2070 CP D</w:t>
            </w:r>
          </w:p>
        </w:tc>
        <w:tc>
          <w:tcPr>
            <w:tcW w:w="388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See Note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67,267</w:t>
            </w:r>
          </w:p>
        </w:tc>
      </w:tr>
      <w:tr>
        <w:trPr>
          <w:trHeight w:val="223"/>
        </w:trPr>
        <w:tc>
          <w:tcPr>
            <w:tcW w:w="2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Plan participants</w:t>
            </w:r>
          </w:p>
        </w:tc>
        <w:tc>
          <w:tcPr>
            <w:tcW w:w="3880" w:type="dxa"/>
            <w:vAlign w:val="bottom"/>
            <w:tcBorders>
              <w:bottom w:val="single" w:sz="8" w:color="CCEEFF"/>
            </w:tcBorders>
          </w:tcPr>
          <w:p>
            <w:pPr>
              <w:jc w:val="center"/>
              <w:ind w:left="770"/>
              <w:spacing w:after="0"/>
              <w:rPr>
                <w:sz w:val="20"/>
                <w:szCs w:val="20"/>
                <w:color w:val="auto"/>
              </w:rPr>
            </w:pPr>
            <w:r>
              <w:rPr>
                <w:rFonts w:ascii="Times New Roman" w:cs="Times New Roman" w:eastAsia="Times New Roman" w:hAnsi="Times New Roman"/>
                <w:sz w:val="18"/>
                <w:szCs w:val="18"/>
                <w:color w:val="auto"/>
              </w:rPr>
              <w:t>Participant Loans***</w:t>
            </w:r>
          </w:p>
        </w:tc>
        <w:tc>
          <w:tcPr>
            <w:tcW w:w="1520" w:type="dxa"/>
            <w:vAlign w:val="bottom"/>
            <w:tcBorders>
              <w:bottom w:val="single" w:sz="8" w:color="CCEEFF"/>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2,808,815</w:t>
            </w:r>
          </w:p>
        </w:tc>
        <w:tc>
          <w:tcPr>
            <w:tcW w:w="100" w:type="dxa"/>
            <w:vAlign w:val="bottom"/>
            <w:tcBorders>
              <w:bottom w:val="single" w:sz="8" w:color="CCEEFF"/>
            </w:tcBorders>
          </w:tcPr>
          <w:p>
            <w:pPr>
              <w:spacing w:after="0"/>
              <w:rPr>
                <w:sz w:val="19"/>
                <w:szCs w:val="19"/>
                <w:color w:val="auto"/>
              </w:rPr>
            </w:pPr>
          </w:p>
        </w:tc>
      </w:tr>
      <w:tr>
        <w:trPr>
          <w:trHeight w:val="216"/>
        </w:trPr>
        <w:tc>
          <w:tcPr>
            <w:tcW w:w="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645,837,825</w:t>
            </w:r>
          </w:p>
        </w:tc>
        <w:tc>
          <w:tcPr>
            <w:tcW w:w="10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 party-in-interest</w:t>
      </w:r>
    </w:p>
    <w:p>
      <w:pPr>
        <w:spacing w:after="0" w:line="225" w:lineRule="exact"/>
        <w:rPr>
          <w:rFonts w:ascii="Times New Roman" w:cs="Times New Roman" w:eastAsia="Times New Roman" w:hAnsi="Times New Roman"/>
          <w:sz w:val="18"/>
          <w:szCs w:val="18"/>
          <w:color w:val="auto"/>
        </w:rPr>
      </w:pPr>
    </w:p>
    <w:p>
      <w:pPr>
        <w:ind w:left="260" w:hanging="225"/>
        <w:spacing w:after="0"/>
        <w:tabs>
          <w:tab w:leader="none" w:pos="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investments within Brokeragelink are in funds offered by affiliates of Fidelity, a party-in-interest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Collateralized by participant accounts with interest ranging from 3.25% to 9% per annum</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Cost information is not required for participant-directed investments and therefore is not included in this schedule.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Report of Independent Registered Public Accounting Firm</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report to be signed on its behalf by the undersigned 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THE NAVIENT 401(k) SAVINGS PLAN </w:t>
      </w:r>
      <w:r>
        <w:rPr>
          <w:rFonts w:ascii="Times New Roman" w:cs="Times New Roman" w:eastAsia="Times New Roman" w:hAnsi="Times New Roman"/>
          <w:sz w:val="18"/>
          <w:szCs w:val="18"/>
          <w:color w:val="auto"/>
        </w:rPr>
        <w:t>(The Plan)</w:t>
      </w:r>
    </w:p>
    <w:p>
      <w:pPr>
        <w:spacing w:after="0" w:line="27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8"/>
          <w:szCs w:val="18"/>
          <w:color w:val="auto"/>
        </w:rPr>
        <w:t>By: /s/ Ted A.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Ted A. Morris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On behalf of the Navient Corporation Employee Benefits Fiduciary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Committee</w:t>
      </w:r>
    </w:p>
    <w:p>
      <w:pPr>
        <w:spacing w:after="0" w:line="2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6" w:right="5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60" w:type="dxa"/>
            <w:vAlign w:val="bottom"/>
            <w:gridSpan w:val="2"/>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200" w:type="dxa"/>
            <w:vAlign w:val="bottom"/>
          </w:tcPr>
          <w:p>
            <w:pPr>
              <w:spacing w:after="0"/>
              <w:rPr>
                <w:sz w:val="17"/>
                <w:szCs w:val="17"/>
                <w:color w:val="auto"/>
              </w:rPr>
            </w:pPr>
          </w:p>
        </w:tc>
      </w:tr>
      <w:tr>
        <w:trPr>
          <w:trHeight w:val="196"/>
        </w:trPr>
        <w:tc>
          <w:tcPr>
            <w:tcW w:w="1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900" w:type="dxa"/>
            <w:vAlign w:val="bottom"/>
          </w:tcPr>
          <w:p>
            <w:pPr>
              <w:spacing w:after="0"/>
              <w:rPr>
                <w:sz w:val="17"/>
                <w:szCs w:val="17"/>
                <w:color w:val="auto"/>
              </w:rPr>
            </w:pPr>
          </w:p>
        </w:tc>
        <w:tc>
          <w:tcPr>
            <w:tcW w:w="9200" w:type="dxa"/>
            <w:vAlign w:val="bottom"/>
          </w:tcPr>
          <w:p>
            <w:pPr>
              <w:spacing w:after="0"/>
              <w:rPr>
                <w:sz w:val="17"/>
                <w:szCs w:val="17"/>
                <w:color w:val="auto"/>
              </w:rPr>
            </w:pPr>
          </w:p>
        </w:tc>
      </w:tr>
      <w:tr>
        <w:trPr>
          <w:trHeight w:val="237"/>
        </w:trPr>
        <w:tc>
          <w:tcPr>
            <w:tcW w:w="3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0" w:type="dxa"/>
            <w:vAlign w:val="bottom"/>
          </w:tcPr>
          <w:p>
            <w:pPr>
              <w:spacing w:after="0"/>
              <w:rPr>
                <w:sz w:val="20"/>
                <w:szCs w:val="20"/>
                <w:color w:val="auto"/>
              </w:rPr>
            </w:pPr>
          </w:p>
        </w:tc>
      </w:tr>
      <w:tr>
        <w:trPr>
          <w:trHeight w:val="196"/>
        </w:trPr>
        <w:tc>
          <w:tcPr>
            <w:tcW w:w="5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Independent Registered Public Accounting Firm (filed herewith)</w:t>
            </w:r>
          </w:p>
        </w:tc>
      </w:tr>
      <w:tr>
        <w:trPr>
          <w:trHeight w:val="561"/>
        </w:trPr>
        <w:tc>
          <w:tcPr>
            <w:tcW w:w="3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0100" w:type="dxa"/>
            <w:vAlign w:val="bottom"/>
            <w:tcBorders>
              <w:top w:val="single" w:sz="8" w:color="CCEEFF"/>
              <w:bottom w:val="single" w:sz="8" w:color="auto"/>
            </w:tcBorders>
            <w:gridSpan w:val="2"/>
          </w:tcPr>
          <w:p>
            <w:pPr>
              <w:jc w:val="right"/>
              <w:ind w:right="5540"/>
              <w:spacing w:after="0"/>
              <w:rPr>
                <w:sz w:val="20"/>
                <w:szCs w:val="20"/>
                <w:color w:val="auto"/>
              </w:rPr>
            </w:pPr>
            <w:r>
              <w:rPr>
                <w:rFonts w:ascii="Times New Roman" w:cs="Times New Roman" w:eastAsia="Times New Roman" w:hAnsi="Times New Roman"/>
                <w:sz w:val="11"/>
                <w:szCs w:val="11"/>
                <w:color w:val="auto"/>
              </w:rPr>
              <w:t>13</w:t>
            </w:r>
          </w:p>
        </w:tc>
      </w:tr>
    </w:tbl>
    <w:p>
      <w:pPr>
        <w:sectPr>
          <w:pgSz w:w="11900" w:h="16838" w:orient="portrait"/>
          <w:cols w:equalWidth="0" w:num="1">
            <w:col w:w="11240"/>
          </w:cols>
          <w:pgMar w:left="320" w:top="116"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1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of Navient Corporation on Form S-8 (No. 333-195535 and 333-279739) of our report dated June 23, 2026, appearing in this Annual Report on Form 11-K of Navient 401(k) Savings Plan for the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Bethesda,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upperLetter"/>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4"/>
    </w:lvl>
  </w:abstractNum>
  <w:abstractNum w:abstractNumId="10">
    <w:nsid w:val="1F16E9E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2026-06-23T15:53:22Z</dcterms:created>
  <dcterms:modified xsi:type="dcterms:W3CDTF">2026-06-23T15:53:22Z</dcterms:modified>
</cp:coreProperties>
</file>