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October 29, 2026</w:t>
      </w:r>
    </w:p>
    <w:p>
      <w:pPr>
        <w:spacing w:after="0" w:line="30" w:lineRule="exact"/>
        <w:rPr>
          <w:sz w:val="24"/>
          <w:szCs w:val="24"/>
          <w:color w:val="auto"/>
        </w:rPr>
      </w:pPr>
    </w:p>
    <w:p>
      <w:pPr>
        <w:ind w:left="7400"/>
        <w:spacing w:after="0"/>
        <w:rPr>
          <w:sz w:val="20"/>
          <w:szCs w:val="20"/>
          <w:color w:val="auto"/>
        </w:rPr>
      </w:pPr>
      <w:r>
        <w:rPr>
          <w:rFonts w:ascii="Times New Roman" w:cs="Times New Roman" w:eastAsia="Times New Roman" w:hAnsi="Times New Roman"/>
          <w:sz w:val="15"/>
          <w:szCs w:val="15"/>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58420</wp:posOffset>
            </wp:positionV>
            <wp:extent cx="59620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2015" cy="762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95250</wp:posOffset>
            </wp:positionV>
            <wp:extent cx="59620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2015" cy="7620"/>
                    </a:xfrm>
                    <a:prstGeom prst="rect">
                      <a:avLst/>
                    </a:prstGeom>
                    <a:noFill/>
                  </pic:spPr>
                </pic:pic>
              </a:graphicData>
            </a:graphic>
          </wp:anchor>
        </w:drawing>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191770</wp:posOffset>
            </wp:positionV>
            <wp:extent cx="12490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FORM S-8</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REGISTRATION STATEMENT</w:t>
      </w: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191770</wp:posOffset>
            </wp:positionV>
            <wp:extent cx="12490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7"/>
          <w:szCs w:val="37"/>
          <w:b w:val="1"/>
          <w:bCs w:val="1"/>
          <w:color w:val="auto"/>
        </w:rPr>
        <w:t>Navient Holdings, Inc.</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203835</wp:posOffset>
            </wp:positionV>
            <wp:extent cx="12490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tbl>
      <w:tblPr>
        <w:tblLayout w:type="fixed"/>
        <w:tblInd w:w="840" w:type="dxa"/>
        <w:tblCellMar>
          <w:top w:w="0" w:type="dxa"/>
          <w:left w:w="0" w:type="dxa"/>
          <w:bottom w:w="0" w:type="dxa"/>
          <w:right w:w="0" w:type="dxa"/>
        </w:tblCellMar>
      </w:tblPr>
      <w:tr>
        <w:trPr>
          <w:trHeight w:val="181"/>
        </w:trPr>
        <w:tc>
          <w:tcPr>
            <w:tcW w:w="4420" w:type="dxa"/>
            <w:vAlign w:val="bottom"/>
          </w:tcPr>
          <w:p>
            <w:pPr>
              <w:jc w:val="center"/>
              <w:ind w:right="129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320" w:type="dxa"/>
            <w:vAlign w:val="bottom"/>
          </w:tcPr>
          <w:p>
            <w:pPr>
              <w:jc w:val="right"/>
              <w:ind w:right="33"/>
              <w:spacing w:after="0"/>
              <w:rPr>
                <w:sz w:val="20"/>
                <w:szCs w:val="20"/>
                <w:color w:val="auto"/>
              </w:rPr>
            </w:pPr>
            <w:r>
              <w:rPr>
                <w:rFonts w:ascii="Times New Roman" w:cs="Times New Roman" w:eastAsia="Times New Roman" w:hAnsi="Times New Roman"/>
                <w:sz w:val="15"/>
                <w:szCs w:val="15"/>
                <w:b w:val="1"/>
                <w:bCs w:val="1"/>
                <w:color w:val="auto"/>
              </w:rPr>
              <w:t>42-4701395</w:t>
            </w:r>
          </w:p>
        </w:tc>
      </w:tr>
      <w:tr>
        <w:trPr>
          <w:trHeight w:val="127"/>
        </w:trPr>
        <w:tc>
          <w:tcPr>
            <w:tcW w:w="4420" w:type="dxa"/>
            <w:vAlign w:val="bottom"/>
          </w:tcPr>
          <w:p>
            <w:pPr>
              <w:jc w:val="center"/>
              <w:ind w:right="1314"/>
              <w:spacing w:after="0" w:line="127"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2320" w:type="dxa"/>
            <w:vAlign w:val="bottom"/>
          </w:tcPr>
          <w:p>
            <w:pPr>
              <w:jc w:val="center"/>
              <w:ind w:left="1293"/>
              <w:spacing w:after="0" w:line="127"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27"/>
        </w:trPr>
        <w:tc>
          <w:tcPr>
            <w:tcW w:w="4420" w:type="dxa"/>
            <w:vAlign w:val="bottom"/>
          </w:tcPr>
          <w:p>
            <w:pPr>
              <w:jc w:val="center"/>
              <w:ind w:right="1294"/>
              <w:spacing w:after="0" w:line="127" w:lineRule="exact"/>
              <w:rPr>
                <w:sz w:val="20"/>
                <w:szCs w:val="20"/>
                <w:color w:val="auto"/>
              </w:rPr>
            </w:pPr>
            <w:r>
              <w:rPr>
                <w:rFonts w:ascii="Times New Roman" w:cs="Times New Roman" w:eastAsia="Times New Roman" w:hAnsi="Times New Roman"/>
                <w:sz w:val="12"/>
                <w:szCs w:val="12"/>
                <w:b w:val="1"/>
                <w:bCs w:val="1"/>
                <w:color w:val="auto"/>
              </w:rPr>
              <w:t>Incorporation</w:t>
            </w:r>
          </w:p>
        </w:tc>
        <w:tc>
          <w:tcPr>
            <w:tcW w:w="2320" w:type="dxa"/>
            <w:vAlign w:val="bottom"/>
          </w:tcPr>
          <w:p>
            <w:pPr>
              <w:jc w:val="center"/>
              <w:ind w:left="1293"/>
              <w:spacing w:after="0" w:line="127" w:lineRule="exact"/>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161"/>
        </w:trPr>
        <w:tc>
          <w:tcPr>
            <w:tcW w:w="4420" w:type="dxa"/>
            <w:vAlign w:val="bottom"/>
          </w:tcPr>
          <w:p>
            <w:pPr>
              <w:jc w:val="center"/>
              <w:ind w:right="1314"/>
              <w:spacing w:after="0"/>
              <w:rPr>
                <w:sz w:val="20"/>
                <w:szCs w:val="20"/>
                <w:color w:val="auto"/>
              </w:rPr>
            </w:pPr>
            <w:r>
              <w:rPr>
                <w:rFonts w:ascii="Times New Roman" w:cs="Times New Roman" w:eastAsia="Times New Roman" w:hAnsi="Times New Roman"/>
                <w:sz w:val="12"/>
                <w:szCs w:val="12"/>
                <w:b w:val="1"/>
                <w:bCs w:val="1"/>
                <w:color w:val="auto"/>
              </w:rPr>
              <w:t>or Organization)</w:t>
            </w:r>
          </w:p>
        </w:tc>
        <w:tc>
          <w:tcPr>
            <w:tcW w:w="2320" w:type="dxa"/>
            <w:vAlign w:val="bottom"/>
          </w:tcPr>
          <w:p>
            <w:pPr>
              <w:spacing w:after="0"/>
              <w:rPr>
                <w:sz w:val="14"/>
                <w:szCs w:val="14"/>
                <w:color w:val="auto"/>
              </w:rPr>
            </w:pPr>
          </w:p>
        </w:tc>
      </w:tr>
      <w:tr>
        <w:trPr>
          <w:trHeight w:val="345"/>
        </w:trPr>
        <w:tc>
          <w:tcPr>
            <w:tcW w:w="4420" w:type="dxa"/>
            <w:vAlign w:val="bottom"/>
          </w:tcPr>
          <w:p>
            <w:pPr>
              <w:jc w:val="center"/>
              <w:ind w:right="1314"/>
              <w:spacing w:after="0"/>
              <w:rPr>
                <w:sz w:val="20"/>
                <w:szCs w:val="20"/>
                <w:color w:val="auto"/>
              </w:rPr>
            </w:pPr>
            <w:r>
              <w:rPr>
                <w:rFonts w:ascii="Times New Roman" w:cs="Times New Roman" w:eastAsia="Times New Roman" w:hAnsi="Times New Roman"/>
                <w:sz w:val="15"/>
                <w:szCs w:val="15"/>
                <w:b w:val="1"/>
                <w:bCs w:val="1"/>
                <w:color w:val="auto"/>
              </w:rPr>
              <w:t>13865 Sunrise Valley Drive, Herndon, Virginia</w:t>
            </w:r>
          </w:p>
        </w:tc>
        <w:tc>
          <w:tcPr>
            <w:tcW w:w="2320" w:type="dxa"/>
            <w:vAlign w:val="bottom"/>
          </w:tcPr>
          <w:p>
            <w:pPr>
              <w:jc w:val="right"/>
              <w:ind w:right="213"/>
              <w:spacing w:after="0"/>
              <w:rPr>
                <w:sz w:val="20"/>
                <w:szCs w:val="20"/>
                <w:color w:val="auto"/>
              </w:rPr>
            </w:pPr>
            <w:r>
              <w:rPr>
                <w:rFonts w:ascii="Times New Roman" w:cs="Times New Roman" w:eastAsia="Times New Roman" w:hAnsi="Times New Roman"/>
                <w:sz w:val="15"/>
                <w:szCs w:val="15"/>
                <w:b w:val="1"/>
                <w:bCs w:val="1"/>
                <w:color w:val="auto"/>
              </w:rPr>
              <w:t>20171</w:t>
            </w:r>
          </w:p>
        </w:tc>
      </w:tr>
      <w:tr>
        <w:trPr>
          <w:trHeight w:val="161"/>
        </w:trPr>
        <w:tc>
          <w:tcPr>
            <w:tcW w:w="4420" w:type="dxa"/>
            <w:vAlign w:val="bottom"/>
          </w:tcPr>
          <w:p>
            <w:pPr>
              <w:jc w:val="center"/>
              <w:ind w:right="1294"/>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320" w:type="dxa"/>
            <w:vAlign w:val="bottom"/>
          </w:tcPr>
          <w:p>
            <w:pPr>
              <w:jc w:val="center"/>
              <w:ind w:left="1293"/>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1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Navient Holdings, Inc. 2024 Omnibus Incentive Plan</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Navient Holdings, Inc. 2014 Omnibus Incentive Plan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Navient Holdings, Inc. Employee Stock Purchase Plan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Navient Holdings, Inc. Deferred Compensation Plan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Navient Holdings, Inc. Deferred Compensation Plan for Directors</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Navient Corporation 401(k) Savings Plan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Navient Corporation Supplemental 401(k) Savings Plan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193675</wp:posOffset>
            </wp:positionV>
            <wp:extent cx="12490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Matthew Sheldon</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Senior Vice President &amp; General Counsel</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13865 Sunrise Valley Drive</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Herndon, Virginia 20171</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(Name and Address of Agent For Service)</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(302) 283-8000</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186055</wp:posOffset>
            </wp:positionV>
            <wp:extent cx="12490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p>
      <w:pPr>
        <w:spacing w:after="0" w:line="1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Robert M. Hayward, P.C.</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Anthony L. Sanderson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Kirkland &amp; Ellis LLP</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333 West Wolf Point Plaza</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Chicago, Illinois 60654</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(312) 862-2000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197485</wp:posOffset>
            </wp:positionV>
            <wp:extent cx="12490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right="40"/>
        <w:spacing w:after="0" w:line="27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000" w:type="dxa"/>
            <w:vAlign w:val="bottom"/>
          </w:tcPr>
          <w:p>
            <w:pPr>
              <w:ind w:left="180"/>
              <w:spacing w:after="0" w:line="151" w:lineRule="exact"/>
              <w:rPr>
                <w:sz w:val="20"/>
                <w:szCs w:val="20"/>
                <w:color w:val="auto"/>
              </w:rPr>
            </w:pPr>
            <w:r>
              <w:rPr>
                <w:rFonts w:ascii="MS PGothic" w:cs="MS PGothic" w:eastAsia="MS PGothic" w:hAnsi="MS PGothic"/>
                <w:sz w:val="15"/>
                <w:szCs w:val="15"/>
                <w:color w:val="auto"/>
              </w:rPr>
              <w:t>☒</w:t>
            </w:r>
          </w:p>
        </w:tc>
        <w:tc>
          <w:tcPr>
            <w:tcW w:w="4520" w:type="dxa"/>
            <w:vAlign w:val="bottom"/>
          </w:tcPr>
          <w:p>
            <w:pPr>
              <w:ind w:left="2700"/>
              <w:spacing w:after="0"/>
              <w:rPr>
                <w:sz w:val="20"/>
                <w:szCs w:val="20"/>
                <w:color w:val="auto"/>
              </w:rPr>
            </w:pPr>
            <w:r>
              <w:rPr>
                <w:rFonts w:ascii="Times New Roman" w:cs="Times New Roman" w:eastAsia="Times New Roman" w:hAnsi="Times New Roman"/>
                <w:sz w:val="15"/>
                <w:szCs w:val="15"/>
                <w:color w:val="auto"/>
              </w:rPr>
              <w:t>Accelerated filer</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000" w:type="dxa"/>
            <w:vAlign w:val="bottom"/>
          </w:tcPr>
          <w:p>
            <w:pPr>
              <w:ind w:left="180"/>
              <w:spacing w:after="0" w:line="151" w:lineRule="exact"/>
              <w:rPr>
                <w:sz w:val="20"/>
                <w:szCs w:val="20"/>
                <w:color w:val="auto"/>
              </w:rPr>
            </w:pPr>
            <w:r>
              <w:rPr>
                <w:rFonts w:ascii="MS PGothic" w:cs="MS PGothic" w:eastAsia="MS PGothic" w:hAnsi="MS PGothic"/>
                <w:sz w:val="15"/>
                <w:szCs w:val="15"/>
                <w:color w:val="auto"/>
              </w:rPr>
              <w:t>☐</w:t>
            </w:r>
          </w:p>
        </w:tc>
        <w:tc>
          <w:tcPr>
            <w:tcW w:w="4520" w:type="dxa"/>
            <w:vAlign w:val="bottom"/>
          </w:tcPr>
          <w:p>
            <w:pPr>
              <w:ind w:left="27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6"/>
        </w:trPr>
        <w:tc>
          <w:tcPr>
            <w:tcW w:w="1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520" w:type="dxa"/>
            <w:vAlign w:val="bottom"/>
          </w:tcPr>
          <w:p>
            <w:pPr>
              <w:ind w:left="2700"/>
              <w:spacing w:after="0"/>
              <w:rPr>
                <w:sz w:val="20"/>
                <w:szCs w:val="20"/>
                <w:color w:val="auto"/>
              </w:rPr>
            </w:pPr>
            <w:r>
              <w:rPr>
                <w:rFonts w:ascii="Times New Roman" w:cs="Times New Roman" w:eastAsia="Times New Roman" w:hAnsi="Times New Roman"/>
                <w:sz w:val="15"/>
                <w:szCs w:val="15"/>
                <w:color w:val="auto"/>
              </w:rPr>
              <w:t>Emerging growth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46" w:lineRule="exact"/>
        <w:rPr>
          <w:sz w:val="24"/>
          <w:szCs w:val="24"/>
          <w:color w:val="auto"/>
        </w:rPr>
      </w:pPr>
    </w:p>
    <w:p>
      <w:pPr>
        <w:ind w:right="220"/>
        <w:spacing w:after="0" w:line="203"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117475</wp:posOffset>
            </wp:positionV>
            <wp:extent cx="59620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2015" cy="762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153670</wp:posOffset>
            </wp:positionV>
            <wp:extent cx="59620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2015" cy="7620"/>
                    </a:xfrm>
                    <a:prstGeom prst="rect">
                      <a:avLst/>
                    </a:prstGeom>
                    <a:noFill/>
                  </pic:spPr>
                </pic:pic>
              </a:graphicData>
            </a:graphic>
          </wp:anchor>
        </w:drawing>
      </w:r>
    </w:p>
    <w:p>
      <w:pPr>
        <w:sectPr>
          <w:pgSz w:w="11900" w:h="16838" w:orient="portrait"/>
          <w:cols w:equalWidth="0" w:num="1">
            <w:col w:w="9360"/>
          </w:cols>
          <w:pgMar w:left="1240" w:top="213" w:right="12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2645" cy="34925"/>
                    </a:xfrm>
                    <a:prstGeom prst="rect">
                      <a:avLst/>
                    </a:prstGeom>
                    <a:noFill/>
                  </pic:spPr>
                </pic:pic>
              </a:graphicData>
            </a:graphic>
          </wp:anchor>
        </w:drawing>
        <w:t>EXPLANATORY NOTE</w:t>
      </w:r>
    </w:p>
    <w:p>
      <w:pPr>
        <w:spacing w:after="0" w:line="200" w:lineRule="exact"/>
        <w:rPr>
          <w:sz w:val="20"/>
          <w:szCs w:val="20"/>
          <w:color w:val="auto"/>
        </w:rPr>
      </w:pPr>
    </w:p>
    <w:p>
      <w:pPr>
        <w:ind w:firstLine="375"/>
        <w:spacing w:after="0" w:line="265" w:lineRule="auto"/>
        <w:rPr>
          <w:sz w:val="20"/>
          <w:szCs w:val="20"/>
          <w:color w:val="auto"/>
        </w:rPr>
      </w:pPr>
      <w:r>
        <w:rPr>
          <w:rFonts w:ascii="Times New Roman" w:cs="Times New Roman" w:eastAsia="Times New Roman" w:hAnsi="Times New Roman"/>
          <w:sz w:val="15"/>
          <w:szCs w:val="15"/>
          <w:color w:val="auto"/>
        </w:rPr>
        <w:t>On October 28, 2026, Navient Holdings, Inc., a Delaware corporation (“Navient Holdings”), completed the transactions contemplated by the Agreement and Plan of Merger, dated October 28, 2026, by and among Navient Corporation, a Delaware corporation (“Navient”), Navient Holdings and Relay Merger Sub LLC, a Delaware limited liability company (“Merger Sub”), pursuant to which Navient merged with and into Merger Sub, with the Merger Sub continuing as the surviving entity and a wholly-owned subsidiary of Navient Holdings (the “Reorganization”). In connection with the Reorganization, the name of Merger Sub was changed to Navient LLC.</w:t>
      </w:r>
    </w:p>
    <w:p>
      <w:pPr>
        <w:spacing w:after="0" w:line="152" w:lineRule="exact"/>
        <w:rPr>
          <w:sz w:val="20"/>
          <w:szCs w:val="20"/>
          <w:color w:val="auto"/>
        </w:rPr>
      </w:pPr>
    </w:p>
    <w:p>
      <w:pPr>
        <w:ind w:firstLine="375"/>
        <w:spacing w:after="0" w:line="258" w:lineRule="auto"/>
        <w:rPr>
          <w:sz w:val="20"/>
          <w:szCs w:val="20"/>
          <w:color w:val="auto"/>
        </w:rPr>
      </w:pPr>
      <w:r>
        <w:rPr>
          <w:rFonts w:ascii="Times New Roman" w:cs="Times New Roman" w:eastAsia="Times New Roman" w:hAnsi="Times New Roman"/>
          <w:sz w:val="15"/>
          <w:szCs w:val="15"/>
          <w:color w:val="auto"/>
        </w:rPr>
        <w:t>In connection with the Reorganization, Navient Holdings assumed the Amended and Restated Navient Corporation 2014 Omnibus Incentive Plan (the “2014 Navient Incentive Plan”), Navient Corporation 2024 Omnibus Incentive Plan (the “2024 Navient Incentive Plan”), Navient Corporation Employee Stock Purchase Plan (the “Navient ESPP”), Navient Corporation Deferred Compensation Plan (the “Navient Deferred Compensation Plan”) and Navient Corporation Deferred Compensation Plan for Directors (the “Navient Director Deferred Compensation Plan” and collectively with the 2014 Navient Incentive Plan, 2024 Navient Incentive Plan, Navient ESPP, Navient Deferred Compensation Plan, Navient Director Deferred Compensation Plan, the “Navient Plans”), and all of the obligations of Navient thereunder. In connection with the assumption of the Navient Plans and the Reorganization, the Board of Directors of Navient Holdings (the “Board”) approved the amendment and restatement of each of the Navient Plans with such amendment and restatements effective as of October 28, 2026 (such amended and restated plans, respectively, the Navient Holdings, Inc. 2024 Omnibus Incentive Plan (the “2024 Incentive Plan”), the Navient Holdings, Inc. 2014 Omnibus Incentive Plan (the “2014 Incentive Plan”), Navient Holdings, Inc. Employee Stock Purchase Plan (the “ESPP”), Navient Holdings, Inc. Deferred Compensation Plan (the “Deferred Compensation Plan”) and Navient Holdings, Inc. Deferred Compensation Plan for Directors (the “Director Deferred Compensation Plan”)). Additionally, Navient approved the amendment and restatement of the Navient 401(k) Savings Plan (the “401(k) Plan”) and Navient Supplemental 401(k) Savings Plan (the “Supplemental 401(k) Plan”), in each case, to reflect that the stock issuable thereunder would relate to shares of Navient Holdings’ common stock in lieu of shares of Navient’s common stock with such amendment and restatements effective as of October 28, 2026.</w:t>
      </w:r>
    </w:p>
    <w:p>
      <w:pPr>
        <w:spacing w:after="0" w:line="165" w:lineRule="exact"/>
        <w:rPr>
          <w:sz w:val="20"/>
          <w:szCs w:val="20"/>
          <w:color w:val="auto"/>
        </w:rPr>
      </w:pPr>
    </w:p>
    <w:p>
      <w:pPr>
        <w:ind w:right="260" w:firstLine="375"/>
        <w:spacing w:after="0" w:line="262" w:lineRule="auto"/>
        <w:rPr>
          <w:sz w:val="20"/>
          <w:szCs w:val="20"/>
          <w:color w:val="auto"/>
        </w:rPr>
      </w:pPr>
      <w:r>
        <w:rPr>
          <w:rFonts w:ascii="Times New Roman" w:cs="Times New Roman" w:eastAsia="Times New Roman" w:hAnsi="Times New Roman"/>
          <w:sz w:val="15"/>
          <w:szCs w:val="15"/>
          <w:color w:val="auto"/>
        </w:rPr>
        <w:t>This Registration Statement on Form S-8 (this “Registration Statement”) is filed by Navient Holdings to register 7,338,831 shares of Navient Holdings’ common stock, par value $0.01 per share (“Common Stock”) issuable pursuant to the 2024 Incentive Plan, 1,000,000 shares of Common Stock issuable pursuant to the 2014 Incentive Plan, 1,422,352 shares of Common Stock issuable pursuant to the ESPP, 1,000,000 shares of Common Stock issuable and Navient Holdings’ unsecured obligation to pay deferred compensation in the future pursuant to the Deferred Compensation Plan, 500,000 shares of Common Stock issuable and Navient Holdings’ unsecured obligation to pay deferred compensation in the future pursuant to the Director Deferred Compensation Plan, 20,000,000 shares of Common Stock issuable pursuant to the 401(k) Plan and 1,000,000 shares of Common Stock issuable and Navient Holdings’ unsecured obligation to pay deferred compensation in the future pursuant to the Supplemental 401(k) Plan.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INFORMATION REQUIRED IN THE REGISTRATION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Incorporation of Documents by Reference.</w:t>
      </w:r>
    </w:p>
    <w:p>
      <w:pPr>
        <w:spacing w:after="0" w:line="108" w:lineRule="exact"/>
        <w:rPr>
          <w:sz w:val="20"/>
          <w:szCs w:val="20"/>
          <w:color w:val="auto"/>
        </w:rPr>
      </w:pPr>
    </w:p>
    <w:p>
      <w:pPr>
        <w:ind w:right="100" w:firstLine="375"/>
        <w:spacing w:after="0" w:line="274" w:lineRule="auto"/>
        <w:rPr>
          <w:sz w:val="20"/>
          <w:szCs w:val="20"/>
          <w:color w:val="auto"/>
        </w:rPr>
      </w:pPr>
      <w:r>
        <w:rPr>
          <w:rFonts w:ascii="Times New Roman" w:cs="Times New Roman" w:eastAsia="Times New Roman" w:hAnsi="Times New Roman"/>
          <w:sz w:val="15"/>
          <w:szCs w:val="15"/>
          <w:color w:val="auto"/>
        </w:rPr>
        <w:t>Except to the extent that information is deemed furnished and not filed pursuant to securities laws and regulations, the following documents filed with the U.S. Securities and Exchange Commission (the “Commission”) by Navient Holdings and Navient LLC are hereby incorporated by reference into this Registration Statement and will be deemed to be a part hereof:</w:t>
      </w:r>
    </w:p>
    <w:p>
      <w:pPr>
        <w:spacing w:after="0" w:line="54" w:lineRule="exact"/>
        <w:rPr>
          <w:sz w:val="20"/>
          <w:szCs w:val="20"/>
          <w:color w:val="auto"/>
        </w:rPr>
      </w:pPr>
    </w:p>
    <w:p>
      <w:pPr>
        <w:jc w:val="both"/>
        <w:ind w:firstLine="385"/>
        <w:spacing w:after="0" w:line="274" w:lineRule="auto"/>
        <w:tabs>
          <w:tab w:leader="none" w:pos="584" w:val="left"/>
        </w:tabs>
        <w:numPr>
          <w:ilvl w:val="0"/>
          <w:numId w:val="1"/>
        </w:numPr>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Navient LLC’s Annual Report on </w:t>
      </w:r>
      <w:hyperlink r:id="rId19">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for the fiscal year ended December 31, 2025, as filed with the Commission on February 26, 2026 </w:t>
      </w:r>
      <w:hyperlink r:id="rId20">
        <w:r>
          <w:rPr>
            <w:rFonts w:ascii="Times New Roman" w:cs="Times New Roman" w:eastAsia="Times New Roman" w:hAnsi="Times New Roman"/>
            <w:sz w:val="15"/>
            <w:szCs w:val="15"/>
            <w:color w:val="auto"/>
          </w:rPr>
          <w:t xml:space="preserve">including the information specifically incorporated by reference into Navient LLC’s Annual Report on Form 10-K from Navient LLC’s </w:t>
        </w:r>
        <w:r>
          <w:rPr>
            <w:rFonts w:ascii="Times New Roman" w:cs="Times New Roman" w:eastAsia="Times New Roman" w:hAnsi="Times New Roman"/>
            <w:sz w:val="15"/>
            <w:szCs w:val="15"/>
            <w:u w:val="single" w:color="auto"/>
            <w:color w:val="0000EE"/>
          </w:rPr>
          <w:t>definitive proxy</w:t>
        </w:r>
      </w:hyperlink>
      <w:r>
        <w:rPr>
          <w:rFonts w:ascii="Times New Roman" w:cs="Times New Roman" w:eastAsia="Times New Roman" w:hAnsi="Times New Roman"/>
          <w:sz w:val="15"/>
          <w:szCs w:val="15"/>
          <w:color w:val="auto"/>
        </w:rPr>
        <w:t xml:space="preserve"> </w:t>
      </w:r>
      <w:hyperlink r:id="rId20">
        <w:r>
          <w:rPr>
            <w:rFonts w:ascii="Times New Roman" w:cs="Times New Roman" w:eastAsia="Times New Roman" w:hAnsi="Times New Roman"/>
            <w:sz w:val="15"/>
            <w:szCs w:val="15"/>
            <w:u w:val="single" w:color="auto"/>
            <w:color w:val="0000EE"/>
          </w:rPr>
          <w:t>statement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for the 2026 Annual Meeting of Stockholders, as filed with the Commission on April 16, 2026;</w:t>
        </w:r>
      </w:hyperlink>
    </w:p>
    <w:p>
      <w:pPr>
        <w:spacing w:after="0" w:line="145" w:lineRule="exact"/>
        <w:rPr>
          <w:rFonts w:ascii="Times New Roman" w:cs="Times New Roman" w:eastAsia="Times New Roman" w:hAnsi="Times New Roman"/>
          <w:sz w:val="15"/>
          <w:szCs w:val="15"/>
          <w:color w:val="0000EE"/>
        </w:rPr>
      </w:pPr>
    </w:p>
    <w:p>
      <w:pPr>
        <w:ind w:right="60" w:firstLine="385"/>
        <w:spacing w:after="0" w:line="292" w:lineRule="auto"/>
        <w:tabs>
          <w:tab w:leader="none" w:pos="592"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Navient LLC’s Quarterly Reports on Form 10-Q for the fiscal quarter ended </w:t>
      </w:r>
      <w:hyperlink r:id="rId21">
        <w:r>
          <w:rPr>
            <w:rFonts w:ascii="Times New Roman" w:cs="Times New Roman" w:eastAsia="Times New Roman" w:hAnsi="Times New Roman"/>
            <w:sz w:val="15"/>
            <w:szCs w:val="15"/>
            <w:u w:val="single" w:color="auto"/>
            <w:color w:val="0000EE"/>
          </w:rPr>
          <w:t>March 31, 2026</w:t>
        </w:r>
      </w:hyperlink>
      <w:r>
        <w:rPr>
          <w:rFonts w:ascii="Times New Roman" w:cs="Times New Roman" w:eastAsia="Times New Roman" w:hAnsi="Times New Roman"/>
          <w:sz w:val="15"/>
          <w:szCs w:val="15"/>
          <w:color w:val="auto"/>
        </w:rPr>
        <w:t xml:space="preserve">, as filed with the Commission on April 29, 2026, and the fiscal quarter ended </w:t>
      </w:r>
      <w:hyperlink r:id="rId22">
        <w:r>
          <w:rPr>
            <w:rFonts w:ascii="Times New Roman" w:cs="Times New Roman" w:eastAsia="Times New Roman" w:hAnsi="Times New Roman"/>
            <w:sz w:val="15"/>
            <w:szCs w:val="15"/>
            <w:u w:val="single" w:color="auto"/>
            <w:color w:val="0000EE"/>
          </w:rPr>
          <w:t>June 30, 2026</w:t>
        </w:r>
      </w:hyperlink>
      <w:r>
        <w:rPr>
          <w:rFonts w:ascii="Times New Roman" w:cs="Times New Roman" w:eastAsia="Times New Roman" w:hAnsi="Times New Roman"/>
          <w:sz w:val="15"/>
          <w:szCs w:val="15"/>
          <w:color w:val="auto"/>
        </w:rPr>
        <w:t>, as filed with the Commission on August 7, 2026;</w:t>
      </w:r>
    </w:p>
    <w:p>
      <w:pPr>
        <w:spacing w:after="0" w:line="75" w:lineRule="exact"/>
        <w:rPr>
          <w:rFonts w:ascii="Times New Roman" w:cs="Times New Roman" w:eastAsia="Times New Roman" w:hAnsi="Times New Roman"/>
          <w:sz w:val="15"/>
          <w:szCs w:val="15"/>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380"/>
          </w:cols>
          <w:pgMar w:left="1240" w:top="247" w:right="1279" w:bottom="1440" w:gutter="0" w:footer="0" w:header="0"/>
        </w:sectPr>
      </w:pPr>
    </w:p>
    <w:bookmarkStart w:id="2" w:name="page3"/>
    <w:bookmarkEnd w:id="2"/>
    <w:p>
      <w:pPr>
        <w:ind w:right="100" w:firstLine="385"/>
        <w:spacing w:after="0" w:line="292" w:lineRule="auto"/>
        <w:tabs>
          <w:tab w:leader="none" w:pos="584" w:val="left"/>
        </w:tabs>
        <w:numPr>
          <w:ilvl w:val="0"/>
          <w:numId w:val="2"/>
        </w:numPr>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92645" cy="34925"/>
                    </a:xfrm>
                    <a:prstGeom prst="rect">
                      <a:avLst/>
                    </a:prstGeom>
                    <a:noFill/>
                  </pic:spPr>
                </pic:pic>
              </a:graphicData>
            </a:graphic>
          </wp:anchor>
        </w:drawing>
        <w:t xml:space="preserve">Navient LLC’s Current Reports on Form 8-K as filed with the Commission on </w:t>
      </w:r>
      <w:hyperlink r:id="rId24">
        <w:r>
          <w:rPr>
            <w:rFonts w:ascii="Times New Roman" w:cs="Times New Roman" w:eastAsia="Times New Roman" w:hAnsi="Times New Roman"/>
            <w:sz w:val="15"/>
            <w:szCs w:val="15"/>
            <w:u w:val="single" w:color="auto"/>
            <w:color w:val="0000EE"/>
          </w:rPr>
          <w:t>January 8, 2026</w:t>
        </w:r>
      </w:hyperlink>
      <w:r>
        <w:rPr>
          <w:rFonts w:ascii="Times New Roman" w:cs="Times New Roman" w:eastAsia="Times New Roman" w:hAnsi="Times New Roman"/>
          <w:sz w:val="15"/>
          <w:szCs w:val="15"/>
          <w:color w:val="auto"/>
        </w:rPr>
        <w:t xml:space="preserve">, </w:t>
      </w:r>
      <w:hyperlink r:id="rId25">
        <w:r>
          <w:rPr>
            <w:rFonts w:ascii="Times New Roman" w:cs="Times New Roman" w:eastAsia="Times New Roman" w:hAnsi="Times New Roman"/>
            <w:sz w:val="15"/>
            <w:szCs w:val="15"/>
            <w:u w:val="single" w:color="auto"/>
            <w:color w:val="0000EE"/>
          </w:rPr>
          <w:t>April 8, 2026</w:t>
        </w:r>
      </w:hyperlink>
      <w:r>
        <w:rPr>
          <w:rFonts w:ascii="Times New Roman" w:cs="Times New Roman" w:eastAsia="Times New Roman" w:hAnsi="Times New Roman"/>
          <w:sz w:val="15"/>
          <w:szCs w:val="15"/>
          <w:color w:val="auto"/>
        </w:rPr>
        <w:t xml:space="preserve">, </w:t>
      </w:r>
      <w:hyperlink r:id="rId26">
        <w:r>
          <w:rPr>
            <w:rFonts w:ascii="Times New Roman" w:cs="Times New Roman" w:eastAsia="Times New Roman" w:hAnsi="Times New Roman"/>
            <w:sz w:val="15"/>
            <w:szCs w:val="15"/>
            <w:u w:val="single" w:color="auto"/>
            <w:color w:val="0000EE"/>
          </w:rPr>
          <w:t>May 29, 2026</w:t>
        </w:r>
      </w:hyperlink>
      <w:r>
        <w:rPr>
          <w:rFonts w:ascii="Times New Roman" w:cs="Times New Roman" w:eastAsia="Times New Roman" w:hAnsi="Times New Roman"/>
          <w:sz w:val="15"/>
          <w:szCs w:val="15"/>
          <w:color w:val="auto"/>
        </w:rPr>
        <w:t xml:space="preserve">, </w:t>
      </w:r>
      <w:hyperlink r:id="rId27">
        <w:r>
          <w:rPr>
            <w:rFonts w:ascii="Times New Roman" w:cs="Times New Roman" w:eastAsia="Times New Roman" w:hAnsi="Times New Roman"/>
            <w:sz w:val="15"/>
            <w:szCs w:val="15"/>
            <w:u w:val="single" w:color="auto"/>
            <w:color w:val="0000EE"/>
          </w:rPr>
          <w:t>June 5, 2026</w:t>
        </w:r>
      </w:hyperlink>
      <w:r>
        <w:rPr>
          <w:rFonts w:ascii="Times New Roman" w:cs="Times New Roman" w:eastAsia="Times New Roman" w:hAnsi="Times New Roman"/>
          <w:sz w:val="15"/>
          <w:szCs w:val="15"/>
          <w:color w:val="auto"/>
        </w:rPr>
        <w:t xml:space="preserve">, </w:t>
      </w:r>
      <w:hyperlink r:id="rId28">
        <w:r>
          <w:rPr>
            <w:rFonts w:ascii="Times New Roman" w:cs="Times New Roman" w:eastAsia="Times New Roman" w:hAnsi="Times New Roman"/>
            <w:sz w:val="15"/>
            <w:szCs w:val="15"/>
            <w:u w:val="single" w:color="auto"/>
            <w:color w:val="0000EE"/>
          </w:rPr>
          <w:t>July 2,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29">
        <w:r>
          <w:rPr>
            <w:rFonts w:ascii="Times New Roman" w:cs="Times New Roman" w:eastAsia="Times New Roman" w:hAnsi="Times New Roman"/>
            <w:sz w:val="15"/>
            <w:szCs w:val="15"/>
            <w:u w:val="single" w:color="auto"/>
            <w:color w:val="0000EE"/>
          </w:rPr>
          <w:t xml:space="preserve">September 25, 2026 </w:t>
        </w:r>
      </w:hyperlink>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hyperlink r:id="rId30">
        <w:r>
          <w:rPr>
            <w:rFonts w:ascii="Times New Roman" w:cs="Times New Roman" w:eastAsia="Times New Roman" w:hAnsi="Times New Roman"/>
            <w:sz w:val="15"/>
            <w:szCs w:val="15"/>
            <w:u w:val="single" w:color="auto"/>
            <w:color w:val="0000EE"/>
          </w:rPr>
          <w:t>October 21, 2026</w:t>
        </w:r>
      </w:hyperlink>
      <w:r>
        <w:rPr>
          <w:rFonts w:ascii="Times New Roman" w:cs="Times New Roman" w:eastAsia="Times New Roman" w:hAnsi="Times New Roman"/>
          <w:sz w:val="15"/>
          <w:szCs w:val="15"/>
          <w:color w:val="000000"/>
        </w:rPr>
        <w:t>;</w:t>
      </w:r>
    </w:p>
    <w:p>
      <w:pPr>
        <w:spacing w:after="0" w:line="132" w:lineRule="exact"/>
        <w:rPr>
          <w:rFonts w:ascii="Times New Roman" w:cs="Times New Roman" w:eastAsia="Times New Roman" w:hAnsi="Times New Roman"/>
          <w:sz w:val="15"/>
          <w:szCs w:val="15"/>
          <w:color w:val="0000EE"/>
        </w:rPr>
      </w:pPr>
    </w:p>
    <w:p>
      <w:pPr>
        <w:ind w:left="600" w:hanging="215"/>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Navient Holdings’ Current Report on Form 8-K as filed with the Commission on </w:t>
      </w:r>
      <w:hyperlink r:id="rId31">
        <w:r>
          <w:rPr>
            <w:rFonts w:ascii="Times New Roman" w:cs="Times New Roman" w:eastAsia="Times New Roman" w:hAnsi="Times New Roman"/>
            <w:sz w:val="15"/>
            <w:szCs w:val="15"/>
            <w:u w:val="single" w:color="auto"/>
            <w:color w:val="0000EE"/>
          </w:rPr>
          <w:t>October 29, 2026</w:t>
        </w:r>
      </w:hyperlink>
      <w:r>
        <w:rPr>
          <w:rFonts w:ascii="Times New Roman" w:cs="Times New Roman" w:eastAsia="Times New Roman" w:hAnsi="Times New Roman"/>
          <w:sz w:val="15"/>
          <w:szCs w:val="15"/>
          <w:color w:val="auto"/>
        </w:rPr>
        <w:t>; and</w:t>
      </w:r>
    </w:p>
    <w:p>
      <w:pPr>
        <w:spacing w:after="0" w:line="195" w:lineRule="exact"/>
        <w:rPr>
          <w:rFonts w:ascii="Times New Roman" w:cs="Times New Roman" w:eastAsia="Times New Roman" w:hAnsi="Times New Roman"/>
          <w:sz w:val="15"/>
          <w:szCs w:val="15"/>
          <w:color w:val="auto"/>
        </w:rPr>
      </w:pPr>
    </w:p>
    <w:p>
      <w:pPr>
        <w:ind w:right="760" w:firstLine="385"/>
        <w:spacing w:after="0" w:line="292" w:lineRule="auto"/>
        <w:tabs>
          <w:tab w:leader="none" w:pos="584"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Navient Holdings’ Common Stock contained in Navient Holdings’ Current Report on Form 8-K as filed with the Commission on </w:t>
      </w:r>
      <w:hyperlink r:id="rId31">
        <w:r>
          <w:rPr>
            <w:rFonts w:ascii="Times New Roman" w:cs="Times New Roman" w:eastAsia="Times New Roman" w:hAnsi="Times New Roman"/>
            <w:sz w:val="15"/>
            <w:szCs w:val="15"/>
            <w:u w:val="single" w:color="auto"/>
            <w:color w:val="0000EE"/>
          </w:rPr>
          <w:t>October 29, 2026</w:t>
        </w:r>
      </w:hyperlink>
      <w:r>
        <w:rPr>
          <w:rFonts w:ascii="Times New Roman" w:cs="Times New Roman" w:eastAsia="Times New Roman" w:hAnsi="Times New Roman"/>
          <w:sz w:val="15"/>
          <w:szCs w:val="15"/>
          <w:color w:val="auto"/>
        </w:rPr>
        <w:t>, and including any amendments and reports filed for the purpose of updating such description.</w:t>
      </w:r>
    </w:p>
    <w:p>
      <w:pPr>
        <w:spacing w:after="0" w:line="133" w:lineRule="exact"/>
        <w:rPr>
          <w:rFonts w:ascii="Times New Roman" w:cs="Times New Roman" w:eastAsia="Times New Roman" w:hAnsi="Times New Roman"/>
          <w:sz w:val="15"/>
          <w:szCs w:val="15"/>
          <w:color w:val="auto"/>
        </w:rPr>
      </w:pPr>
    </w:p>
    <w:p>
      <w:pPr>
        <w:ind w:right="120" w:firstLine="375"/>
        <w:spacing w:after="0" w:line="260" w:lineRule="auto"/>
        <w:rPr>
          <w:sz w:val="20"/>
          <w:szCs w:val="20"/>
          <w:color w:val="auto"/>
        </w:rPr>
      </w:pPr>
      <w:r>
        <w:rPr>
          <w:rFonts w:ascii="Times New Roman" w:cs="Times New Roman" w:eastAsia="Times New Roman" w:hAnsi="Times New Roman"/>
          <w:sz w:val="15"/>
          <w:szCs w:val="15"/>
          <w:color w:val="auto"/>
        </w:rPr>
        <w:t>Except to the extent that information is deemed furnished and not filed pursuant to securities laws and regulations, all documents subsequently filed with the Commission by Navient Holdings pursuant to Sections 13(a), 13(c), 14 or 15(d) of the Securities Exchange Act of 1934, as amended (the “Exchange Act”),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47"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Description of Securities.</w:t>
      </w:r>
    </w:p>
    <w:p>
      <w:pPr>
        <w:spacing w:after="0" w:line="108" w:lineRule="exact"/>
        <w:rPr>
          <w:rFonts w:ascii="Times New Roman" w:cs="Times New Roman" w:eastAsia="Times New Roman" w:hAnsi="Times New Roman"/>
          <w:sz w:val="15"/>
          <w:szCs w:val="15"/>
          <w:color w:val="auto"/>
        </w:rPr>
      </w:pPr>
    </w:p>
    <w:p>
      <w:pPr>
        <w:ind w:left="380"/>
        <w:spacing w:after="0"/>
        <w:rPr>
          <w:sz w:val="20"/>
          <w:szCs w:val="20"/>
          <w:color w:val="auto"/>
        </w:rPr>
      </w:pPr>
      <w:r>
        <w:rPr>
          <w:rFonts w:ascii="Times New Roman" w:cs="Times New Roman" w:eastAsia="Times New Roman" w:hAnsi="Times New Roman"/>
          <w:sz w:val="15"/>
          <w:szCs w:val="15"/>
          <w:color w:val="auto"/>
        </w:rPr>
        <w:t>Not applicable.</w:t>
      </w:r>
    </w:p>
    <w:p>
      <w:pPr>
        <w:spacing w:after="0" w:line="284"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Interests of Named Experts and Counsel.</w:t>
      </w:r>
    </w:p>
    <w:p>
      <w:pPr>
        <w:spacing w:after="0" w:line="108" w:lineRule="exact"/>
        <w:rPr>
          <w:rFonts w:ascii="Times New Roman" w:cs="Times New Roman" w:eastAsia="Times New Roman" w:hAnsi="Times New Roman"/>
          <w:sz w:val="15"/>
          <w:szCs w:val="15"/>
          <w:color w:val="auto"/>
        </w:rPr>
      </w:pPr>
    </w:p>
    <w:p>
      <w:pPr>
        <w:ind w:left="380"/>
        <w:spacing w:after="0"/>
        <w:rPr>
          <w:sz w:val="20"/>
          <w:szCs w:val="20"/>
          <w:color w:val="auto"/>
        </w:rPr>
      </w:pPr>
      <w:r>
        <w:rPr>
          <w:rFonts w:ascii="Times New Roman" w:cs="Times New Roman" w:eastAsia="Times New Roman" w:hAnsi="Times New Roman"/>
          <w:sz w:val="15"/>
          <w:szCs w:val="15"/>
          <w:color w:val="auto"/>
        </w:rPr>
        <w:t>Not applicable.</w:t>
      </w:r>
    </w:p>
    <w:p>
      <w:pPr>
        <w:spacing w:after="0" w:line="284"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6. Indemnification of Directors and Officers.</w:t>
      </w:r>
    </w:p>
    <w:p>
      <w:pPr>
        <w:spacing w:after="0" w:line="108" w:lineRule="exact"/>
        <w:rPr>
          <w:rFonts w:ascii="Times New Roman" w:cs="Times New Roman" w:eastAsia="Times New Roman" w:hAnsi="Times New Roman"/>
          <w:sz w:val="15"/>
          <w:szCs w:val="15"/>
          <w:color w:val="auto"/>
        </w:rPr>
      </w:pPr>
    </w:p>
    <w:p>
      <w:pPr>
        <w:ind w:firstLine="375"/>
        <w:spacing w:after="0" w:line="261" w:lineRule="auto"/>
        <w:rPr>
          <w:sz w:val="20"/>
          <w:szCs w:val="20"/>
          <w:color w:val="auto"/>
        </w:rPr>
      </w:pPr>
      <w:r>
        <w:rPr>
          <w:rFonts w:ascii="Times New Roman" w:cs="Times New Roman" w:eastAsia="Times New Roman" w:hAnsi="Times New Roman"/>
          <w:sz w:val="15"/>
          <w:szCs w:val="15"/>
          <w:color w:val="auto"/>
        </w:rPr>
        <w:t>As permitted by Section 102(b)(7) of the Delaware General Corporation Law (the “DGCL”), Navient Holdings’ certificate of incorporation provides that none of Navient Holdings’ directors will be personally liable to Navient Holdings or its stockholders for monetary damages for breaches of fiduciary duty, except for liability (i) for any breach of the director’s duty of loyalty to Navient Holdings or its stockholders, (ii) for acts or omissions not in good faith or which involve intentional misconduct or a knowing violation of law, (iii) pursuant to the provisions of Section 174 of the DGCL or</w:t>
      </w:r>
    </w:p>
    <w:p>
      <w:pPr>
        <w:spacing w:after="0" w:line="1" w:lineRule="exact"/>
        <w:rPr>
          <w:rFonts w:ascii="Times New Roman" w:cs="Times New Roman" w:eastAsia="Times New Roman" w:hAnsi="Times New Roman"/>
          <w:sz w:val="15"/>
          <w:szCs w:val="15"/>
          <w:color w:val="auto"/>
        </w:rPr>
      </w:pPr>
    </w:p>
    <w:p>
      <w:pPr>
        <w:ind w:right="60" w:firstLine="10"/>
        <w:spacing w:after="0" w:line="264" w:lineRule="auto"/>
        <w:tabs>
          <w:tab w:leader="none" w:pos="2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any transaction from which the director derived an improper personal benefit. Any repeal or modification of the foregoing Article SEVENTH of Navient Holdings’ certificate of incorporation by Navient Holdings’ stockholders will not adversely affect any right of a director existing at the time of such repeal or modification with respect to any act or omission occurring prior to such repeal or modification.</w:t>
      </w:r>
    </w:p>
    <w:p>
      <w:pPr>
        <w:spacing w:after="0" w:line="153" w:lineRule="exact"/>
        <w:rPr>
          <w:rFonts w:ascii="Times New Roman" w:cs="Times New Roman" w:eastAsia="Times New Roman" w:hAnsi="Times New Roman"/>
          <w:sz w:val="15"/>
          <w:szCs w:val="15"/>
          <w:color w:val="auto"/>
        </w:rPr>
      </w:pPr>
    </w:p>
    <w:p>
      <w:pPr>
        <w:ind w:firstLine="375"/>
        <w:spacing w:after="0" w:line="259" w:lineRule="auto"/>
        <w:rPr>
          <w:sz w:val="20"/>
          <w:szCs w:val="20"/>
          <w:color w:val="auto"/>
        </w:rPr>
      </w:pPr>
      <w:r>
        <w:rPr>
          <w:rFonts w:ascii="Times New Roman" w:cs="Times New Roman" w:eastAsia="Times New Roman" w:hAnsi="Times New Roman"/>
          <w:sz w:val="15"/>
          <w:szCs w:val="15"/>
          <w:color w:val="auto"/>
        </w:rPr>
        <w:t>Under Section 145 of the DGCL, a corporation has the power to indemnify directors and officers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any of them is a party by reason of being a director or officer of the corporation if it is determined that the director or officer acted in accordance with the applicable standard of conduct set forth in such statutory provision. Article VII of Navient Holdings’ bylaws provides that Navient Holdings will indemnify any person who was or is party or is threatened to be made a party to any threatened, pending or completed action, suit or proceeding by reason of the fact that he or she is or was a director or officer of Navient Holdings, or is or was a director or officer of Navient Holdings serving at the request of Navient Holdings as a director, officer, employee or agent of another entity, against certain liabilities, costs and expenses. Article VII also provides for the advancement of expenses to an indemnified party upon receipt of an undertaking by the party to repay those amounts if it is ultimately determined that he or she is not entitled to be indemnified by Navient Holdings. Any repeal or modification of the foregoing provisions of Article VII of Navient Holdings’ bylaws will be prospective only and will not in any way adversely affect any right of a director or officer in effect at the time with respect to any act or omission occurring prior to such repeal or modification.</w:t>
      </w:r>
    </w:p>
    <w:p>
      <w:pPr>
        <w:spacing w:after="0" w:line="288" w:lineRule="exact"/>
        <w:rPr>
          <w:rFonts w:ascii="Times New Roman" w:cs="Times New Roman" w:eastAsia="Times New Roman" w:hAnsi="Times New Roman"/>
          <w:sz w:val="15"/>
          <w:szCs w:val="15"/>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400"/>
          </w:cols>
          <w:pgMar w:left="1240" w:top="251" w:right="1259" w:bottom="1440" w:gutter="0" w:footer="0" w:header="0"/>
        </w:sectPr>
      </w:pPr>
    </w:p>
    <w:bookmarkStart w:id="3" w:name="page4"/>
    <w:bookmarkEnd w:id="3"/>
    <w:p>
      <w:pPr>
        <w:ind w:right="20" w:firstLine="375"/>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92645" cy="34925"/>
                    </a:xfrm>
                    <a:prstGeom prst="rect">
                      <a:avLst/>
                    </a:prstGeom>
                    <a:noFill/>
                  </pic:spPr>
                </pic:pic>
              </a:graphicData>
            </a:graphic>
          </wp:anchor>
        </w:drawing>
        <w:t>Navient Holdings maintains a director and officer insurance policy which insures the directors and officers of Navient Holdings and its subsidiaries, within certain limits and subject to certain limitations, against certain expenses in connection with the defense of actions, suits or proceedings, and certain liabilities that might be imposed as a result of such actions, suits or proceedings in which they are parties by reason of being or having been directors or officers.</w:t>
      </w:r>
    </w:p>
    <w:p>
      <w:pPr>
        <w:spacing w:after="0" w:line="27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Exemption from Registration Claimed.</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Not applicable.</w:t>
      </w:r>
    </w:p>
    <w:p>
      <w:pPr>
        <w:spacing w:after="0" w:line="3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Item 8.</w:t>
      </w:r>
      <w:r>
        <w:rPr>
          <w:sz w:val="20"/>
          <w:szCs w:val="20"/>
          <w:color w:val="auto"/>
        </w:rPr>
        <w:tab/>
      </w:r>
      <w:r>
        <w:rPr>
          <w:rFonts w:ascii="Times New Roman" w:cs="Times New Roman" w:eastAsia="Times New Roman" w:hAnsi="Times New Roman"/>
          <w:sz w:val="15"/>
          <w:szCs w:val="15"/>
          <w:b w:val="1"/>
          <w:bCs w:val="1"/>
          <w:color w:val="auto"/>
        </w:rPr>
        <w:t>Exhibits.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following exhibits are incorporated herein by reference:</w:t>
      </w:r>
    </w:p>
    <w:p>
      <w:pPr>
        <w:spacing w:after="0" w:line="2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u w:val="single" w:color="auto"/>
          <w:color w:val="auto"/>
        </w:rPr>
        <w:t>Number</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13970</wp:posOffset>
            </wp:positionV>
            <wp:extent cx="54578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5457825" cy="7620"/>
                    </a:xfrm>
                    <a:prstGeom prst="rect">
                      <a:avLst/>
                    </a:prstGeom>
                    <a:noFill/>
                  </pic:spPr>
                </pic:pic>
              </a:graphicData>
            </a:graphic>
          </wp:anchor>
        </w:drawing>
      </w:r>
    </w:p>
    <w:p>
      <w:pPr>
        <w:spacing w:after="0" w:line="79" w:lineRule="exact"/>
        <w:rPr>
          <w:sz w:val="20"/>
          <w:szCs w:val="20"/>
          <w:color w:val="auto"/>
        </w:rPr>
      </w:pPr>
    </w:p>
    <w:p>
      <w:pPr>
        <w:ind w:left="800" w:right="220" w:hanging="790"/>
        <w:spacing w:after="0" w:line="292" w:lineRule="auto"/>
        <w:tabs>
          <w:tab w:leader="none" w:pos="83" w:val="left"/>
        </w:tabs>
        <w:numPr>
          <w:ilvl w:val="0"/>
          <w:numId w:val="4"/>
        </w:numPr>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  4.1</w:t>
      </w:r>
      <w:hyperlink r:id="rId34">
        <w:r>
          <w:rPr>
            <w:rFonts w:ascii="Times New Roman" w:cs="Times New Roman" w:eastAsia="Times New Roman" w:hAnsi="Times New Roman"/>
            <w:sz w:val="15"/>
            <w:szCs w:val="15"/>
            <w:u w:val="single" w:color="auto"/>
            <w:color w:val="0000EE"/>
          </w:rPr>
          <w:t>Certificate of Incorporation of Navient Holdings, Inc. (incorporated by reference to Exhibit 3.1 to Navient Holdings’ Current Report on</w:t>
        </w:r>
      </w:hyperlink>
      <w:r>
        <w:rPr>
          <w:rFonts w:ascii="Times New Roman" w:cs="Times New Roman" w:eastAsia="Times New Roman" w:hAnsi="Times New Roman"/>
          <w:sz w:val="15"/>
          <w:szCs w:val="15"/>
          <w:u w:val="single" w:color="auto"/>
          <w:color w:val="0000EE"/>
        </w:rPr>
        <w:t xml:space="preserve"> </w:t>
      </w:r>
      <w:hyperlink r:id="rId34">
        <w:r>
          <w:rPr>
            <w:rFonts w:ascii="Times New Roman" w:cs="Times New Roman" w:eastAsia="Times New Roman" w:hAnsi="Times New Roman"/>
            <w:sz w:val="15"/>
            <w:szCs w:val="15"/>
            <w:u w:val="single" w:color="auto"/>
            <w:color w:val="0000EE"/>
          </w:rPr>
          <w:t>Form 8-K filed on October 29, 2026)</w:t>
        </w:r>
      </w:hyperlink>
    </w:p>
    <w:p>
      <w:pPr>
        <w:spacing w:after="0" w:line="40" w:lineRule="exact"/>
        <w:rPr>
          <w:rFonts w:ascii="Times New Roman" w:cs="Times New Roman" w:eastAsia="Times New Roman" w:hAnsi="Times New Roman"/>
          <w:sz w:val="15"/>
          <w:szCs w:val="15"/>
          <w:u w:val="single" w:color="auto"/>
          <w:color w:val="0000EE"/>
        </w:rPr>
      </w:pPr>
    </w:p>
    <w:p>
      <w:pPr>
        <w:ind w:left="800" w:right="280" w:hanging="790"/>
        <w:spacing w:after="0" w:line="292" w:lineRule="auto"/>
        <w:tabs>
          <w:tab w:leader="none" w:pos="83" w:val="left"/>
        </w:tabs>
        <w:numPr>
          <w:ilvl w:val="0"/>
          <w:numId w:val="4"/>
        </w:numPr>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  4.2</w:t>
      </w:r>
      <w:hyperlink r:id="rId35">
        <w:r>
          <w:rPr>
            <w:rFonts w:ascii="Times New Roman" w:cs="Times New Roman" w:eastAsia="Times New Roman" w:hAnsi="Times New Roman"/>
            <w:sz w:val="15"/>
            <w:szCs w:val="15"/>
            <w:u w:val="single" w:color="auto"/>
            <w:color w:val="0000EE"/>
          </w:rPr>
          <w:t>Bylaws of Navient Holdings, Inc. (incorporated by reference to Exhibit 3.2 to Navient Holdings’ Current Report on Form 8-K filed on</w:t>
        </w:r>
      </w:hyperlink>
      <w:r>
        <w:rPr>
          <w:rFonts w:ascii="Times New Roman" w:cs="Times New Roman" w:eastAsia="Times New Roman" w:hAnsi="Times New Roman"/>
          <w:sz w:val="15"/>
          <w:szCs w:val="15"/>
          <w:u w:val="single" w:color="auto"/>
          <w:color w:val="0000EE"/>
        </w:rPr>
        <w:t xml:space="preserve"> </w:t>
      </w:r>
      <w:hyperlink r:id="rId35">
        <w:r>
          <w:rPr>
            <w:rFonts w:ascii="Times New Roman" w:cs="Times New Roman" w:eastAsia="Times New Roman" w:hAnsi="Times New Roman"/>
            <w:sz w:val="15"/>
            <w:szCs w:val="15"/>
            <w:u w:val="single" w:color="auto"/>
            <w:color w:val="0000EE"/>
          </w:rPr>
          <w:t>October 29, 2026)</w:t>
        </w:r>
      </w:hyperlink>
    </w:p>
    <w:p>
      <w:pPr>
        <w:spacing w:after="0" w:line="40" w:lineRule="exact"/>
        <w:rPr>
          <w:rFonts w:ascii="Times New Roman" w:cs="Times New Roman" w:eastAsia="Times New Roman" w:hAnsi="Times New Roman"/>
          <w:sz w:val="15"/>
          <w:szCs w:val="15"/>
          <w:u w:val="single" w:color="auto"/>
          <w:color w:val="0000EE"/>
        </w:rPr>
      </w:pPr>
    </w:p>
    <w:p>
      <w:pPr>
        <w:ind w:left="800" w:right="160" w:hanging="790"/>
        <w:spacing w:after="0" w:line="292" w:lineRule="auto"/>
        <w:tabs>
          <w:tab w:leader="none" w:pos="83" w:val="left"/>
        </w:tabs>
        <w:numPr>
          <w:ilvl w:val="0"/>
          <w:numId w:val="4"/>
        </w:numPr>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  4.3</w:t>
      </w:r>
      <w:hyperlink r:id="rId36">
        <w:r>
          <w:rPr>
            <w:rFonts w:ascii="Times New Roman" w:cs="Times New Roman" w:eastAsia="Times New Roman" w:hAnsi="Times New Roman"/>
            <w:sz w:val="15"/>
            <w:szCs w:val="15"/>
            <w:u w:val="single" w:color="auto"/>
            <w:color w:val="0000EE"/>
          </w:rPr>
          <w:t>Navient Holdings, Inc. 2024 Omnibus Incentive Plan (incorporated by reference to Exhibit 10.3 to Navient Holdings’ Current Report on</w:t>
        </w:r>
      </w:hyperlink>
      <w:r>
        <w:rPr>
          <w:rFonts w:ascii="Times New Roman" w:cs="Times New Roman" w:eastAsia="Times New Roman" w:hAnsi="Times New Roman"/>
          <w:sz w:val="15"/>
          <w:szCs w:val="15"/>
          <w:u w:val="single" w:color="auto"/>
          <w:color w:val="0000EE"/>
        </w:rPr>
        <w:t xml:space="preserve"> </w:t>
      </w:r>
      <w:hyperlink r:id="rId36">
        <w:r>
          <w:rPr>
            <w:rFonts w:ascii="Times New Roman" w:cs="Times New Roman" w:eastAsia="Times New Roman" w:hAnsi="Times New Roman"/>
            <w:sz w:val="15"/>
            <w:szCs w:val="15"/>
            <w:u w:val="single" w:color="auto"/>
            <w:color w:val="0000EE"/>
          </w:rPr>
          <w:t>Form 8-K filed on October 29, 2026)</w:t>
        </w:r>
      </w:hyperlink>
    </w:p>
    <w:p>
      <w:pPr>
        <w:spacing w:after="0" w:line="40" w:lineRule="exact"/>
        <w:rPr>
          <w:rFonts w:ascii="Times New Roman" w:cs="Times New Roman" w:eastAsia="Times New Roman" w:hAnsi="Times New Roman"/>
          <w:sz w:val="15"/>
          <w:szCs w:val="15"/>
          <w:u w:val="single" w:color="auto"/>
          <w:color w:val="0000EE"/>
        </w:rPr>
      </w:pPr>
    </w:p>
    <w:p>
      <w:pPr>
        <w:ind w:left="800" w:right="160" w:hanging="790"/>
        <w:spacing w:after="0" w:line="292" w:lineRule="auto"/>
        <w:tabs>
          <w:tab w:leader="none" w:pos="83" w:val="left"/>
        </w:tabs>
        <w:numPr>
          <w:ilvl w:val="0"/>
          <w:numId w:val="4"/>
        </w:numPr>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  4.4</w:t>
      </w:r>
      <w:hyperlink r:id="rId37">
        <w:r>
          <w:rPr>
            <w:rFonts w:ascii="Times New Roman" w:cs="Times New Roman" w:eastAsia="Times New Roman" w:hAnsi="Times New Roman"/>
            <w:sz w:val="15"/>
            <w:szCs w:val="15"/>
            <w:u w:val="single" w:color="auto"/>
            <w:color w:val="0000EE"/>
          </w:rPr>
          <w:t>Navient Holdings, Inc. 2014 Omnibus Incentive Plan (incorporated by reference to Exhibit 10.4 to Navient Holdings’ Current Report on</w:t>
        </w:r>
      </w:hyperlink>
      <w:r>
        <w:rPr>
          <w:rFonts w:ascii="Times New Roman" w:cs="Times New Roman" w:eastAsia="Times New Roman" w:hAnsi="Times New Roman"/>
          <w:sz w:val="15"/>
          <w:szCs w:val="15"/>
          <w:u w:val="single" w:color="auto"/>
          <w:color w:val="0000EE"/>
        </w:rPr>
        <w:t xml:space="preserve"> </w:t>
      </w:r>
      <w:hyperlink r:id="rId37">
        <w:r>
          <w:rPr>
            <w:rFonts w:ascii="Times New Roman" w:cs="Times New Roman" w:eastAsia="Times New Roman" w:hAnsi="Times New Roman"/>
            <w:sz w:val="15"/>
            <w:szCs w:val="15"/>
            <w:u w:val="single" w:color="auto"/>
            <w:color w:val="0000EE"/>
          </w:rPr>
          <w:t>Form 8-K filed on October 29, 2026)</w:t>
        </w:r>
      </w:hyperlink>
    </w:p>
    <w:p>
      <w:pPr>
        <w:spacing w:after="0" w:line="40" w:lineRule="exact"/>
        <w:rPr>
          <w:rFonts w:ascii="Times New Roman" w:cs="Times New Roman" w:eastAsia="Times New Roman" w:hAnsi="Times New Roman"/>
          <w:sz w:val="15"/>
          <w:szCs w:val="15"/>
          <w:u w:val="single" w:color="auto"/>
          <w:color w:val="0000EE"/>
        </w:rPr>
      </w:pPr>
    </w:p>
    <w:p>
      <w:pPr>
        <w:ind w:left="800" w:right="80" w:hanging="790"/>
        <w:spacing w:after="0" w:line="292" w:lineRule="auto"/>
        <w:tabs>
          <w:tab w:leader="none" w:pos="83" w:val="left"/>
        </w:tabs>
        <w:numPr>
          <w:ilvl w:val="0"/>
          <w:numId w:val="4"/>
        </w:numPr>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  4.5</w:t>
      </w:r>
      <w:hyperlink r:id="rId38">
        <w:r>
          <w:rPr>
            <w:rFonts w:ascii="Times New Roman" w:cs="Times New Roman" w:eastAsia="Times New Roman" w:hAnsi="Times New Roman"/>
            <w:sz w:val="15"/>
            <w:szCs w:val="15"/>
            <w:u w:val="single" w:color="auto"/>
            <w:color w:val="0000EE"/>
          </w:rPr>
          <w:t>Navient Holdings, Inc. Employee Stock Purchase Plan (incorporated by reference to Exhibit 10.5 to Navient Holdings’ Current Report on</w:t>
        </w:r>
      </w:hyperlink>
      <w:r>
        <w:rPr>
          <w:rFonts w:ascii="Times New Roman" w:cs="Times New Roman" w:eastAsia="Times New Roman" w:hAnsi="Times New Roman"/>
          <w:sz w:val="15"/>
          <w:szCs w:val="15"/>
          <w:u w:val="single" w:color="auto"/>
          <w:color w:val="0000EE"/>
        </w:rPr>
        <w:t xml:space="preserve"> </w:t>
      </w:r>
      <w:hyperlink r:id="rId38">
        <w:r>
          <w:rPr>
            <w:rFonts w:ascii="Times New Roman" w:cs="Times New Roman" w:eastAsia="Times New Roman" w:hAnsi="Times New Roman"/>
            <w:sz w:val="15"/>
            <w:szCs w:val="15"/>
            <w:u w:val="single" w:color="auto"/>
            <w:color w:val="0000EE"/>
          </w:rPr>
          <w:t>Form 8-K filed on October 29, 2026)</w:t>
        </w:r>
      </w:hyperlink>
    </w:p>
    <w:p>
      <w:pPr>
        <w:spacing w:after="0" w:line="40" w:lineRule="exact"/>
        <w:rPr>
          <w:rFonts w:ascii="Times New Roman" w:cs="Times New Roman" w:eastAsia="Times New Roman" w:hAnsi="Times New Roman"/>
          <w:sz w:val="15"/>
          <w:szCs w:val="15"/>
          <w:u w:val="single" w:color="auto"/>
          <w:color w:val="0000EE"/>
        </w:rPr>
      </w:pPr>
    </w:p>
    <w:p>
      <w:pPr>
        <w:ind w:left="800" w:right="220" w:hanging="790"/>
        <w:spacing w:after="0" w:line="292" w:lineRule="auto"/>
        <w:tabs>
          <w:tab w:leader="none" w:pos="83" w:val="left"/>
        </w:tabs>
        <w:numPr>
          <w:ilvl w:val="0"/>
          <w:numId w:val="4"/>
        </w:numPr>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  4.6</w:t>
      </w:r>
      <w:hyperlink r:id="rId39">
        <w:r>
          <w:rPr>
            <w:rFonts w:ascii="Times New Roman" w:cs="Times New Roman" w:eastAsia="Times New Roman" w:hAnsi="Times New Roman"/>
            <w:sz w:val="15"/>
            <w:szCs w:val="15"/>
            <w:u w:val="single" w:color="auto"/>
            <w:color w:val="0000EE"/>
          </w:rPr>
          <w:t>Navient Holdings, Inc. Deferred Compensation Plan (incorporated by reference to Exhibit 10.6 to Navient Holdings’ Current Report on</w:t>
        </w:r>
      </w:hyperlink>
      <w:r>
        <w:rPr>
          <w:rFonts w:ascii="Times New Roman" w:cs="Times New Roman" w:eastAsia="Times New Roman" w:hAnsi="Times New Roman"/>
          <w:sz w:val="15"/>
          <w:szCs w:val="15"/>
          <w:u w:val="single" w:color="auto"/>
          <w:color w:val="0000EE"/>
        </w:rPr>
        <w:t xml:space="preserve"> </w:t>
      </w:r>
      <w:hyperlink r:id="rId39">
        <w:r>
          <w:rPr>
            <w:rFonts w:ascii="Times New Roman" w:cs="Times New Roman" w:eastAsia="Times New Roman" w:hAnsi="Times New Roman"/>
            <w:sz w:val="15"/>
            <w:szCs w:val="15"/>
            <w:u w:val="single" w:color="auto"/>
            <w:color w:val="0000EE"/>
          </w:rPr>
          <w:t>Form 8-K filed on October 29, 2026)</w:t>
        </w:r>
      </w:hyperlink>
    </w:p>
    <w:p>
      <w:pPr>
        <w:spacing w:after="0" w:line="40" w:lineRule="exact"/>
        <w:rPr>
          <w:rFonts w:ascii="Times New Roman" w:cs="Times New Roman" w:eastAsia="Times New Roman" w:hAnsi="Times New Roman"/>
          <w:sz w:val="15"/>
          <w:szCs w:val="15"/>
          <w:u w:val="single" w:color="auto"/>
          <w:color w:val="0000EE"/>
        </w:rPr>
      </w:pPr>
    </w:p>
    <w:p>
      <w:pPr>
        <w:ind w:left="800" w:right="40" w:hanging="790"/>
        <w:spacing w:after="0" w:line="292" w:lineRule="auto"/>
        <w:tabs>
          <w:tab w:leader="none" w:pos="83" w:val="left"/>
        </w:tabs>
        <w:numPr>
          <w:ilvl w:val="0"/>
          <w:numId w:val="4"/>
        </w:numPr>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  4.7</w:t>
      </w:r>
      <w:hyperlink r:id="rId40">
        <w:r>
          <w:rPr>
            <w:rFonts w:ascii="Times New Roman" w:cs="Times New Roman" w:eastAsia="Times New Roman" w:hAnsi="Times New Roman"/>
            <w:sz w:val="15"/>
            <w:szCs w:val="15"/>
            <w:u w:val="single" w:color="auto"/>
            <w:color w:val="0000EE"/>
          </w:rPr>
          <w:t>Navient Holdings, Inc. Deferred Compensation Plan for Directors (incorporated by reference to Exhibit 10.7 to Navient Holdings’ Current</w:t>
        </w:r>
      </w:hyperlink>
      <w:r>
        <w:rPr>
          <w:rFonts w:ascii="Times New Roman" w:cs="Times New Roman" w:eastAsia="Times New Roman" w:hAnsi="Times New Roman"/>
          <w:sz w:val="15"/>
          <w:szCs w:val="15"/>
          <w:u w:val="single" w:color="auto"/>
          <w:color w:val="0000EE"/>
        </w:rPr>
        <w:t xml:space="preserve"> </w:t>
      </w:r>
      <w:hyperlink r:id="rId40">
        <w:r>
          <w:rPr>
            <w:rFonts w:ascii="Times New Roman" w:cs="Times New Roman" w:eastAsia="Times New Roman" w:hAnsi="Times New Roman"/>
            <w:sz w:val="15"/>
            <w:szCs w:val="15"/>
            <w:u w:val="single" w:color="auto"/>
            <w:color w:val="0000EE"/>
          </w:rPr>
          <w:t>Report on Form 8-K filed on October 29, 2026)</w:t>
        </w:r>
      </w:hyperlink>
    </w:p>
    <w:p>
      <w:pPr>
        <w:spacing w:after="0" w:line="40" w:lineRule="exact"/>
        <w:rPr>
          <w:rFonts w:ascii="Times New Roman" w:cs="Times New Roman" w:eastAsia="Times New Roman" w:hAnsi="Times New Roman"/>
          <w:sz w:val="15"/>
          <w:szCs w:val="15"/>
          <w:u w:val="single" w:color="auto"/>
          <w:color w:val="0000EE"/>
        </w:rPr>
      </w:pPr>
    </w:p>
    <w:p>
      <w:pPr>
        <w:ind w:left="800" w:hanging="790"/>
        <w:spacing w:after="0" w:line="292" w:lineRule="auto"/>
        <w:tabs>
          <w:tab w:leader="none" w:pos="83" w:val="left"/>
        </w:tabs>
        <w:numPr>
          <w:ilvl w:val="0"/>
          <w:numId w:val="4"/>
        </w:numPr>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  4.8</w:t>
      </w:r>
      <w:hyperlink r:id="rId41">
        <w:r>
          <w:rPr>
            <w:rFonts w:ascii="Times New Roman" w:cs="Times New Roman" w:eastAsia="Times New Roman" w:hAnsi="Times New Roman"/>
            <w:sz w:val="15"/>
            <w:szCs w:val="15"/>
            <w:u w:val="single" w:color="auto"/>
            <w:color w:val="0000EE"/>
          </w:rPr>
          <w:t>Navient Corporation Supplemental 401(k) Savings Plan (incorporated by reference to Exhibit 10.8 to Navient Holdings’ Current Report on</w:t>
        </w:r>
      </w:hyperlink>
      <w:r>
        <w:rPr>
          <w:rFonts w:ascii="Times New Roman" w:cs="Times New Roman" w:eastAsia="Times New Roman" w:hAnsi="Times New Roman"/>
          <w:sz w:val="15"/>
          <w:szCs w:val="15"/>
          <w:u w:val="single" w:color="auto"/>
          <w:color w:val="0000EE"/>
        </w:rPr>
        <w:t xml:space="preserve"> </w:t>
      </w:r>
      <w:hyperlink r:id="rId41">
        <w:r>
          <w:rPr>
            <w:rFonts w:ascii="Times New Roman" w:cs="Times New Roman" w:eastAsia="Times New Roman" w:hAnsi="Times New Roman"/>
            <w:sz w:val="15"/>
            <w:szCs w:val="15"/>
            <w:u w:val="single" w:color="auto"/>
            <w:color w:val="0000EE"/>
          </w:rPr>
          <w:t>Form 8-K filed on October 29, 2026)</w:t>
        </w:r>
      </w:hyperlink>
    </w:p>
    <w:p>
      <w:pPr>
        <w:spacing w:after="0" w:line="40" w:lineRule="exact"/>
        <w:rPr>
          <w:rFonts w:ascii="Times New Roman" w:cs="Times New Roman" w:eastAsia="Times New Roman" w:hAnsi="Times New Roman"/>
          <w:sz w:val="15"/>
          <w:szCs w:val="15"/>
          <w:u w:val="single" w:color="auto"/>
          <w:color w:val="0000EE"/>
        </w:rPr>
      </w:pPr>
    </w:p>
    <w:p>
      <w:pPr>
        <w:ind w:left="80" w:hanging="70"/>
        <w:spacing w:after="0"/>
        <w:tabs>
          <w:tab w:leader="none" w:pos="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5.1*</w:t>
      </w:r>
      <w:r>
        <w:rPr>
          <w:rFonts w:ascii="Times New Roman" w:cs="Times New Roman" w:eastAsia="Times New Roman" w:hAnsi="Times New Roman"/>
          <w:sz w:val="15"/>
          <w:szCs w:val="15"/>
          <w:u w:val="single" w:color="auto"/>
          <w:color w:val="0000EE"/>
        </w:rPr>
        <w:t>Opinion of Kirkland &amp; Ellis LLP</w:t>
      </w:r>
    </w:p>
    <w:p>
      <w:pPr>
        <w:spacing w:after="0" w:line="103" w:lineRule="exact"/>
        <w:rPr>
          <w:rFonts w:ascii="Times New Roman" w:cs="Times New Roman" w:eastAsia="Times New Roman" w:hAnsi="Times New Roman"/>
          <w:sz w:val="14"/>
          <w:szCs w:val="14"/>
          <w:color w:val="auto"/>
        </w:rPr>
      </w:pPr>
    </w:p>
    <w:p>
      <w:pPr>
        <w:ind w:left="80" w:hanging="70"/>
        <w:spacing w:after="0"/>
        <w:tabs>
          <w:tab w:leader="none" w:pos="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23.1*</w:t>
      </w:r>
      <w:r>
        <w:rPr>
          <w:rFonts w:ascii="Times New Roman" w:cs="Times New Roman" w:eastAsia="Times New Roman" w:hAnsi="Times New Roman"/>
          <w:sz w:val="15"/>
          <w:szCs w:val="15"/>
          <w:u w:val="single" w:color="auto"/>
          <w:color w:val="0000EE"/>
        </w:rPr>
        <w:t>Consent of Kirkland &amp; Ellis LLP (included in Exhibit 5.1)</w:t>
      </w:r>
    </w:p>
    <w:p>
      <w:pPr>
        <w:spacing w:after="0" w:line="103" w:lineRule="exact"/>
        <w:rPr>
          <w:rFonts w:ascii="Times New Roman" w:cs="Times New Roman" w:eastAsia="Times New Roman" w:hAnsi="Times New Roman"/>
          <w:sz w:val="14"/>
          <w:szCs w:val="14"/>
          <w:color w:val="auto"/>
        </w:rPr>
      </w:pPr>
    </w:p>
    <w:p>
      <w:pPr>
        <w:ind w:left="80" w:hanging="70"/>
        <w:spacing w:after="0"/>
        <w:tabs>
          <w:tab w:leader="none" w:pos="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23.2*</w:t>
      </w:r>
      <w:r>
        <w:rPr>
          <w:rFonts w:ascii="Times New Roman" w:cs="Times New Roman" w:eastAsia="Times New Roman" w:hAnsi="Times New Roman"/>
          <w:sz w:val="15"/>
          <w:szCs w:val="15"/>
          <w:u w:val="single" w:color="auto"/>
          <w:color w:val="0000EE"/>
        </w:rPr>
        <w:t>Consent of KPMG LLP</w:t>
      </w:r>
    </w:p>
    <w:p>
      <w:pPr>
        <w:spacing w:after="0" w:line="103" w:lineRule="exact"/>
        <w:rPr>
          <w:rFonts w:ascii="Times New Roman" w:cs="Times New Roman" w:eastAsia="Times New Roman" w:hAnsi="Times New Roman"/>
          <w:sz w:val="14"/>
          <w:szCs w:val="14"/>
          <w:color w:val="auto"/>
        </w:rPr>
      </w:pPr>
    </w:p>
    <w:p>
      <w:pPr>
        <w:ind w:left="80" w:hanging="70"/>
        <w:spacing w:after="0"/>
        <w:tabs>
          <w:tab w:leader="none" w:pos="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24.1*</w:t>
      </w:r>
      <w:r>
        <w:rPr>
          <w:rFonts w:ascii="Times New Roman" w:cs="Times New Roman" w:eastAsia="Times New Roman" w:hAnsi="Times New Roman"/>
          <w:sz w:val="15"/>
          <w:szCs w:val="15"/>
          <w:u w:val="single" w:color="auto"/>
          <w:color w:val="0000EE"/>
        </w:rPr>
        <w:t>Power of Attorney (included on the signature page of this Registration Statement)</w:t>
      </w:r>
    </w:p>
    <w:p>
      <w:pPr>
        <w:spacing w:after="0" w:line="103" w:lineRule="exact"/>
        <w:rPr>
          <w:rFonts w:ascii="Times New Roman" w:cs="Times New Roman" w:eastAsia="Times New Roman" w:hAnsi="Times New Roman"/>
          <w:sz w:val="14"/>
          <w:szCs w:val="14"/>
          <w:color w:val="auto"/>
        </w:rPr>
      </w:pPr>
    </w:p>
    <w:p>
      <w:pPr>
        <w:ind w:left="80" w:hanging="70"/>
        <w:spacing w:after="0"/>
        <w:tabs>
          <w:tab w:leader="none" w:pos="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107*</w:t>
      </w:r>
      <w:r>
        <w:rPr>
          <w:rFonts w:ascii="Times New Roman" w:cs="Times New Roman" w:eastAsia="Times New Roman" w:hAnsi="Times New Roman"/>
          <w:sz w:val="15"/>
          <w:szCs w:val="15"/>
          <w:u w:val="single" w:color="auto"/>
          <w:color w:val="0000EE"/>
        </w:rPr>
        <w:t>Filing Fee Table</w:t>
      </w:r>
    </w:p>
    <w:p>
      <w:pPr>
        <w:spacing w:after="0" w:line="322"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line="284"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 Undertakings.</w:t>
      </w:r>
    </w:p>
    <w:p>
      <w:pPr>
        <w:spacing w:after="0" w:line="119" w:lineRule="exact"/>
        <w:rPr>
          <w:rFonts w:ascii="Times New Roman" w:cs="Times New Roman" w:eastAsia="Times New Roman" w:hAnsi="Times New Roman"/>
          <w:sz w:val="15"/>
          <w:szCs w:val="15"/>
          <w:color w:val="auto"/>
        </w:rPr>
      </w:pPr>
    </w:p>
    <w:p>
      <w:pPr>
        <w:ind w:left="840" w:hanging="462"/>
        <w:spacing w:after="0"/>
        <w:tabs>
          <w:tab w:leader="none" w:pos="8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w:t>
      </w:r>
    </w:p>
    <w:p>
      <w:pPr>
        <w:spacing w:after="0" w:line="115" w:lineRule="exact"/>
        <w:rPr>
          <w:rFonts w:ascii="Times New Roman" w:cs="Times New Roman" w:eastAsia="Times New Roman" w:hAnsi="Times New Roman"/>
          <w:sz w:val="15"/>
          <w:szCs w:val="15"/>
          <w:color w:val="auto"/>
        </w:rPr>
      </w:pPr>
    </w:p>
    <w:p>
      <w:pPr>
        <w:ind w:left="1220" w:hanging="370"/>
        <w:spacing w:after="0"/>
        <w:tabs>
          <w:tab w:leader="none" w:pos="122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during any period in which offers or sales are being made, a post-effective amendment to this Registration Statement:</w:t>
      </w:r>
    </w:p>
    <w:p>
      <w:pPr>
        <w:spacing w:after="0" w:line="115" w:lineRule="exact"/>
        <w:rPr>
          <w:rFonts w:ascii="Times New Roman" w:cs="Times New Roman" w:eastAsia="Times New Roman" w:hAnsi="Times New Roman"/>
          <w:sz w:val="15"/>
          <w:szCs w:val="15"/>
          <w:color w:val="auto"/>
        </w:rPr>
      </w:pPr>
    </w:p>
    <w:p>
      <w:pPr>
        <w:ind w:left="4660" w:right="260" w:hanging="3431"/>
        <w:spacing w:after="0" w:line="354" w:lineRule="auto"/>
        <w:tabs>
          <w:tab w:leader="none" w:pos="1684" w:val="left"/>
        </w:tabs>
        <w:numPr>
          <w:ilvl w:val="2"/>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 of 1933, as amended (the “Securities Act”); 4</w:t>
      </w:r>
    </w:p>
    <w:p>
      <w:pPr>
        <w:sectPr>
          <w:pgSz w:w="11900" w:h="16838" w:orient="portrait"/>
          <w:cols w:equalWidth="0" w:num="1">
            <w:col w:w="9340"/>
          </w:cols>
          <w:pgMar w:left="1240" w:top="251" w:right="1319" w:bottom="1440" w:gutter="0" w:footer="0" w:header="0"/>
        </w:sectPr>
      </w:pPr>
    </w:p>
    <w:bookmarkStart w:id="4" w:name="page5"/>
    <w:bookmarkEnd w:id="4"/>
    <w:p>
      <w:pPr>
        <w:ind w:left="1480" w:hanging="451"/>
        <w:spacing w:after="0" w:line="261" w:lineRule="auto"/>
        <w:tabs>
          <w:tab w:leader="none" w:pos="1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 price represent no more than 20% change in the maximum aggregate offering price set forth in the “Calculation of Registration Fee” table in the effective Registration Statement; and</w:t>
      </w:r>
    </w:p>
    <w:p>
      <w:pPr>
        <w:spacing w:after="0" w:line="75" w:lineRule="exact"/>
        <w:rPr>
          <w:rFonts w:ascii="Times New Roman" w:cs="Times New Roman" w:eastAsia="Times New Roman" w:hAnsi="Times New Roman"/>
          <w:sz w:val="15"/>
          <w:szCs w:val="15"/>
          <w:color w:val="auto"/>
        </w:rPr>
      </w:pPr>
    </w:p>
    <w:p>
      <w:pPr>
        <w:ind w:left="1480" w:right="380" w:hanging="451"/>
        <w:spacing w:after="0" w:line="292" w:lineRule="auto"/>
        <w:tabs>
          <w:tab w:leader="none" w:pos="1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36" w:lineRule="exact"/>
        <w:rPr>
          <w:sz w:val="20"/>
          <w:szCs w:val="20"/>
          <w:color w:val="auto"/>
        </w:rPr>
      </w:pPr>
    </w:p>
    <w:p>
      <w:pPr>
        <w:ind w:left="1040" w:right="140"/>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provided, however, </w:t>
      </w:r>
      <w:r>
        <w:rPr>
          <w:rFonts w:ascii="Times New Roman" w:cs="Times New Roman" w:eastAsia="Times New Roman" w:hAnsi="Times New Roman"/>
          <w:sz w:val="15"/>
          <w:szCs w:val="15"/>
          <w:color w:val="auto"/>
        </w:rPr>
        <w:t>that paragraphs (a)(1)(i) and (a)(1)(ii) do not apply if the information required to be included in a post-effective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63" w:lineRule="exact"/>
        <w:rPr>
          <w:sz w:val="20"/>
          <w:szCs w:val="20"/>
          <w:color w:val="auto"/>
        </w:rPr>
      </w:pPr>
    </w:p>
    <w:p>
      <w:pPr>
        <w:ind w:left="1020" w:right="160" w:hanging="370"/>
        <w:spacing w:after="0" w:line="274" w:lineRule="auto"/>
        <w:tabs>
          <w:tab w:leader="none" w:pos="10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5" w:lineRule="exact"/>
        <w:rPr>
          <w:rFonts w:ascii="Times New Roman" w:cs="Times New Roman" w:eastAsia="Times New Roman" w:hAnsi="Times New Roman"/>
          <w:sz w:val="15"/>
          <w:szCs w:val="15"/>
          <w:color w:val="auto"/>
        </w:rPr>
      </w:pPr>
    </w:p>
    <w:p>
      <w:pPr>
        <w:ind w:left="1020" w:right="160" w:hanging="370"/>
        <w:spacing w:after="0" w:line="292" w:lineRule="auto"/>
        <w:tabs>
          <w:tab w:leader="none" w:pos="10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51" w:lineRule="exact"/>
        <w:rPr>
          <w:rFonts w:ascii="Times New Roman" w:cs="Times New Roman" w:eastAsia="Times New Roman" w:hAnsi="Times New Roman"/>
          <w:sz w:val="15"/>
          <w:szCs w:val="15"/>
          <w:color w:val="auto"/>
        </w:rPr>
      </w:pPr>
    </w:p>
    <w:p>
      <w:pPr>
        <w:ind w:left="640" w:right="60" w:hanging="462"/>
        <w:spacing w:after="0" w:line="265" w:lineRule="auto"/>
        <w:tabs>
          <w:tab w:leader="none" w:pos="6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5"/>
          <w:szCs w:val="15"/>
          <w:color w:val="auto"/>
        </w:rPr>
      </w:pPr>
    </w:p>
    <w:p>
      <w:pPr>
        <w:ind w:left="640" w:right="20" w:hanging="462"/>
        <w:spacing w:after="0" w:line="261" w:lineRule="auto"/>
        <w:tabs>
          <w:tab w:leader="none" w:pos="6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200"/>
          </w:cols>
          <w:pgMar w:left="1440" w:top="251" w:right="12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7192645" cy="34925"/>
                    </a:xfrm>
                    <a:prstGeom prst="rect">
                      <a:avLst/>
                    </a:prstGeom>
                    <a:noFill/>
                  </pic:spPr>
                </pic:pic>
              </a:graphicData>
            </a:graphic>
          </wp:anchor>
        </w:drawing>
        <w:t>SIGNATURES</w:t>
      </w:r>
    </w:p>
    <w:p>
      <w:pPr>
        <w:spacing w:after="0" w:line="200" w:lineRule="exact"/>
        <w:rPr>
          <w:sz w:val="20"/>
          <w:szCs w:val="20"/>
          <w:color w:val="auto"/>
        </w:rPr>
      </w:pPr>
    </w:p>
    <w:p>
      <w:pPr>
        <w:ind w:right="160" w:firstLine="375"/>
        <w:spacing w:after="0" w:line="274"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Herndon, State of Virginia, on October 29,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NAVIENT HOLDINGS,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16510</wp:posOffset>
            </wp:positionV>
            <wp:extent cx="21844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2184400" cy="7620"/>
                    </a:xfrm>
                    <a:prstGeom prst="rect">
                      <a:avLst/>
                    </a:prstGeom>
                    <a:noFill/>
                  </pic:spPr>
                </pic:pic>
              </a:graphicData>
            </a:graphic>
          </wp:anchor>
        </w:drawing>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Name: Edward Bramson</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Title:   President and Chief Executive Officer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200" w:lineRule="exact"/>
        <w:rPr>
          <w:sz w:val="20"/>
          <w:szCs w:val="20"/>
          <w:color w:val="auto"/>
        </w:rPr>
      </w:pPr>
    </w:p>
    <w:p>
      <w:pPr>
        <w:ind w:right="20" w:firstLine="375"/>
        <w:spacing w:after="0" w:line="261" w:lineRule="auto"/>
        <w:rPr>
          <w:sz w:val="20"/>
          <w:szCs w:val="20"/>
          <w:color w:val="auto"/>
        </w:rPr>
      </w:pPr>
      <w:r>
        <w:rPr>
          <w:rFonts w:ascii="Times New Roman" w:cs="Times New Roman" w:eastAsia="Times New Roman" w:hAnsi="Times New Roman"/>
          <w:sz w:val="15"/>
          <w:szCs w:val="15"/>
          <w:color w:val="auto"/>
        </w:rPr>
        <w:t>In accordance with the requirements of the Securities Act, this Registration Statement has been signed by the following persons in the capacities and on the dates stated. Each person whose signature appears below constitutes and appoints Edward Bramson, Steve Hauber and Matthew Sheldon, and each of them severally, as his or her true and lawful attorney-in-fact and agent, each acting alone with full power of substitution and resubstitution, for him or her and in his or her name, place and stead, in any and all capacities, to sign any or all amendments (including post-effective amendments) to this Registration Statement on Form S-8 and to file the same, with all exhibits thereto, and all documents in connection therewith, with the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56" w:lineRule="exact"/>
        <w:rPr>
          <w:sz w:val="20"/>
          <w:szCs w:val="20"/>
          <w:color w:val="auto"/>
        </w:rPr>
      </w:pPr>
    </w:p>
    <w:p>
      <w:pPr>
        <w:ind w:right="460" w:firstLine="375"/>
        <w:spacing w:after="0" w:line="292" w:lineRule="auto"/>
        <w:rPr>
          <w:sz w:val="20"/>
          <w:szCs w:val="20"/>
          <w:color w:val="auto"/>
        </w:rPr>
      </w:pPr>
      <w:r>
        <w:rPr>
          <w:rFonts w:ascii="Times New Roman" w:cs="Times New Roman" w:eastAsia="Times New Roman" w:hAnsi="Times New Roman"/>
          <w:sz w:val="15"/>
          <w:szCs w:val="15"/>
          <w:color w:val="auto"/>
        </w:rPr>
        <w:t>Pursuant to the requirements of the Securities Act, this Registration Statement on Form S-8 has been signed by the following persons in the capacities indicated on October 29,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28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2"/>
                <w:szCs w:val="12"/>
                <w:b w:val="1"/>
                <w:bCs w:val="1"/>
                <w:color w:val="auto"/>
              </w:rPr>
              <w:t>Signature</w:t>
            </w:r>
          </w:p>
        </w:tc>
        <w:tc>
          <w:tcPr>
            <w:tcW w:w="100" w:type="dxa"/>
            <w:vAlign w:val="bottom"/>
          </w:tcPr>
          <w:p>
            <w:pPr>
              <w:spacing w:after="0"/>
              <w:rPr>
                <w:sz w:val="13"/>
                <w:szCs w:val="13"/>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w:t>
            </w:r>
          </w:p>
        </w:tc>
        <w:tc>
          <w:tcPr>
            <w:tcW w:w="80" w:type="dxa"/>
            <w:vAlign w:val="bottom"/>
          </w:tcPr>
          <w:p>
            <w:pPr>
              <w:spacing w:after="0"/>
              <w:rPr>
                <w:sz w:val="13"/>
                <w:szCs w:val="13"/>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Date</w:t>
            </w:r>
          </w:p>
        </w:tc>
      </w:tr>
      <w:tr>
        <w:trPr>
          <w:trHeight w:val="348"/>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EDWARD BRAMSON</w:t>
            </w:r>
          </w:p>
        </w:tc>
        <w:tc>
          <w:tcPr>
            <w:tcW w:w="100" w:type="dxa"/>
            <w:vAlign w:val="bottom"/>
          </w:tcPr>
          <w:p>
            <w:pPr>
              <w:spacing w:after="0"/>
              <w:rPr>
                <w:sz w:val="24"/>
                <w:szCs w:val="24"/>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President, Chief Executive Officer and Chair of</w:t>
            </w:r>
          </w:p>
        </w:tc>
        <w:tc>
          <w:tcPr>
            <w:tcW w:w="2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29, 2026</w:t>
            </w:r>
          </w:p>
        </w:tc>
      </w:tr>
      <w:tr>
        <w:trPr>
          <w:trHeight w:val="150"/>
        </w:trPr>
        <w:tc>
          <w:tcPr>
            <w:tcW w:w="33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auto"/>
              </w:rPr>
              <w:t>Edward Bramson</w:t>
            </w:r>
          </w:p>
        </w:tc>
        <w:tc>
          <w:tcPr>
            <w:tcW w:w="100" w:type="dxa"/>
            <w:vAlign w:val="bottom"/>
          </w:tcPr>
          <w:p>
            <w:pPr>
              <w:spacing w:after="0"/>
              <w:rPr>
                <w:sz w:val="13"/>
                <w:szCs w:val="13"/>
                <w:color w:val="auto"/>
              </w:rPr>
            </w:pPr>
          </w:p>
        </w:tc>
        <w:tc>
          <w:tcPr>
            <w:tcW w:w="3100" w:type="dxa"/>
            <w:vAlign w:val="bottom"/>
            <w:gridSpan w:val="2"/>
          </w:tcPr>
          <w:p>
            <w:pPr>
              <w:ind w:left="900"/>
              <w:spacing w:after="0" w:line="150" w:lineRule="exact"/>
              <w:rPr>
                <w:sz w:val="20"/>
                <w:szCs w:val="20"/>
                <w:color w:val="auto"/>
              </w:rPr>
            </w:pPr>
            <w:r>
              <w:rPr>
                <w:rFonts w:ascii="Times New Roman" w:cs="Times New Roman" w:eastAsia="Times New Roman" w:hAnsi="Times New Roman"/>
                <w:sz w:val="15"/>
                <w:szCs w:val="15"/>
                <w:color w:val="auto"/>
              </w:rPr>
              <w:t>the Board of Directors</w:t>
            </w:r>
          </w:p>
        </w:tc>
        <w:tc>
          <w:tcPr>
            <w:tcW w:w="2900" w:type="dxa"/>
            <w:vAlign w:val="bottom"/>
          </w:tcPr>
          <w:p>
            <w:pPr>
              <w:spacing w:after="0"/>
              <w:rPr>
                <w:sz w:val="13"/>
                <w:szCs w:val="13"/>
                <w:color w:val="auto"/>
              </w:rPr>
            </w:pPr>
          </w:p>
        </w:tc>
      </w:tr>
      <w:tr>
        <w:trPr>
          <w:trHeight w:val="199"/>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(Principal Executive Officer)</w:t>
            </w:r>
          </w:p>
        </w:tc>
        <w:tc>
          <w:tcPr>
            <w:tcW w:w="2900" w:type="dxa"/>
            <w:vAlign w:val="bottom"/>
          </w:tcPr>
          <w:p>
            <w:pPr>
              <w:spacing w:after="0"/>
              <w:rPr>
                <w:sz w:val="17"/>
                <w:szCs w:val="17"/>
                <w:color w:val="auto"/>
              </w:rPr>
            </w:pPr>
          </w:p>
        </w:tc>
      </w:tr>
      <w:tr>
        <w:trPr>
          <w:trHeight w:val="380"/>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STEVE HAUBER</w:t>
            </w:r>
          </w:p>
        </w:tc>
        <w:tc>
          <w:tcPr>
            <w:tcW w:w="100" w:type="dxa"/>
            <w:vAlign w:val="bottom"/>
          </w:tcPr>
          <w:p>
            <w:pPr>
              <w:spacing w:after="0"/>
              <w:rPr>
                <w:sz w:val="24"/>
                <w:szCs w:val="24"/>
                <w:color w:val="auto"/>
              </w:rPr>
            </w:pPr>
          </w:p>
        </w:tc>
        <w:tc>
          <w:tcPr>
            <w:tcW w:w="31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Chief Financial Officer</w:t>
            </w:r>
          </w:p>
        </w:tc>
        <w:tc>
          <w:tcPr>
            <w:tcW w:w="2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29, 2026</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Steve Hauber</w:t>
            </w:r>
          </w:p>
        </w:tc>
        <w:tc>
          <w:tcPr>
            <w:tcW w:w="100" w:type="dxa"/>
            <w:vAlign w:val="bottom"/>
          </w:tcPr>
          <w:p>
            <w:pPr>
              <w:spacing w:after="0"/>
              <w:rPr>
                <w:sz w:val="16"/>
                <w:szCs w:val="16"/>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(Principal Financial and Accounting Officer)</w:t>
            </w:r>
          </w:p>
        </w:tc>
        <w:tc>
          <w:tcPr>
            <w:tcW w:w="2900" w:type="dxa"/>
            <w:vAlign w:val="bottom"/>
          </w:tcPr>
          <w:p>
            <w:pPr>
              <w:spacing w:after="0"/>
              <w:rPr>
                <w:sz w:val="16"/>
                <w:szCs w:val="16"/>
                <w:color w:val="auto"/>
              </w:rPr>
            </w:pPr>
          </w:p>
        </w:tc>
      </w:tr>
      <w:tr>
        <w:trPr>
          <w:trHeight w:val="365"/>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DAVID YOWAN</w:t>
            </w:r>
          </w:p>
        </w:tc>
        <w:tc>
          <w:tcPr>
            <w:tcW w:w="100" w:type="dxa"/>
            <w:vAlign w:val="bottom"/>
          </w:tcPr>
          <w:p>
            <w:pPr>
              <w:spacing w:after="0"/>
              <w:rPr>
                <w:sz w:val="24"/>
                <w:szCs w:val="24"/>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29, 2026</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Yowan</w:t>
            </w: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365"/>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LARRY A. KLANE</w:t>
            </w:r>
          </w:p>
        </w:tc>
        <w:tc>
          <w:tcPr>
            <w:tcW w:w="100" w:type="dxa"/>
            <w:vAlign w:val="bottom"/>
          </w:tcPr>
          <w:p>
            <w:pPr>
              <w:spacing w:after="0"/>
              <w:rPr>
                <w:sz w:val="24"/>
                <w:szCs w:val="24"/>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29, 2026</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Larry A. Klane</w:t>
            </w: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365"/>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FREDERICK ARNOLD</w:t>
            </w:r>
          </w:p>
        </w:tc>
        <w:tc>
          <w:tcPr>
            <w:tcW w:w="100" w:type="dxa"/>
            <w:vAlign w:val="bottom"/>
          </w:tcPr>
          <w:p>
            <w:pPr>
              <w:spacing w:after="0"/>
              <w:rPr>
                <w:sz w:val="24"/>
                <w:szCs w:val="24"/>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29, 2026</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Frederick Arnold</w:t>
            </w: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365"/>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ANNA ESCOBEDO CABRAL</w:t>
            </w:r>
          </w:p>
        </w:tc>
        <w:tc>
          <w:tcPr>
            <w:tcW w:w="100" w:type="dxa"/>
            <w:vAlign w:val="bottom"/>
          </w:tcPr>
          <w:p>
            <w:pPr>
              <w:spacing w:after="0"/>
              <w:rPr>
                <w:sz w:val="24"/>
                <w:szCs w:val="24"/>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29, 2026</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Anna Escobedo Cabral</w:t>
            </w: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365"/>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MICHAEL A. LAWSON</w:t>
            </w:r>
          </w:p>
        </w:tc>
        <w:tc>
          <w:tcPr>
            <w:tcW w:w="100" w:type="dxa"/>
            <w:vAlign w:val="bottom"/>
          </w:tcPr>
          <w:p>
            <w:pPr>
              <w:spacing w:after="0"/>
              <w:rPr>
                <w:sz w:val="24"/>
                <w:szCs w:val="24"/>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29, 2026</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A. Lawson</w:t>
            </w: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365"/>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DIANE E. OFFEREINS</w:t>
            </w:r>
          </w:p>
        </w:tc>
        <w:tc>
          <w:tcPr>
            <w:tcW w:w="100" w:type="dxa"/>
            <w:vAlign w:val="bottom"/>
          </w:tcPr>
          <w:p>
            <w:pPr>
              <w:spacing w:after="0"/>
              <w:rPr>
                <w:sz w:val="24"/>
                <w:szCs w:val="24"/>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29, 2026</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Diane E. Offereins</w:t>
            </w: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308"/>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120" w:type="dxa"/>
            <w:vAlign w:val="bottom"/>
            <w:gridSpan w:val="2"/>
          </w:tcPr>
          <w:p>
            <w:pPr>
              <w:jc w:val="right"/>
              <w:ind w:right="1605"/>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ectPr>
          <w:pgSz w:w="11900" w:h="16838" w:orient="portrait"/>
          <w:cols w:equalWidth="0" w:num="1">
            <w:col w:w="9400"/>
          </w:cols>
          <w:pgMar w:left="1240" w:top="247" w:right="12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150495</wp:posOffset>
            </wp:positionV>
            <wp:extent cx="1738630"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1738630" cy="17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5"/>
          <w:szCs w:val="15"/>
          <w:color w:val="auto"/>
        </w:rPr>
        <w:t>333 West Wolf Point Plaza</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5"/>
          <w:szCs w:val="15"/>
          <w:color w:val="auto"/>
        </w:rPr>
        <w:t>Chicago, IL 60654</w:t>
      </w:r>
    </w:p>
    <w:p>
      <w:pPr>
        <w:spacing w:after="0" w:line="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5"/>
          <w:szCs w:val="15"/>
          <w:color w:val="auto"/>
        </w:rPr>
        <w:t>United States</w:t>
      </w:r>
    </w:p>
    <w:p>
      <w:pPr>
        <w:spacing w:after="0" w:line="10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5"/>
          <w:szCs w:val="15"/>
          <w:color w:val="auto"/>
        </w:rPr>
        <w:t>Facsimile:</w:t>
      </w:r>
    </w:p>
    <w:p>
      <w:pPr>
        <w:spacing w:after="0" w:line="115" w:lineRule="exact"/>
        <w:rPr>
          <w:sz w:val="20"/>
          <w:szCs w:val="20"/>
          <w:color w:val="auto"/>
        </w:rPr>
      </w:pPr>
    </w:p>
    <w:p>
      <w:pPr>
        <w:ind w:left="4300"/>
        <w:spacing w:after="0"/>
        <w:tabs>
          <w:tab w:leader="none" w:pos="7400" w:val="left"/>
        </w:tabs>
        <w:rPr>
          <w:sz w:val="20"/>
          <w:szCs w:val="20"/>
          <w:color w:val="auto"/>
        </w:rPr>
      </w:pPr>
      <w:r>
        <w:rPr>
          <w:rFonts w:ascii="Times New Roman" w:cs="Times New Roman" w:eastAsia="Times New Roman" w:hAnsi="Times New Roman"/>
          <w:sz w:val="15"/>
          <w:szCs w:val="15"/>
          <w:color w:val="auto"/>
        </w:rPr>
        <w:t>+1 312 862 2000</w:t>
      </w:r>
      <w:r>
        <w:rPr>
          <w:sz w:val="20"/>
          <w:szCs w:val="20"/>
          <w:color w:val="auto"/>
        </w:rPr>
        <w:tab/>
      </w:r>
      <w:r>
        <w:rPr>
          <w:rFonts w:ascii="Times New Roman" w:cs="Times New Roman" w:eastAsia="Times New Roman" w:hAnsi="Times New Roman"/>
          <w:sz w:val="15"/>
          <w:szCs w:val="15"/>
          <w:color w:val="auto"/>
        </w:rPr>
        <w:t>+1 312 862 2200</w:t>
      </w:r>
    </w:p>
    <w:p>
      <w:pPr>
        <w:spacing w:after="0" w:line="1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5"/>
          <w:szCs w:val="15"/>
          <w:color w:val="auto"/>
        </w:rPr>
        <w:t>www.kirkland.com</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October 29,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Navient Holdings,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13865 Sunrise Valley Drive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Herndon, VA 20171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04" w:lineRule="exact"/>
        <w:rPr>
          <w:sz w:val="20"/>
          <w:szCs w:val="20"/>
          <w:color w:val="auto"/>
        </w:rPr>
      </w:pPr>
    </w:p>
    <w:p>
      <w:pPr>
        <w:ind w:right="40" w:firstLine="375"/>
        <w:spacing w:after="0" w:line="262" w:lineRule="auto"/>
        <w:rPr>
          <w:sz w:val="20"/>
          <w:szCs w:val="20"/>
          <w:color w:val="auto"/>
        </w:rPr>
      </w:pPr>
      <w:r>
        <w:rPr>
          <w:rFonts w:ascii="Times New Roman" w:cs="Times New Roman" w:eastAsia="Times New Roman" w:hAnsi="Times New Roman"/>
          <w:sz w:val="15"/>
          <w:szCs w:val="15"/>
          <w:color w:val="auto"/>
        </w:rPr>
        <w:t>We are acting as special counsel to Navient Holdings,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in connection with the filing by the Company of a Registration Statement on Form S-8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under the Securities Act of 1933, as amended (the “</w:t>
      </w:r>
      <w:r>
        <w:rPr>
          <w:rFonts w:ascii="Times New Roman" w:cs="Times New Roman" w:eastAsia="Times New Roman" w:hAnsi="Times New Roman"/>
          <w:sz w:val="15"/>
          <w:szCs w:val="15"/>
          <w:u w:val="single" w:color="auto"/>
          <w:color w:val="auto"/>
        </w:rPr>
        <w:t>Act</w:t>
      </w:r>
      <w:r>
        <w:rPr>
          <w:rFonts w:ascii="Times New Roman" w:cs="Times New Roman" w:eastAsia="Times New Roman" w:hAnsi="Times New Roman"/>
          <w:sz w:val="15"/>
          <w:szCs w:val="15"/>
          <w:color w:val="auto"/>
        </w:rPr>
        <w:t>”), with the Securities and Exchange Commission (the “</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covering the offering of up to 32,261,183 shares of common stock, par value $0.01 per share, of the Company (the “</w:t>
      </w:r>
      <w:r>
        <w:rPr>
          <w:rFonts w:ascii="Times New Roman" w:cs="Times New Roman" w:eastAsia="Times New Roman" w:hAnsi="Times New Roman"/>
          <w:sz w:val="15"/>
          <w:szCs w:val="15"/>
          <w:u w:val="single" w:color="auto"/>
          <w:color w:val="auto"/>
        </w:rPr>
        <w:t>Plan Shares</w:t>
      </w:r>
      <w:r>
        <w:rPr>
          <w:rFonts w:ascii="Times New Roman" w:cs="Times New Roman" w:eastAsia="Times New Roman" w:hAnsi="Times New Roman"/>
          <w:sz w:val="15"/>
          <w:szCs w:val="15"/>
          <w:color w:val="auto"/>
        </w:rPr>
        <w:t>”) pursuant to the Navient Holdings, Inc. 2024 Omnibus Incentive Plan, Navient Holdings, Inc. 2014 Omnibus Incentive Plan, Navient Holdings, Inc. Employee Stock Purchase Plan, Navient Holdings, Inc. Deferred Compensation Plan, Navient Holdings, Inc. Deferred Compensation Plan for Directors, Navient Corporation 401(k) Savings Plan, and Navient Corporation Supplemental 401(k) Savings Plan (collectively, the “</w:t>
      </w:r>
      <w:r>
        <w:rPr>
          <w:rFonts w:ascii="Times New Roman" w:cs="Times New Roman" w:eastAsia="Times New Roman" w:hAnsi="Times New Roman"/>
          <w:sz w:val="15"/>
          <w:szCs w:val="15"/>
          <w:u w:val="single" w:color="auto"/>
          <w:color w:val="auto"/>
        </w:rPr>
        <w:t>Plans</w:t>
      </w:r>
      <w:r>
        <w:rPr>
          <w:rFonts w:ascii="Times New Roman" w:cs="Times New Roman" w:eastAsia="Times New Roman" w:hAnsi="Times New Roman"/>
          <w:sz w:val="15"/>
          <w:szCs w:val="15"/>
          <w:color w:val="auto"/>
        </w:rPr>
        <w:t>”).</w:t>
      </w:r>
    </w:p>
    <w:p>
      <w:pPr>
        <w:spacing w:after="0" w:line="343" w:lineRule="exact"/>
        <w:rPr>
          <w:sz w:val="20"/>
          <w:szCs w:val="20"/>
          <w:color w:val="auto"/>
        </w:rPr>
      </w:pPr>
    </w:p>
    <w:p>
      <w:pPr>
        <w:ind w:right="40" w:firstLine="375"/>
        <w:spacing w:after="0" w:line="274" w:lineRule="auto"/>
        <w:rPr>
          <w:sz w:val="20"/>
          <w:szCs w:val="20"/>
          <w:color w:val="auto"/>
        </w:rPr>
      </w:pPr>
      <w:r>
        <w:rPr>
          <w:rFonts w:ascii="Times New Roman" w:cs="Times New Roman" w:eastAsia="Times New Roman" w:hAnsi="Times New Roman"/>
          <w:sz w:val="15"/>
          <w:szCs w:val="15"/>
          <w:color w:val="auto"/>
        </w:rPr>
        <w:t>For purposes of this letter, we have examined such documents, records, certificates, resolutions and other instruments deemed necessary as a basis for this opinion, and we have assumed the authenticity of all documents submitted to us as originals, the conformity to the originals of all documents submitted to us as copies and the authenticity of the originals of all documents submitted to us as copies.</w:t>
      </w:r>
    </w:p>
    <w:p>
      <w:pPr>
        <w:spacing w:after="0" w:line="146" w:lineRule="exact"/>
        <w:rPr>
          <w:sz w:val="20"/>
          <w:szCs w:val="20"/>
          <w:color w:val="auto"/>
        </w:rPr>
      </w:pPr>
    </w:p>
    <w:p>
      <w:pPr>
        <w:jc w:val="both"/>
        <w:ind w:right="40" w:firstLine="375"/>
        <w:spacing w:after="0" w:line="268" w:lineRule="auto"/>
        <w:rPr>
          <w:sz w:val="20"/>
          <w:szCs w:val="20"/>
          <w:color w:val="auto"/>
        </w:rPr>
      </w:pPr>
      <w:r>
        <w:rPr>
          <w:rFonts w:ascii="Times New Roman" w:cs="Times New Roman" w:eastAsia="Times New Roman" w:hAnsi="Times New Roman"/>
          <w:sz w:val="15"/>
          <w:szCs w:val="15"/>
          <w:color w:val="auto"/>
        </w:rPr>
        <w:t>Based upon and subject to the foregoing qualifications, assumptions and limitations and the further limitations set forth herein, we advise you that the Plan Shares are duly authorized and when the Plan Shares have been duly issued pursuant to and in accordance with the terms and conditions of the Plans and the Certificate of Incorporation of the Company (the “</w:t>
      </w:r>
      <w:r>
        <w:rPr>
          <w:rFonts w:ascii="Times New Roman" w:cs="Times New Roman" w:eastAsia="Times New Roman" w:hAnsi="Times New Roman"/>
          <w:sz w:val="15"/>
          <w:szCs w:val="15"/>
          <w:u w:val="single" w:color="auto"/>
          <w:color w:val="auto"/>
        </w:rPr>
        <w:t>Charter</w:t>
      </w:r>
      <w:r>
        <w:rPr>
          <w:rFonts w:ascii="Times New Roman" w:cs="Times New Roman" w:eastAsia="Times New Roman" w:hAnsi="Times New Roman"/>
          <w:sz w:val="15"/>
          <w:szCs w:val="15"/>
          <w:color w:val="auto"/>
        </w:rPr>
        <w:t>”) and Bylaws of the Company, the Plan Shares will be validly issued, fully paid and non-assessable.</w:t>
      </w:r>
    </w:p>
    <w:p>
      <w:pPr>
        <w:spacing w:after="0" w:line="150" w:lineRule="exact"/>
        <w:rPr>
          <w:sz w:val="20"/>
          <w:szCs w:val="20"/>
          <w:color w:val="auto"/>
        </w:rPr>
      </w:pPr>
    </w:p>
    <w:p>
      <w:pPr>
        <w:ind w:right="160" w:firstLine="375"/>
        <w:spacing w:after="0" w:line="292" w:lineRule="auto"/>
        <w:rPr>
          <w:sz w:val="20"/>
          <w:szCs w:val="20"/>
          <w:color w:val="auto"/>
        </w:rPr>
      </w:pPr>
      <w:r>
        <w:rPr>
          <w:rFonts w:ascii="Times New Roman" w:cs="Times New Roman" w:eastAsia="Times New Roman" w:hAnsi="Times New Roman"/>
          <w:sz w:val="15"/>
          <w:szCs w:val="15"/>
          <w:color w:val="auto"/>
        </w:rPr>
        <w:t>Our opinions expressed above are subject to the qualifications that we express no opinion as to the applicability of, compliance with, or effect of any laws except the General Corporation Law of the State of Delaware.</w:t>
      </w:r>
    </w:p>
    <w:p>
      <w:pPr>
        <w:sectPr>
          <w:pgSz w:w="11900" w:h="16838" w:orient="portrait"/>
          <w:cols w:equalWidth="0" w:num="1">
            <w:col w:w="9400"/>
          </w:cols>
          <w:pgMar w:left="1240" w:top="121"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7192645" cy="34925"/>
                    </a:xfrm>
                    <a:prstGeom prst="rect">
                      <a:avLst/>
                    </a:prstGeom>
                    <a:noFill/>
                  </pic:spPr>
                </pic:pic>
              </a:graphicData>
            </a:graphic>
          </wp:anchor>
        </w:drawing>
        <w:drawing>
          <wp:anchor simplePos="0" relativeHeight="251657728" behindDoc="1" locked="0" layoutInCell="0" allowOverlap="1">
            <wp:simplePos x="0" y="0"/>
            <wp:positionH relativeFrom="page">
              <wp:posOffset>3054985</wp:posOffset>
            </wp:positionH>
            <wp:positionV relativeFrom="page">
              <wp:posOffset>169545</wp:posOffset>
            </wp:positionV>
            <wp:extent cx="1439545" cy="124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439545" cy="124460"/>
                    </a:xfrm>
                    <a:prstGeom prst="rect">
                      <a:avLst/>
                    </a:prstGeom>
                    <a:noFill/>
                  </pic:spPr>
                </pic:pic>
              </a:graphicData>
            </a:graphic>
          </wp:anchor>
        </w:drawing>
        <w:t>Navient Holdings,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29,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2</w:t>
      </w:r>
    </w:p>
    <w:p>
      <w:pPr>
        <w:spacing w:after="0" w:line="124" w:lineRule="exact"/>
        <w:rPr>
          <w:sz w:val="20"/>
          <w:szCs w:val="20"/>
          <w:color w:val="auto"/>
        </w:rPr>
      </w:pPr>
    </w:p>
    <w:p>
      <w:pPr>
        <w:ind w:right="60" w:firstLine="375"/>
        <w:spacing w:after="0" w:line="268" w:lineRule="auto"/>
        <w:rPr>
          <w:sz w:val="20"/>
          <w:szCs w:val="20"/>
          <w:color w:val="auto"/>
        </w:rPr>
      </w:pPr>
      <w:r>
        <w:rPr>
          <w:rFonts w:ascii="Times New Roman" w:cs="Times New Roman" w:eastAsia="Times New Roman" w:hAnsi="Times New Roman"/>
          <w:sz w:val="15"/>
          <w:szCs w:val="15"/>
          <w:color w:val="auto"/>
        </w:rPr>
        <w:t>We have relied without independent investigation upon, among other things, an assurance from the Company that the number of shares which the Company is authorized to issue in its Charter exceeds the number of shares outstanding and the number of shares which the Company is obligated to issue (or had otherwise reserved for issuance) for any purposes other than issuances of the Plan Shares by at least the number of Plan Shares and we have assumed that such condition will remain true at all future times relevant to this opinion.</w:t>
      </w:r>
    </w:p>
    <w:p>
      <w:pPr>
        <w:spacing w:after="0" w:line="150" w:lineRule="exact"/>
        <w:rPr>
          <w:sz w:val="20"/>
          <w:szCs w:val="20"/>
          <w:color w:val="auto"/>
        </w:rPr>
      </w:pPr>
    </w:p>
    <w:p>
      <w:pPr>
        <w:ind w:firstLine="375"/>
        <w:spacing w:after="0" w:line="285" w:lineRule="auto"/>
        <w:rPr>
          <w:sz w:val="20"/>
          <w:szCs w:val="20"/>
          <w:color w:val="auto"/>
        </w:rPr>
      </w:pPr>
      <w:r>
        <w:rPr>
          <w:rFonts w:ascii="Times New Roman" w:cs="Times New Roman" w:eastAsia="Times New Roman" w:hAnsi="Times New Roman"/>
          <w:sz w:val="15"/>
          <w:szCs w:val="15"/>
          <w:color w:val="auto"/>
        </w:rPr>
        <w:t>We hereby consent to the filing of this opinion with the Commission as Exhibit 5.1 to the Registration Statement. In giving this consent, we do not thereby admit that we are in the category of persons whose consent is required under Section 7 of the Act or the rules and regulations of the Commission.</w:t>
      </w:r>
    </w:p>
    <w:p>
      <w:pPr>
        <w:spacing w:after="0" w:line="327" w:lineRule="exact"/>
        <w:rPr>
          <w:sz w:val="20"/>
          <w:szCs w:val="20"/>
          <w:color w:val="auto"/>
        </w:rPr>
      </w:pPr>
    </w:p>
    <w:p>
      <w:pPr>
        <w:ind w:right="60" w:firstLine="375"/>
        <w:spacing w:after="0" w:line="292" w:lineRule="auto"/>
        <w:rPr>
          <w:sz w:val="20"/>
          <w:szCs w:val="20"/>
          <w:color w:val="auto"/>
        </w:rPr>
      </w:pPr>
      <w:r>
        <w:rPr>
          <w:rFonts w:ascii="Times New Roman" w:cs="Times New Roman" w:eastAsia="Times New Roman" w:hAnsi="Times New Roman"/>
          <w:sz w:val="15"/>
          <w:szCs w:val="15"/>
          <w:color w:val="auto"/>
        </w:rPr>
        <w:t>We do not find it necessary for the purposes of this opinion, and accordingly we do not purport to cover herein, the application of the securities or “Blue Sky” laws of the various states to the issuance and sale of the Plan Shares.</w:t>
      </w:r>
    </w:p>
    <w:p>
      <w:pPr>
        <w:spacing w:after="0" w:line="133" w:lineRule="exact"/>
        <w:rPr>
          <w:sz w:val="20"/>
          <w:szCs w:val="20"/>
          <w:color w:val="auto"/>
        </w:rPr>
      </w:pPr>
    </w:p>
    <w:p>
      <w:pPr>
        <w:ind w:right="80" w:firstLine="375"/>
        <w:spacing w:after="0" w:line="274" w:lineRule="auto"/>
        <w:rPr>
          <w:sz w:val="20"/>
          <w:szCs w:val="20"/>
          <w:color w:val="auto"/>
        </w:rPr>
      </w:pPr>
      <w:r>
        <w:rPr>
          <w:rFonts w:ascii="Times New Roman" w:cs="Times New Roman" w:eastAsia="Times New Roman" w:hAnsi="Times New Roman"/>
          <w:sz w:val="15"/>
          <w:szCs w:val="15"/>
          <w:color w:val="auto"/>
        </w:rPr>
        <w:t>This opinion is limited to the specific issues addressed herein, and no opinion may be inferred or implied beyond that expressly stated herein. We assume no obligation to revise or supplement this opinion should the General Corporation Law of the State of Delaware be changed by legislative action, judicial decision or otherwise.</w:t>
      </w:r>
    </w:p>
    <w:p>
      <w:pPr>
        <w:spacing w:after="0" w:line="146" w:lineRule="exact"/>
        <w:rPr>
          <w:sz w:val="20"/>
          <w:szCs w:val="20"/>
          <w:color w:val="auto"/>
        </w:rPr>
      </w:pPr>
    </w:p>
    <w:p>
      <w:pPr>
        <w:ind w:right="120" w:firstLine="375"/>
        <w:spacing w:after="0" w:line="292" w:lineRule="auto"/>
        <w:rPr>
          <w:sz w:val="20"/>
          <w:szCs w:val="20"/>
          <w:color w:val="auto"/>
        </w:rPr>
      </w:pPr>
      <w:r>
        <w:rPr>
          <w:rFonts w:ascii="Times New Roman" w:cs="Times New Roman" w:eastAsia="Times New Roman" w:hAnsi="Times New Roman"/>
          <w:sz w:val="15"/>
          <w:szCs w:val="15"/>
          <w:color w:val="auto"/>
        </w:rPr>
        <w:t>This opinion is furnished to you in connection with the filing of the Registration Statement, and is not to be used, circulated, quoted or otherwise relied upon for any other purposes.</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Sincerely,</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 Kirkland &amp; Ellis LLP</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KIRKLAND &amp; ELLIS LLP</w:t>
      </w:r>
    </w:p>
    <w:p>
      <w:pPr>
        <w:sectPr>
          <w:pgSz w:w="11900" w:h="16838" w:orient="portrait"/>
          <w:cols w:equalWidth="0" w:num="1">
            <w:col w:w="9380"/>
          </w:cols>
          <w:pgMar w:left="1240" w:top="631" w:right="12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5"/>
          <w:szCs w:val="15"/>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150495</wp:posOffset>
            </wp:positionV>
            <wp:extent cx="687070" cy="277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687070" cy="27749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KPMG LLP</w:t>
      </w:r>
    </w:p>
    <w:p>
      <w:pPr>
        <w:spacing w:after="0" w:line="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Suite 900</w:t>
      </w:r>
    </w:p>
    <w:p>
      <w:pPr>
        <w:spacing w:after="0" w:line="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8350 Broad Street</w:t>
      </w:r>
    </w:p>
    <w:p>
      <w:pPr>
        <w:spacing w:after="0" w:line="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McLean, VA 22102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200"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5"/>
          <w:szCs w:val="15"/>
          <w:color w:val="auto"/>
        </w:rPr>
        <w:t>We consent to the use of our reports dated February 26, 2026, with respect to the consolidated financial statements of Navient Corporation, and the effectiveness of internal control over financial reporting, incorporated herein by reference.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 KPMG LLP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McLean, Virginia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color w:val="auto"/>
        </w:rPr>
        <w:t>KPMG LLP, a Delaware limited liability partnership, and its subsidiaries are part of</w:t>
      </w:r>
    </w:p>
    <w:p>
      <w:pPr>
        <w:ind w:left="2740"/>
        <w:spacing w:after="0" w:line="224" w:lineRule="auto"/>
        <w:rPr>
          <w:sz w:val="20"/>
          <w:szCs w:val="20"/>
          <w:color w:val="auto"/>
        </w:rPr>
      </w:pPr>
      <w:r>
        <w:rPr>
          <w:rFonts w:ascii="Times New Roman" w:cs="Times New Roman" w:eastAsia="Times New Roman" w:hAnsi="Times New Roman"/>
          <w:sz w:val="12"/>
          <w:szCs w:val="12"/>
          <w:color w:val="auto"/>
        </w:rPr>
        <w:t>the KPMG global organization of independent member firms affiliated with KPMG</w:t>
      </w:r>
    </w:p>
    <w:p>
      <w:pPr>
        <w:ind w:left="2740"/>
        <w:spacing w:after="0"/>
        <w:rPr>
          <w:sz w:val="20"/>
          <w:szCs w:val="20"/>
          <w:color w:val="auto"/>
        </w:rPr>
      </w:pPr>
      <w:r>
        <w:rPr>
          <w:rFonts w:ascii="Times New Roman" w:cs="Times New Roman" w:eastAsia="Times New Roman" w:hAnsi="Times New Roman"/>
          <w:sz w:val="12"/>
          <w:szCs w:val="12"/>
          <w:color w:val="auto"/>
        </w:rPr>
        <w:t>International Limited, a private English company limited by guarantee.</w:t>
      </w:r>
    </w:p>
    <w:p>
      <w:pPr>
        <w:sectPr>
          <w:pgSz w:w="11900" w:h="16838" w:orient="portrait"/>
          <w:cols w:equalWidth="0" w:num="1">
            <w:col w:w="9400"/>
          </w:cols>
          <w:pgMar w:left="1240" w:top="121" w:right="1259" w:bottom="1440" w:gutter="0" w:footer="0" w:header="0"/>
        </w:sectPr>
      </w:pPr>
    </w:p>
    <w:bookmarkStart w:id="9" w:name="page10"/>
    <w:bookmarkEnd w:id="9"/>
    <w:p>
      <w:pPr>
        <w:spacing w:after="0" w:line="58" w:lineRule="exact"/>
        <w:rPr>
          <w:sz w:val="20"/>
          <w:szCs w:val="20"/>
          <w:color w:val="auto"/>
        </w:rPr>
      </w:pPr>
    </w:p>
    <w:p>
      <w:pPr>
        <w:ind w:left="3300"/>
        <w:spacing w:after="0"/>
        <w:rPr>
          <w:sz w:val="20"/>
          <w:szCs w:val="20"/>
          <w:color w:val="auto"/>
        </w:rPr>
      </w:pPr>
      <w:r>
        <w:rPr>
          <w:rFonts w:ascii="Arial" w:cs="Arial" w:eastAsia="Arial" w:hAnsi="Arial"/>
          <w:sz w:val="31"/>
          <w:szCs w:val="31"/>
          <w:b w:val="1"/>
          <w:bCs w:val="1"/>
          <w:color w:val="auto"/>
        </w:rPr>
        <w:t>Calculation of Filing Fee Tables</w:t>
      </w:r>
    </w:p>
    <w:p>
      <w:pPr>
        <w:spacing w:after="0" w:line="184" w:lineRule="exact"/>
        <w:rPr>
          <w:sz w:val="20"/>
          <w:szCs w:val="20"/>
          <w:color w:val="auto"/>
        </w:rPr>
      </w:pPr>
    </w:p>
    <w:p>
      <w:pPr>
        <w:ind w:left="5340"/>
        <w:spacing w:after="0"/>
        <w:rPr>
          <w:sz w:val="20"/>
          <w:szCs w:val="20"/>
          <w:color w:val="auto"/>
        </w:rPr>
      </w:pPr>
      <w:r>
        <w:rPr>
          <w:rFonts w:ascii="Arial" w:cs="Arial" w:eastAsia="Arial" w:hAnsi="Arial"/>
          <w:sz w:val="31"/>
          <w:szCs w:val="31"/>
          <w:b w:val="1"/>
          <w:bCs w:val="1"/>
          <w:color w:val="auto"/>
        </w:rPr>
        <w:t>S-8</w:t>
      </w:r>
    </w:p>
    <w:p>
      <w:pPr>
        <w:spacing w:after="0" w:line="104" w:lineRule="exact"/>
        <w:rPr>
          <w:sz w:val="20"/>
          <w:szCs w:val="20"/>
          <w:color w:val="auto"/>
        </w:rPr>
      </w:pPr>
    </w:p>
    <w:p>
      <w:pPr>
        <w:jc w:val="center"/>
        <w:ind w:right="200"/>
        <w:spacing w:after="0"/>
        <w:rPr>
          <w:sz w:val="20"/>
          <w:szCs w:val="20"/>
          <w:color w:val="auto"/>
        </w:rPr>
      </w:pPr>
      <w:r>
        <w:rPr>
          <w:rFonts w:ascii="Arial" w:cs="Arial" w:eastAsia="Arial" w:hAnsi="Arial"/>
          <w:sz w:val="31"/>
          <w:szCs w:val="31"/>
          <w:b w:val="1"/>
          <w:bCs w:val="1"/>
          <w:color w:val="auto"/>
        </w:rPr>
        <w:t>Navient Holdings, Inc.</w:t>
      </w:r>
    </w:p>
    <w:p>
      <w:pPr>
        <w:spacing w:after="0" w:line="13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Table 1: Newly Registered Securities</w:t>
      </w:r>
    </w:p>
    <w:p>
      <w:pPr>
        <w:spacing w:after="0" w:line="46" w:lineRule="exact"/>
        <w:rPr>
          <w:sz w:val="20"/>
          <w:szCs w:val="20"/>
          <w:color w:val="auto"/>
        </w:rPr>
      </w:pPr>
    </w:p>
    <w:tbl>
      <w:tblPr>
        <w:tblLayout w:type="fixed"/>
        <w:tblInd w:w="59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shd w:val="clear" w:color="auto" w:fill="9ADAF6"/>
          </w:tcPr>
          <w:p>
            <w:pPr>
              <w:jc w:val="center"/>
              <w:spacing w:after="0" w:line="182" w:lineRule="exact"/>
              <w:rPr>
                <w:sz w:val="20"/>
                <w:szCs w:val="20"/>
                <w:color w:val="auto"/>
              </w:rPr>
            </w:pPr>
            <w:r>
              <w:rPr>
                <w:rFonts w:ascii="Arial" w:cs="Arial" w:eastAsia="Arial" w:hAnsi="Arial"/>
                <w:sz w:val="18"/>
                <w:szCs w:val="18"/>
                <w:b w:val="1"/>
                <w:bCs w:val="1"/>
                <w:color w:val="auto"/>
              </w:rPr>
              <w:t>Proposed</w:t>
            </w:r>
          </w:p>
        </w:tc>
        <w:tc>
          <w:tcPr>
            <w:tcW w:w="20" w:type="dxa"/>
            <w:vAlign w:val="bottom"/>
          </w:tcPr>
          <w:p>
            <w:pPr>
              <w:spacing w:after="0"/>
              <w:rPr>
                <w:sz w:val="15"/>
                <w:szCs w:val="15"/>
                <w:color w:val="auto"/>
              </w:rPr>
            </w:pPr>
          </w:p>
        </w:tc>
        <w:tc>
          <w:tcPr>
            <w:tcW w:w="16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Maximum</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shd w:val="clear" w:color="auto" w:fill="9ADAF6"/>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9"/>
                <w:szCs w:val="9"/>
                <w:color w:val="auto"/>
              </w:rPr>
            </w:pPr>
          </w:p>
        </w:tc>
        <w:tc>
          <w:tcPr>
            <w:tcW w:w="1020" w:type="dxa"/>
            <w:vAlign w:val="bottom"/>
            <w:vMerge w:val="restart"/>
            <w:shd w:val="clear" w:color="auto" w:fill="9ADAF6"/>
          </w:tcPr>
          <w:p>
            <w:pPr>
              <w:ind w:left="140"/>
              <w:spacing w:after="0"/>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9"/>
                <w:szCs w:val="9"/>
                <w:color w:val="auto"/>
              </w:rPr>
            </w:pPr>
          </w:p>
        </w:tc>
        <w:tc>
          <w:tcPr>
            <w:tcW w:w="10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restart"/>
            <w:shd w:val="clear" w:color="auto" w:fill="9ADAF6"/>
          </w:tcPr>
          <w:p>
            <w:pPr>
              <w:jc w:val="right"/>
              <w:ind w:right="68"/>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9"/>
                <w:szCs w:val="9"/>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Maximum</w:t>
            </w:r>
          </w:p>
        </w:tc>
        <w:tc>
          <w:tcPr>
            <w:tcW w:w="20" w:type="dxa"/>
            <w:vAlign w:val="bottom"/>
          </w:tcPr>
          <w:p>
            <w:pPr>
              <w:spacing w:after="0"/>
              <w:rPr>
                <w:sz w:val="9"/>
                <w:szCs w:val="9"/>
                <w:color w:val="auto"/>
              </w:rPr>
            </w:pPr>
          </w:p>
        </w:tc>
        <w:tc>
          <w:tcPr>
            <w:tcW w:w="16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640" w:type="dxa"/>
            <w:vAlign w:val="bottom"/>
            <w:vMerge w:val="restart"/>
            <w:shd w:val="clear" w:color="auto" w:fill="9ADAF6"/>
          </w:tcPr>
          <w:p>
            <w:pPr>
              <w:jc w:val="right"/>
              <w:ind w:right="268"/>
              <w:spacing w:after="0"/>
              <w:rPr>
                <w:sz w:val="20"/>
                <w:szCs w:val="20"/>
                <w:color w:val="auto"/>
              </w:rPr>
            </w:pPr>
            <w:r>
              <w:rPr>
                <w:rFonts w:ascii="Arial" w:cs="Arial" w:eastAsia="Arial" w:hAnsi="Arial"/>
                <w:sz w:val="18"/>
                <w:szCs w:val="18"/>
                <w:b w:val="1"/>
                <w:bCs w:val="1"/>
                <w:color w:val="auto"/>
              </w:rPr>
              <w:t>Amount of</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Calculation</w:t>
            </w: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Aggregate</w:t>
            </w:r>
          </w:p>
        </w:tc>
        <w:tc>
          <w:tcPr>
            <w:tcW w:w="20" w:type="dxa"/>
            <w:vAlign w:val="bottom"/>
          </w:tcPr>
          <w:p>
            <w:pPr>
              <w:spacing w:after="0"/>
              <w:rPr>
                <w:sz w:val="9"/>
                <w:szCs w:val="9"/>
                <w:color w:val="auto"/>
              </w:rPr>
            </w:pPr>
          </w:p>
        </w:tc>
        <w:tc>
          <w:tcPr>
            <w:tcW w:w="780" w:type="dxa"/>
            <w:vAlign w:val="bottom"/>
            <w:vMerge w:val="restart"/>
            <w:shd w:val="clear" w:color="auto" w:fill="9ADAF6"/>
          </w:tcPr>
          <w:p>
            <w:pPr>
              <w:spacing w:after="0"/>
              <w:rPr>
                <w:sz w:val="20"/>
                <w:szCs w:val="20"/>
                <w:color w:val="auto"/>
              </w:rPr>
            </w:pPr>
            <w:r>
              <w:rPr>
                <w:rFonts w:ascii="Arial" w:cs="Arial" w:eastAsia="Arial" w:hAnsi="Arial"/>
                <w:sz w:val="18"/>
                <w:szCs w:val="18"/>
                <w:b w:val="1"/>
                <w:bCs w:val="1"/>
                <w:color w:val="auto"/>
              </w:rPr>
              <w:t>Fee Rate</w:t>
            </w:r>
          </w:p>
        </w:tc>
        <w:tc>
          <w:tcPr>
            <w:tcW w:w="40" w:type="dxa"/>
            <w:vAlign w:val="bottom"/>
          </w:tcPr>
          <w:p>
            <w:pPr>
              <w:spacing w:after="0"/>
              <w:rPr>
                <w:sz w:val="9"/>
                <w:szCs w:val="9"/>
                <w:color w:val="auto"/>
              </w:rPr>
            </w:pPr>
          </w:p>
        </w:tc>
        <w:tc>
          <w:tcPr>
            <w:tcW w:w="164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5" w:lineRule="exact"/>
              <w:rPr>
                <w:sz w:val="20"/>
                <w:szCs w:val="20"/>
                <w:color w:val="auto"/>
              </w:rPr>
            </w:pPr>
            <w:r>
              <w:rPr>
                <w:rFonts w:ascii="Arial" w:cs="Arial" w:eastAsia="Arial" w:hAnsi="Arial"/>
                <w:sz w:val="18"/>
                <w:szCs w:val="18"/>
                <w:b w:val="1"/>
                <w:bCs w:val="1"/>
                <w:color w:val="auto"/>
                <w:w w:val="99"/>
              </w:rPr>
              <w:t>Type</w:t>
            </w:r>
          </w:p>
        </w:tc>
        <w:tc>
          <w:tcPr>
            <w:tcW w:w="20" w:type="dxa"/>
            <w:vAlign w:val="bottom"/>
          </w:tcPr>
          <w:p>
            <w:pPr>
              <w:spacing w:after="0"/>
              <w:rPr>
                <w:sz w:val="16"/>
                <w:szCs w:val="16"/>
                <w:color w:val="auto"/>
              </w:rPr>
            </w:pPr>
          </w:p>
        </w:tc>
        <w:tc>
          <w:tcPr>
            <w:tcW w:w="1020" w:type="dxa"/>
            <w:vAlign w:val="bottom"/>
            <w:shd w:val="clear" w:color="auto" w:fill="9ADAF6"/>
          </w:tcPr>
          <w:p>
            <w:pPr>
              <w:ind w:left="60"/>
              <w:spacing w:after="0" w:line="185" w:lineRule="exact"/>
              <w:rPr>
                <w:sz w:val="20"/>
                <w:szCs w:val="20"/>
                <w:color w:val="auto"/>
              </w:rPr>
            </w:pPr>
            <w:r>
              <w:rPr>
                <w:rFonts w:ascii="Arial" w:cs="Arial" w:eastAsia="Arial" w:hAnsi="Arial"/>
                <w:sz w:val="18"/>
                <w:szCs w:val="18"/>
                <w:b w:val="1"/>
                <w:bCs w:val="1"/>
                <w:color w:val="auto"/>
              </w:rPr>
              <w:t>Class Title</w:t>
            </w:r>
          </w:p>
        </w:tc>
        <w:tc>
          <w:tcPr>
            <w:tcW w:w="20" w:type="dxa"/>
            <w:vAlign w:val="bottom"/>
          </w:tcPr>
          <w:p>
            <w:pPr>
              <w:spacing w:after="0"/>
              <w:rPr>
                <w:sz w:val="16"/>
                <w:szCs w:val="16"/>
                <w:color w:val="auto"/>
              </w:rPr>
            </w:pPr>
          </w:p>
        </w:tc>
        <w:tc>
          <w:tcPr>
            <w:tcW w:w="1060" w:type="dxa"/>
            <w:vAlign w:val="bottom"/>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spacing w:after="0" w:line="185" w:lineRule="exact"/>
              <w:rPr>
                <w:sz w:val="20"/>
                <w:szCs w:val="20"/>
                <w:color w:val="auto"/>
              </w:rPr>
            </w:pPr>
            <w:r>
              <w:rPr>
                <w:rFonts w:ascii="Arial" w:cs="Arial" w:eastAsia="Arial" w:hAnsi="Arial"/>
                <w:sz w:val="18"/>
                <w:szCs w:val="18"/>
                <w:b w:val="1"/>
                <w:bCs w:val="1"/>
                <w:color w:val="auto"/>
              </w:rPr>
              <w:t>Registered</w:t>
            </w:r>
          </w:p>
        </w:tc>
        <w:tc>
          <w:tcPr>
            <w:tcW w:w="20" w:type="dxa"/>
            <w:vAlign w:val="bottom"/>
          </w:tcPr>
          <w:p>
            <w:pPr>
              <w:spacing w:after="0"/>
              <w:rPr>
                <w:sz w:val="16"/>
                <w:szCs w:val="16"/>
                <w:color w:val="auto"/>
              </w:rPr>
            </w:pPr>
          </w:p>
        </w:tc>
        <w:tc>
          <w:tcPr>
            <w:tcW w:w="1520" w:type="dxa"/>
            <w:vAlign w:val="bottom"/>
            <w:shd w:val="clear" w:color="auto" w:fill="9ADAF6"/>
          </w:tcPr>
          <w:p>
            <w:pPr>
              <w:jc w:val="center"/>
              <w:spacing w:after="0" w:line="185" w:lineRule="exact"/>
              <w:rPr>
                <w:sz w:val="20"/>
                <w:szCs w:val="20"/>
                <w:color w:val="auto"/>
              </w:rPr>
            </w:pPr>
            <w:r>
              <w:rPr>
                <w:rFonts w:ascii="Arial" w:cs="Arial" w:eastAsia="Arial" w:hAnsi="Arial"/>
                <w:sz w:val="18"/>
                <w:szCs w:val="18"/>
                <w:b w:val="1"/>
                <w:bCs w:val="1"/>
                <w:color w:val="auto"/>
              </w:rPr>
              <w:t>Offering Price</w:t>
            </w:r>
          </w:p>
        </w:tc>
        <w:tc>
          <w:tcPr>
            <w:tcW w:w="20" w:type="dxa"/>
            <w:vAlign w:val="bottom"/>
          </w:tcPr>
          <w:p>
            <w:pPr>
              <w:spacing w:after="0"/>
              <w:rPr>
                <w:sz w:val="16"/>
                <w:szCs w:val="16"/>
                <w:color w:val="auto"/>
              </w:rPr>
            </w:pPr>
          </w:p>
        </w:tc>
        <w:tc>
          <w:tcPr>
            <w:tcW w:w="1640" w:type="dxa"/>
            <w:vAlign w:val="bottom"/>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continue"/>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shd w:val="clear" w:color="auto" w:fill="9ADAF6"/>
          </w:tcPr>
          <w:p>
            <w:pPr>
              <w:jc w:val="right"/>
              <w:ind w:right="8"/>
              <w:spacing w:after="0" w:line="185" w:lineRule="exact"/>
              <w:rPr>
                <w:sz w:val="20"/>
                <w:szCs w:val="20"/>
                <w:color w:val="auto"/>
              </w:rPr>
            </w:pPr>
            <w:r>
              <w:rPr>
                <w:rFonts w:ascii="Arial" w:cs="Arial" w:eastAsia="Arial" w:hAnsi="Arial"/>
                <w:sz w:val="18"/>
                <w:szCs w:val="18"/>
                <w:b w:val="1"/>
                <w:bCs w:val="1"/>
                <w:color w:val="auto"/>
              </w:rPr>
              <w:t>Registration 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180" w:type="dxa"/>
            <w:vAlign w:val="bottom"/>
            <w:tcBorders>
              <w:bottom w:val="single" w:sz="8" w:color="9ADAF6"/>
            </w:tcBorders>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9ADAF6"/>
            </w:tcBorders>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9ADAF6"/>
            </w:tcBorders>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Borders>
              <w:bottom w:val="single" w:sz="8" w:color="9ADAF6"/>
            </w:tcBorders>
            <w:shd w:val="clear" w:color="auto" w:fill="9ADAF6"/>
          </w:tcPr>
          <w:p>
            <w:pPr>
              <w:jc w:val="center"/>
              <w:spacing w:after="0"/>
              <w:rPr>
                <w:sz w:val="20"/>
                <w:szCs w:val="20"/>
                <w:color w:val="auto"/>
              </w:rPr>
            </w:pPr>
            <w:r>
              <w:rPr>
                <w:rFonts w:ascii="Arial" w:cs="Arial" w:eastAsia="Arial" w:hAnsi="Arial"/>
                <w:sz w:val="18"/>
                <w:szCs w:val="18"/>
                <w:b w:val="1"/>
                <w:bCs w:val="1"/>
                <w:color w:val="auto"/>
              </w:rPr>
              <w:t>Rule</w:t>
            </w:r>
          </w:p>
        </w:tc>
        <w:tc>
          <w:tcPr>
            <w:tcW w:w="20" w:type="dxa"/>
            <w:vAlign w:val="bottom"/>
          </w:tcPr>
          <w:p>
            <w:pPr>
              <w:spacing w:after="0"/>
              <w:rPr>
                <w:sz w:val="21"/>
                <w:szCs w:val="21"/>
                <w:color w:val="auto"/>
              </w:rPr>
            </w:pPr>
          </w:p>
        </w:tc>
        <w:tc>
          <w:tcPr>
            <w:tcW w:w="1020" w:type="dxa"/>
            <w:vAlign w:val="bottom"/>
            <w:tcBorders>
              <w:bottom w:val="single" w:sz="8" w:color="9ADAF6"/>
            </w:tcBorders>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Borders>
              <w:bottom w:val="single" w:sz="8" w:color="9ADAF6"/>
            </w:tcBorders>
            <w:shd w:val="clear" w:color="auto" w:fill="9ADAF6"/>
          </w:tcPr>
          <w:p>
            <w:pPr>
              <w:jc w:val="center"/>
              <w:spacing w:after="0"/>
              <w:rPr>
                <w:sz w:val="20"/>
                <w:szCs w:val="20"/>
                <w:color w:val="auto"/>
              </w:rPr>
            </w:pPr>
            <w:r>
              <w:rPr>
                <w:rFonts w:ascii="Arial" w:cs="Arial" w:eastAsia="Arial" w:hAnsi="Arial"/>
                <w:sz w:val="18"/>
                <w:szCs w:val="18"/>
                <w:b w:val="1"/>
                <w:bCs w:val="1"/>
                <w:color w:val="auto"/>
              </w:rPr>
              <w:t>Per Unit</w:t>
            </w:r>
          </w:p>
        </w:tc>
        <w:tc>
          <w:tcPr>
            <w:tcW w:w="20" w:type="dxa"/>
            <w:vAlign w:val="bottom"/>
          </w:tcPr>
          <w:p>
            <w:pPr>
              <w:spacing w:after="0"/>
              <w:rPr>
                <w:sz w:val="21"/>
                <w:szCs w:val="21"/>
                <w:color w:val="auto"/>
              </w:rPr>
            </w:pPr>
          </w:p>
        </w:tc>
        <w:tc>
          <w:tcPr>
            <w:tcW w:w="1640" w:type="dxa"/>
            <w:vAlign w:val="bottom"/>
            <w:tcBorders>
              <w:bottom w:val="single" w:sz="8" w:color="9ADAF6"/>
            </w:tcBorders>
            <w:shd w:val="clear" w:color="auto" w:fill="9ADAF6"/>
          </w:tcPr>
          <w:p>
            <w:pPr>
              <w:ind w:left="200"/>
              <w:spacing w:after="0"/>
              <w:rPr>
                <w:sz w:val="20"/>
                <w:szCs w:val="20"/>
                <w:color w:val="auto"/>
              </w:rPr>
            </w:pPr>
            <w:r>
              <w:rPr>
                <w:rFonts w:ascii="Arial" w:cs="Arial" w:eastAsia="Arial" w:hAnsi="Arial"/>
                <w:sz w:val="18"/>
                <w:szCs w:val="18"/>
                <w:b w:val="1"/>
                <w:bCs w:val="1"/>
                <w:color w:val="auto"/>
              </w:rPr>
              <w:t>Offering Price</w:t>
            </w:r>
          </w:p>
        </w:tc>
        <w:tc>
          <w:tcPr>
            <w:tcW w:w="20" w:type="dxa"/>
            <w:vAlign w:val="bottom"/>
          </w:tcPr>
          <w:p>
            <w:pPr>
              <w:spacing w:after="0"/>
              <w:rPr>
                <w:sz w:val="21"/>
                <w:szCs w:val="21"/>
                <w:color w:val="auto"/>
              </w:rPr>
            </w:pPr>
          </w:p>
        </w:tc>
        <w:tc>
          <w:tcPr>
            <w:tcW w:w="780" w:type="dxa"/>
            <w:vAlign w:val="bottom"/>
            <w:tcBorders>
              <w:bottom w:val="single" w:sz="8" w:color="9ADAF6"/>
            </w:tcBorders>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640" w:type="dxa"/>
            <w:vAlign w:val="bottom"/>
            <w:tcBorders>
              <w:bottom w:val="single" w:sz="8" w:color="9ADAF6"/>
            </w:tcBorders>
            <w:shd w:val="clear" w:color="auto" w:fill="9ADAF6"/>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ind w:left="20"/>
              <w:spacing w:after="0" w:line="195" w:lineRule="exact"/>
              <w:rPr>
                <w:sz w:val="20"/>
                <w:szCs w:val="20"/>
                <w:color w:val="auto"/>
              </w:rPr>
            </w:pPr>
            <w:r>
              <w:rPr>
                <w:rFonts w:ascii="Arial" w:cs="Arial" w:eastAsia="Arial" w:hAnsi="Arial"/>
                <w:sz w:val="18"/>
                <w:szCs w:val="18"/>
                <w:color w:val="auto"/>
              </w:rPr>
              <w:t>Common</w:t>
            </w: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ind w:left="20"/>
              <w:spacing w:after="0"/>
              <w:rPr>
                <w:sz w:val="20"/>
                <w:szCs w:val="20"/>
                <w:color w:val="auto"/>
              </w:rPr>
            </w:pPr>
            <w:r>
              <w:rPr>
                <w:rFonts w:ascii="Arial" w:cs="Arial" w:eastAsia="Arial" w:hAnsi="Arial"/>
                <w:sz w:val="18"/>
                <w:szCs w:val="18"/>
                <w:color w:val="auto"/>
              </w:rPr>
              <w:t>Stock,</w:t>
            </w: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180" w:type="dxa"/>
            <w:vAlign w:val="bottom"/>
            <w:shd w:val="clear" w:color="auto" w:fill="E7E7E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20" w:type="dxa"/>
            <w:vAlign w:val="bottom"/>
            <w:shd w:val="clear" w:color="auto" w:fill="E7E7E2"/>
          </w:tcPr>
          <w:p>
            <w:pPr>
              <w:ind w:left="20"/>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8"/>
                <w:szCs w:val="18"/>
                <w:color w:val="auto"/>
              </w:rPr>
            </w:pPr>
          </w:p>
        </w:tc>
        <w:tc>
          <w:tcPr>
            <w:tcW w:w="1020" w:type="dxa"/>
            <w:vAlign w:val="bottom"/>
            <w:shd w:val="clear" w:color="auto" w:fill="E7E7E2"/>
          </w:tcPr>
          <w:p>
            <w:pPr>
              <w:ind w:left="20"/>
              <w:spacing w:after="0"/>
              <w:rPr>
                <w:sz w:val="20"/>
                <w:szCs w:val="20"/>
                <w:color w:val="auto"/>
              </w:rPr>
            </w:pPr>
            <w:r>
              <w:rPr>
                <w:rFonts w:ascii="Arial" w:cs="Arial" w:eastAsia="Arial" w:hAnsi="Arial"/>
                <w:sz w:val="18"/>
                <w:szCs w:val="18"/>
                <w:color w:val="auto"/>
              </w:rPr>
              <w:t>$0.01 par</w:t>
            </w:r>
          </w:p>
        </w:tc>
        <w:tc>
          <w:tcPr>
            <w:tcW w:w="20" w:type="dxa"/>
            <w:vAlign w:val="bottom"/>
          </w:tcPr>
          <w:p>
            <w:pPr>
              <w:spacing w:after="0"/>
              <w:rPr>
                <w:sz w:val="18"/>
                <w:szCs w:val="18"/>
                <w:color w:val="auto"/>
              </w:rPr>
            </w:pPr>
          </w:p>
        </w:tc>
        <w:tc>
          <w:tcPr>
            <w:tcW w:w="1060" w:type="dxa"/>
            <w:vAlign w:val="bottom"/>
            <w:shd w:val="clear" w:color="auto" w:fill="E7E7E2"/>
          </w:tcPr>
          <w:p>
            <w:pPr>
              <w:jc w:val="cente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20" w:type="dxa"/>
            <w:vAlign w:val="bottom"/>
            <w:shd w:val="clear" w:color="auto" w:fill="E7E7E2"/>
          </w:tcPr>
          <w:p>
            <w:pPr>
              <w:jc w:val="right"/>
              <w:spacing w:after="0"/>
              <w:rPr>
                <w:sz w:val="20"/>
                <w:szCs w:val="20"/>
                <w:color w:val="auto"/>
              </w:rPr>
            </w:pPr>
            <w:r>
              <w:rPr>
                <w:rFonts w:ascii="Arial" w:cs="Arial" w:eastAsia="Arial" w:hAnsi="Arial"/>
                <w:sz w:val="18"/>
                <w:szCs w:val="18"/>
                <w:color w:val="auto"/>
              </w:rPr>
              <w:t>32,261,183</w:t>
            </w: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rPr>
                <w:sz w:val="20"/>
                <w:szCs w:val="20"/>
                <w:color w:val="auto"/>
              </w:rPr>
            </w:pPr>
            <w:r>
              <w:rPr>
                <w:rFonts w:ascii="Arial" w:cs="Arial" w:eastAsia="Arial" w:hAnsi="Arial"/>
                <w:sz w:val="18"/>
                <w:szCs w:val="18"/>
                <w:color w:val="auto"/>
              </w:rPr>
              <w:t>$ 8.46</w:t>
            </w:r>
          </w:p>
        </w:tc>
        <w:tc>
          <w:tcPr>
            <w:tcW w:w="20" w:type="dxa"/>
            <w:vAlign w:val="bottom"/>
          </w:tcPr>
          <w:p>
            <w:pPr>
              <w:spacing w:after="0"/>
              <w:rPr>
                <w:sz w:val="18"/>
                <w:szCs w:val="18"/>
                <w:color w:val="auto"/>
              </w:rPr>
            </w:pPr>
          </w:p>
        </w:tc>
        <w:tc>
          <w:tcPr>
            <w:tcW w:w="1640" w:type="dxa"/>
            <w:vAlign w:val="bottom"/>
            <w:shd w:val="clear" w:color="auto" w:fill="E7E7E2"/>
          </w:tcPr>
          <w:p>
            <w:pPr>
              <w:ind w:left="180"/>
              <w:spacing w:after="0"/>
              <w:rPr>
                <w:sz w:val="20"/>
                <w:szCs w:val="20"/>
                <w:color w:val="auto"/>
              </w:rPr>
            </w:pPr>
            <w:r>
              <w:rPr>
                <w:rFonts w:ascii="Arial" w:cs="Arial" w:eastAsia="Arial" w:hAnsi="Arial"/>
                <w:sz w:val="18"/>
                <w:szCs w:val="18"/>
                <w:color w:val="auto"/>
              </w:rPr>
              <w:t>$ 272,929,608.18</w:t>
            </w:r>
          </w:p>
        </w:tc>
        <w:tc>
          <w:tcPr>
            <w:tcW w:w="20" w:type="dxa"/>
            <w:vAlign w:val="bottom"/>
          </w:tcPr>
          <w:p>
            <w:pPr>
              <w:spacing w:after="0"/>
              <w:rPr>
                <w:sz w:val="18"/>
                <w:szCs w:val="18"/>
                <w:color w:val="auto"/>
              </w:rPr>
            </w:pPr>
          </w:p>
        </w:tc>
        <w:tc>
          <w:tcPr>
            <w:tcW w:w="780" w:type="dxa"/>
            <w:vAlign w:val="bottom"/>
            <w:shd w:val="clear" w:color="auto" w:fill="E7E7E2"/>
          </w:tcPr>
          <w:p>
            <w:pPr>
              <w:ind w:left="20"/>
              <w:spacing w:after="0"/>
              <w:rPr>
                <w:sz w:val="20"/>
                <w:szCs w:val="20"/>
                <w:color w:val="auto"/>
              </w:rPr>
            </w:pPr>
            <w:r>
              <w:rPr>
                <w:rFonts w:ascii="Arial" w:cs="Arial" w:eastAsia="Arial" w:hAnsi="Arial"/>
                <w:sz w:val="18"/>
                <w:szCs w:val="18"/>
                <w:color w:val="auto"/>
                <w:w w:val="98"/>
              </w:rPr>
              <w:t>0.000087</w:t>
            </w:r>
          </w:p>
        </w:tc>
        <w:tc>
          <w:tcPr>
            <w:tcW w:w="40" w:type="dxa"/>
            <w:vAlign w:val="bottom"/>
          </w:tcPr>
          <w:p>
            <w:pPr>
              <w:spacing w:after="0"/>
              <w:rPr>
                <w:sz w:val="18"/>
                <w:szCs w:val="18"/>
                <w:color w:val="auto"/>
              </w:rPr>
            </w:pPr>
          </w:p>
        </w:tc>
        <w:tc>
          <w:tcPr>
            <w:tcW w:w="1640" w:type="dxa"/>
            <w:vAlign w:val="bottom"/>
            <w:shd w:val="clear" w:color="auto" w:fill="E7E7E2"/>
          </w:tcPr>
          <w:p>
            <w:pPr>
              <w:jc w:val="right"/>
              <w:spacing w:after="0"/>
              <w:rPr>
                <w:sz w:val="20"/>
                <w:szCs w:val="20"/>
                <w:color w:val="auto"/>
              </w:rPr>
            </w:pPr>
            <w:r>
              <w:rPr>
                <w:rFonts w:ascii="Arial" w:cs="Arial" w:eastAsia="Arial" w:hAnsi="Arial"/>
                <w:sz w:val="18"/>
                <w:szCs w:val="18"/>
                <w:color w:val="auto"/>
              </w:rPr>
              <w:t>$ 23,744.88</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ind w:left="20"/>
              <w:spacing w:after="0"/>
              <w:rPr>
                <w:sz w:val="20"/>
                <w:szCs w:val="20"/>
                <w:color w:val="auto"/>
              </w:rPr>
            </w:pPr>
            <w:r>
              <w:rPr>
                <w:rFonts w:ascii="Arial" w:cs="Arial" w:eastAsia="Arial" w:hAnsi="Arial"/>
                <w:sz w:val="18"/>
                <w:szCs w:val="18"/>
                <w:color w:val="auto"/>
              </w:rPr>
              <w:t>value per</w:t>
            </w: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1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E7E7E2"/>
          </w:tcPr>
          <w:p>
            <w:pPr>
              <w:ind w:left="20"/>
              <w:spacing w:after="0"/>
              <w:rPr>
                <w:sz w:val="20"/>
                <w:szCs w:val="20"/>
                <w:color w:val="auto"/>
              </w:rPr>
            </w:pPr>
            <w:r>
              <w:rPr>
                <w:rFonts w:ascii="Arial" w:cs="Arial" w:eastAsia="Arial" w:hAnsi="Arial"/>
                <w:sz w:val="18"/>
                <w:szCs w:val="18"/>
                <w:color w:val="auto"/>
              </w:rPr>
              <w:t>share</w:t>
            </w: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64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Total Offering Amounts:</w:t>
            </w:r>
          </w:p>
        </w:tc>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$ 272,929,608.18</w:t>
            </w: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$ 23,744.88</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Total Fee Offsets:</w:t>
            </w:r>
          </w:p>
        </w:tc>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$ 16,529.81</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 w:type="dxa"/>
            <w:vAlign w:val="bottom"/>
            <w:tcBorders>
              <w:left w:val="single" w:sz="8" w:color="auto"/>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Net Fee Due:</w:t>
            </w:r>
          </w:p>
        </w:tc>
        <w:tc>
          <w:tcPr>
            <w:tcW w:w="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$ 7,215.07</w:t>
            </w: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Offering Note</w:t>
      </w:r>
    </w:p>
    <w:p>
      <w:pPr>
        <w:spacing w:after="0" w:line="127" w:lineRule="exact"/>
        <w:rPr>
          <w:sz w:val="20"/>
          <w:szCs w:val="20"/>
          <w:color w:val="auto"/>
        </w:rPr>
      </w:pPr>
    </w:p>
    <w:p>
      <w:pPr>
        <w:ind w:left="800" w:right="680" w:hanging="190"/>
        <w:spacing w:after="0" w:line="238" w:lineRule="auto"/>
        <w:tabs>
          <w:tab w:leader="none" w:pos="8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(1)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(2) 7,338,831 shares issuable pursuant to the Navient Holdings, Inc. 2024 Omnibus Incentive Plan, 1,000,000 shares issuable pursuant to the Navient Holdings, Inc. 2014 Omnibus Incentive Plan, 1,422,352 shares issuable pursuant to the Navient Holdings, Inc. Employee Stock Purchase Plan, 1,000,000 shares issuable and the Registrant's unsecured obligation to pay deferred compensation in the future pursuant to the Navient Holdings, Inc. Deferred Compensation Plan, 500,000 shares issuable and the Registrant's unsecured obligation to pay deferred compensation in the future pursuant to the Navient Holdings, Inc. Deferred Compensation Plan for Directors Plan, 20,000,000 shares issuable pursuant to the Navient Corporation 401(k) Savings Plan and 1,000,000 shares issuable and the Registrant's unsecured obligation to pay deferred compensation in the future pursuant to the Navient Corporation Supplemental 401(k) Savings Plan. (3) Estimated solely for the purpose of calculating the registration fee pursuant to Rules 457(c) and 457(h) of the Securities Act and based upon the average of the high and low prices of the Registrant's Common Stock as reported on the Nasdaq Global Select Market on October 27, 2026. (4) As set forth in Table 2 below, Navient Corporation, a Delaware corporation ("Navient"), previously paid registration fees of $16,529.81 associated with certain unsold securities from Navient's registration statement on Form S-8 (File No. 333-279739) filed on May 28, 2024 (the "Prior Registration Statement"). Navient has terminated the offering of such unsold and unissued securities under the Prior Registration Statement. Pursuant to Rule 457(p) under the Securities Act, the Registrant hereby offset the registration fee due under this Registration Statement by $16,529.81.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74930</wp:posOffset>
            </wp:positionV>
            <wp:extent cx="641794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6417945" cy="400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ind w:left="64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Unsold</w:t>
            </w: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Unsold</w:t>
            </w: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Aggregate</w:t>
            </w: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40" w:type="dxa"/>
            <w:vAlign w:val="bottom"/>
            <w:tcBorders>
              <w:left w:val="single" w:sz="8" w:color="auto"/>
            </w:tcBorders>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Registrant</w:t>
            </w:r>
          </w:p>
        </w:tc>
        <w:tc>
          <w:tcPr>
            <w:tcW w:w="20" w:type="dxa"/>
            <w:vAlign w:val="bottom"/>
          </w:tcPr>
          <w:p>
            <w:pPr>
              <w:spacing w:after="0"/>
              <w:rPr>
                <w:sz w:val="24"/>
                <w:szCs w:val="24"/>
                <w:color w:val="auto"/>
              </w:rPr>
            </w:pPr>
          </w:p>
        </w:tc>
        <w:tc>
          <w:tcPr>
            <w:tcW w:w="5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Form</w:t>
            </w: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Initial</w:t>
            </w: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Fee</w:t>
            </w:r>
          </w:p>
        </w:tc>
        <w:tc>
          <w:tcPr>
            <w:tcW w:w="40" w:type="dxa"/>
            <w:vAlign w:val="bottom"/>
          </w:tcPr>
          <w:p>
            <w:pPr>
              <w:spacing w:after="0"/>
              <w:rPr>
                <w:sz w:val="24"/>
                <w:szCs w:val="24"/>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5"/>
              </w:rPr>
              <w:t>Type</w:t>
            </w:r>
          </w:p>
        </w:tc>
        <w:tc>
          <w:tcPr>
            <w:tcW w:w="20" w:type="dxa"/>
            <w:vAlign w:val="bottom"/>
          </w:tcPr>
          <w:p>
            <w:pPr>
              <w:spacing w:after="0"/>
              <w:rPr>
                <w:sz w:val="24"/>
                <w:szCs w:val="24"/>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24"/>
                <w:szCs w:val="24"/>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Securities</w:t>
            </w:r>
          </w:p>
        </w:tc>
        <w:tc>
          <w:tcPr>
            <w:tcW w:w="20" w:type="dxa"/>
            <w:vAlign w:val="bottom"/>
          </w:tcPr>
          <w:p>
            <w:pPr>
              <w:spacing w:after="0"/>
              <w:rPr>
                <w:sz w:val="24"/>
                <w:szCs w:val="24"/>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Offering</w:t>
            </w:r>
          </w:p>
        </w:tc>
        <w:tc>
          <w:tcPr>
            <w:tcW w:w="20" w:type="dxa"/>
            <w:vAlign w:val="bottom"/>
          </w:tcPr>
          <w:p>
            <w:pPr>
              <w:spacing w:after="0"/>
              <w:rPr>
                <w:sz w:val="24"/>
                <w:szCs w:val="24"/>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Fee Paid</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or Filer</w:t>
            </w:r>
          </w:p>
        </w:tc>
        <w:tc>
          <w:tcPr>
            <w:tcW w:w="20" w:type="dxa"/>
            <w:vAlign w:val="bottom"/>
          </w:tcPr>
          <w:p>
            <w:pPr>
              <w:spacing w:after="0"/>
              <w:rPr>
                <w:sz w:val="18"/>
                <w:szCs w:val="18"/>
                <w:color w:val="auto"/>
              </w:rPr>
            </w:pPr>
          </w:p>
        </w:tc>
        <w:tc>
          <w:tcPr>
            <w:tcW w:w="5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or</w:t>
            </w:r>
          </w:p>
        </w:tc>
        <w:tc>
          <w:tcPr>
            <w:tcW w:w="20" w:type="dxa"/>
            <w:vAlign w:val="bottom"/>
          </w:tcPr>
          <w:p>
            <w:pPr>
              <w:spacing w:after="0"/>
              <w:rPr>
                <w:sz w:val="18"/>
                <w:szCs w:val="18"/>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File</w:t>
            </w: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Filing</w:t>
            </w: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Filing</w:t>
            </w:r>
          </w:p>
        </w:tc>
        <w:tc>
          <w:tcPr>
            <w:tcW w:w="20" w:type="dxa"/>
            <w:vAlign w:val="bottom"/>
          </w:tcPr>
          <w:p>
            <w:pPr>
              <w:spacing w:after="0"/>
              <w:rPr>
                <w:sz w:val="18"/>
                <w:szCs w:val="18"/>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Offset</w:t>
            </w:r>
          </w:p>
        </w:tc>
        <w:tc>
          <w:tcPr>
            <w:tcW w:w="40" w:type="dxa"/>
            <w:vAlign w:val="bottom"/>
          </w:tcPr>
          <w:p>
            <w:pPr>
              <w:spacing w:after="0"/>
              <w:rPr>
                <w:sz w:val="18"/>
                <w:szCs w:val="18"/>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Associated</w:t>
            </w:r>
          </w:p>
        </w:tc>
        <w:tc>
          <w:tcPr>
            <w:tcW w:w="20" w:type="dxa"/>
            <w:vAlign w:val="bottom"/>
          </w:tcPr>
          <w:p>
            <w:pPr>
              <w:spacing w:after="0"/>
              <w:rPr>
                <w:sz w:val="18"/>
                <w:szCs w:val="18"/>
                <w:color w:val="auto"/>
              </w:rPr>
            </w:pPr>
          </w:p>
        </w:tc>
        <w:tc>
          <w:tcPr>
            <w:tcW w:w="1020" w:type="dxa"/>
            <w:vAlign w:val="bottom"/>
            <w:shd w:val="clear" w:color="auto" w:fill="9ADAF6"/>
          </w:tcPr>
          <w:p>
            <w:pPr>
              <w:ind w:left="20"/>
              <w:spacing w:after="0"/>
              <w:rPr>
                <w:sz w:val="20"/>
                <w:szCs w:val="20"/>
                <w:color w:val="auto"/>
              </w:rPr>
            </w:pPr>
            <w:r>
              <w:rPr>
                <w:rFonts w:ascii="Arial" w:cs="Arial" w:eastAsia="Arial" w:hAnsi="Arial"/>
                <w:sz w:val="18"/>
                <w:szCs w:val="18"/>
                <w:b w:val="1"/>
                <w:bCs w:val="1"/>
                <w:color w:val="auto"/>
              </w:rPr>
              <w:t>Associated</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Associated</w:t>
            </w: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8"/>
                <w:szCs w:val="18"/>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with Fee</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0" w:type="dxa"/>
            <w:vAlign w:val="bottom"/>
            <w:tcBorders>
              <w:left w:val="single" w:sz="8" w:color="auto"/>
            </w:tcBorders>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Name</w:t>
            </w:r>
          </w:p>
        </w:tc>
        <w:tc>
          <w:tcPr>
            <w:tcW w:w="20" w:type="dxa"/>
            <w:vAlign w:val="bottom"/>
          </w:tcPr>
          <w:p>
            <w:pPr>
              <w:spacing w:after="0"/>
              <w:rPr>
                <w:sz w:val="10"/>
                <w:szCs w:val="10"/>
                <w:color w:val="auto"/>
              </w:rPr>
            </w:pPr>
          </w:p>
        </w:tc>
        <w:tc>
          <w:tcPr>
            <w:tcW w:w="520" w:type="dxa"/>
            <w:vAlign w:val="bottom"/>
            <w:shd w:val="clear" w:color="auto" w:fill="9ADAF6"/>
          </w:tcPr>
          <w:p>
            <w:pPr>
              <w:jc w:val="center"/>
              <w:spacing w:after="0" w:line="126" w:lineRule="exact"/>
              <w:rPr>
                <w:sz w:val="20"/>
                <w:szCs w:val="20"/>
                <w:color w:val="auto"/>
              </w:rPr>
            </w:pPr>
            <w:r>
              <w:rPr>
                <w:rFonts w:ascii="Arial" w:cs="Arial" w:eastAsia="Arial" w:hAnsi="Arial"/>
                <w:sz w:val="14"/>
                <w:szCs w:val="14"/>
                <w:b w:val="1"/>
                <w:bCs w:val="1"/>
                <w:color w:val="auto"/>
              </w:rPr>
              <w:t>Filing</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26"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0"/>
                <w:szCs w:val="1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26" w:lineRule="exact"/>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Claimed</w:t>
            </w:r>
          </w:p>
        </w:tc>
        <w:tc>
          <w:tcPr>
            <w:tcW w:w="40" w:type="dxa"/>
            <w:vAlign w:val="bottom"/>
          </w:tcPr>
          <w:p>
            <w:pPr>
              <w:spacing w:after="0"/>
              <w:rPr>
                <w:sz w:val="10"/>
                <w:szCs w:val="10"/>
                <w:color w:val="auto"/>
              </w:rPr>
            </w:pPr>
          </w:p>
        </w:tc>
        <w:tc>
          <w:tcPr>
            <w:tcW w:w="1000" w:type="dxa"/>
            <w:vAlign w:val="bottom"/>
            <w:shd w:val="clear" w:color="auto" w:fill="9ADAF6"/>
          </w:tcPr>
          <w:p>
            <w:pPr>
              <w:jc w:val="center"/>
              <w:spacing w:after="0" w:line="126" w:lineRule="exact"/>
              <w:rPr>
                <w:sz w:val="20"/>
                <w:szCs w:val="20"/>
                <w:color w:val="auto"/>
              </w:rPr>
            </w:pPr>
            <w:r>
              <w:rPr>
                <w:rFonts w:ascii="Arial" w:cs="Arial" w:eastAsia="Arial" w:hAnsi="Arial"/>
                <w:sz w:val="14"/>
                <w:szCs w:val="14"/>
                <w:b w:val="1"/>
                <w:bCs w:val="1"/>
                <w:color w:val="auto"/>
              </w:rPr>
              <w:t>with Fee</w:t>
            </w:r>
          </w:p>
        </w:tc>
        <w:tc>
          <w:tcPr>
            <w:tcW w:w="20" w:type="dxa"/>
            <w:vAlign w:val="bottom"/>
          </w:tcPr>
          <w:p>
            <w:pPr>
              <w:spacing w:after="0"/>
              <w:rPr>
                <w:sz w:val="10"/>
                <w:szCs w:val="10"/>
                <w:color w:val="auto"/>
              </w:rPr>
            </w:pPr>
          </w:p>
        </w:tc>
        <w:tc>
          <w:tcPr>
            <w:tcW w:w="1020" w:type="dxa"/>
            <w:vAlign w:val="bottom"/>
            <w:shd w:val="clear" w:color="auto" w:fill="9ADAF6"/>
          </w:tcPr>
          <w:p>
            <w:pPr>
              <w:jc w:val="center"/>
              <w:spacing w:after="0" w:line="126" w:lineRule="exact"/>
              <w:rPr>
                <w:sz w:val="20"/>
                <w:szCs w:val="20"/>
                <w:color w:val="auto"/>
              </w:rPr>
            </w:pPr>
            <w:r>
              <w:rPr>
                <w:rFonts w:ascii="Arial" w:cs="Arial" w:eastAsia="Arial" w:hAnsi="Arial"/>
                <w:sz w:val="14"/>
                <w:szCs w:val="14"/>
                <w:b w:val="1"/>
                <w:bCs w:val="1"/>
                <w:color w:val="auto"/>
              </w:rPr>
              <w:t>with Fee</w:t>
            </w:r>
          </w:p>
        </w:tc>
        <w:tc>
          <w:tcPr>
            <w:tcW w:w="20" w:type="dxa"/>
            <w:vAlign w:val="bottom"/>
          </w:tcPr>
          <w:p>
            <w:pPr>
              <w:spacing w:after="0"/>
              <w:rPr>
                <w:sz w:val="10"/>
                <w:szCs w:val="10"/>
                <w:color w:val="auto"/>
              </w:rPr>
            </w:pPr>
          </w:p>
        </w:tc>
        <w:tc>
          <w:tcPr>
            <w:tcW w:w="1020" w:type="dxa"/>
            <w:vAlign w:val="bottom"/>
            <w:shd w:val="clear" w:color="auto" w:fill="9ADAF6"/>
          </w:tcPr>
          <w:p>
            <w:pPr>
              <w:jc w:val="center"/>
              <w:spacing w:after="0" w:line="126" w:lineRule="exact"/>
              <w:rPr>
                <w:sz w:val="20"/>
                <w:szCs w:val="20"/>
                <w:color w:val="auto"/>
              </w:rPr>
            </w:pPr>
            <w:r>
              <w:rPr>
                <w:rFonts w:ascii="Arial" w:cs="Arial" w:eastAsia="Arial" w:hAnsi="Arial"/>
                <w:sz w:val="14"/>
                <w:szCs w:val="14"/>
                <w:b w:val="1"/>
                <w:bCs w:val="1"/>
                <w:color w:val="auto"/>
              </w:rPr>
              <w:t>with Fee</w:t>
            </w:r>
          </w:p>
        </w:tc>
        <w:tc>
          <w:tcPr>
            <w:tcW w:w="20" w:type="dxa"/>
            <w:vAlign w:val="bottom"/>
          </w:tcPr>
          <w:p>
            <w:pPr>
              <w:spacing w:after="0"/>
              <w:rPr>
                <w:sz w:val="10"/>
                <w:szCs w:val="10"/>
                <w:color w:val="auto"/>
              </w:rPr>
            </w:pPr>
          </w:p>
        </w:tc>
        <w:tc>
          <w:tcPr>
            <w:tcW w:w="1280" w:type="dxa"/>
            <w:vAlign w:val="bottom"/>
            <w:shd w:val="clear" w:color="auto" w:fill="9ADAF6"/>
          </w:tcPr>
          <w:p>
            <w:pPr>
              <w:jc w:val="center"/>
              <w:spacing w:after="0" w:line="126" w:lineRule="exact"/>
              <w:rPr>
                <w:sz w:val="20"/>
                <w:szCs w:val="20"/>
                <w:color w:val="auto"/>
              </w:rPr>
            </w:pPr>
            <w:r>
              <w:rPr>
                <w:rFonts w:ascii="Arial" w:cs="Arial" w:eastAsia="Arial" w:hAnsi="Arial"/>
                <w:sz w:val="14"/>
                <w:szCs w:val="14"/>
                <w:b w:val="1"/>
                <w:bCs w:val="1"/>
                <w:color w:val="auto"/>
              </w:rPr>
              <w:t>Associated</w:t>
            </w:r>
          </w:p>
        </w:tc>
        <w:tc>
          <w:tcPr>
            <w:tcW w:w="20" w:type="dxa"/>
            <w:vAlign w:val="bottom"/>
          </w:tcPr>
          <w:p>
            <w:pPr>
              <w:spacing w:after="0"/>
              <w:rPr>
                <w:sz w:val="10"/>
                <w:szCs w:val="10"/>
                <w:color w:val="auto"/>
              </w:rPr>
            </w:pPr>
          </w:p>
        </w:tc>
        <w:tc>
          <w:tcPr>
            <w:tcW w:w="860" w:type="dxa"/>
            <w:vAlign w:val="bottom"/>
            <w:shd w:val="clear" w:color="auto" w:fill="9ADAF6"/>
          </w:tcPr>
          <w:p>
            <w:pPr>
              <w:jc w:val="center"/>
              <w:spacing w:after="0" w:line="126" w:lineRule="exact"/>
              <w:rPr>
                <w:sz w:val="20"/>
                <w:szCs w:val="20"/>
                <w:color w:val="auto"/>
              </w:rPr>
            </w:pPr>
            <w:r>
              <w:rPr>
                <w:rFonts w:ascii="Arial" w:cs="Arial" w:eastAsia="Arial" w:hAnsi="Arial"/>
                <w:sz w:val="14"/>
                <w:szCs w:val="14"/>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Type</w:t>
            </w: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Offset</w:t>
            </w:r>
          </w:p>
        </w:tc>
        <w:tc>
          <w:tcPr>
            <w:tcW w:w="20" w:type="dxa"/>
            <w:vAlign w:val="bottom"/>
          </w:tcPr>
          <w:p>
            <w:pPr>
              <w:spacing w:after="0"/>
              <w:rPr>
                <w:sz w:val="12"/>
                <w:szCs w:val="12"/>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Offset</w:t>
            </w:r>
          </w:p>
        </w:tc>
        <w:tc>
          <w:tcPr>
            <w:tcW w:w="20" w:type="dxa"/>
            <w:vAlign w:val="bottom"/>
          </w:tcPr>
          <w:p>
            <w:pPr>
              <w:spacing w:after="0"/>
              <w:rPr>
                <w:sz w:val="12"/>
                <w:szCs w:val="12"/>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Offset</w:t>
            </w:r>
          </w:p>
        </w:tc>
        <w:tc>
          <w:tcPr>
            <w:tcW w:w="20" w:type="dxa"/>
            <w:vAlign w:val="bottom"/>
          </w:tcPr>
          <w:p>
            <w:pPr>
              <w:spacing w:after="0"/>
              <w:rPr>
                <w:sz w:val="12"/>
                <w:szCs w:val="12"/>
                <w:color w:val="auto"/>
              </w:rPr>
            </w:pPr>
          </w:p>
        </w:tc>
        <w:tc>
          <w:tcPr>
            <w:tcW w:w="128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with Fee</w:t>
            </w:r>
          </w:p>
        </w:tc>
        <w:tc>
          <w:tcPr>
            <w:tcW w:w="20" w:type="dxa"/>
            <w:vAlign w:val="bottom"/>
          </w:tcPr>
          <w:p>
            <w:pPr>
              <w:spacing w:after="0"/>
              <w:rPr>
                <w:sz w:val="12"/>
                <w:szCs w:val="12"/>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Source</w:t>
            </w: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40" w:type="dxa"/>
            <w:vAlign w:val="bottom"/>
            <w:tcBorders>
              <w:left w:val="single" w:sz="8" w:color="auto"/>
            </w:tcBorders>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Claimed</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Claimed</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Claimed</w:t>
            </w: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Offset</w:t>
            </w: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70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Claimed</w:t>
            </w:r>
          </w:p>
        </w:tc>
        <w:tc>
          <w:tcPr>
            <w:tcW w:w="20" w:type="dxa"/>
            <w:vAlign w:val="bottom"/>
          </w:tcPr>
          <w:p>
            <w:pPr>
              <w:spacing w:after="0"/>
              <w:rPr>
                <w:sz w:val="21"/>
                <w:szCs w:val="21"/>
                <w:color w:val="auto"/>
              </w:rPr>
            </w:pPr>
          </w:p>
        </w:tc>
        <w:tc>
          <w:tcPr>
            <w:tcW w:w="860" w:type="dxa"/>
            <w:vAlign w:val="bottom"/>
            <w:shd w:val="clear" w:color="auto" w:fill="9ADAF6"/>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80" w:type="dxa"/>
            <w:vAlign w:val="bottom"/>
            <w:gridSpan w:val="3"/>
          </w:tcPr>
          <w:p>
            <w:pPr>
              <w:ind w:left="20"/>
              <w:spacing w:after="0"/>
              <w:rPr>
                <w:sz w:val="20"/>
                <w:szCs w:val="20"/>
                <w:color w:val="auto"/>
              </w:rPr>
            </w:pPr>
            <w:r>
              <w:rPr>
                <w:rFonts w:ascii="Arial" w:cs="Arial" w:eastAsia="Arial" w:hAnsi="Arial"/>
                <w:sz w:val="18"/>
                <w:szCs w:val="18"/>
                <w:b w:val="1"/>
                <w:bCs w:val="1"/>
                <w:color w:val="auto"/>
              </w:rPr>
              <w:t>Rule 457(p)</w:t>
            </w: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E7E7E2"/>
          </w:tcPr>
          <w:p>
            <w:pPr>
              <w:ind w:left="20"/>
              <w:spacing w:after="0" w:line="201" w:lineRule="exact"/>
              <w:rPr>
                <w:sz w:val="20"/>
                <w:szCs w:val="20"/>
                <w:color w:val="auto"/>
              </w:rPr>
            </w:pPr>
            <w:r>
              <w:rPr>
                <w:rFonts w:ascii="Arial" w:cs="Arial" w:eastAsia="Arial" w:hAnsi="Arial"/>
                <w:sz w:val="18"/>
                <w:szCs w:val="18"/>
                <w:color w:val="auto"/>
              </w:rPr>
              <w:t>Common</w:t>
            </w:r>
          </w:p>
        </w:tc>
        <w:tc>
          <w:tcPr>
            <w:tcW w:w="20" w:type="dxa"/>
            <w:vAlign w:val="bottom"/>
          </w:tcPr>
          <w:p>
            <w:pPr>
              <w:spacing w:after="0"/>
              <w:rPr>
                <w:sz w:val="17"/>
                <w:szCs w:val="17"/>
                <w:color w:val="auto"/>
              </w:rPr>
            </w:pPr>
          </w:p>
        </w:tc>
        <w:tc>
          <w:tcPr>
            <w:tcW w:w="10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8"/>
                <w:szCs w:val="18"/>
                <w:color w:val="auto"/>
              </w:rPr>
              <w:t>Fee</w:t>
            </w:r>
          </w:p>
        </w:tc>
        <w:tc>
          <w:tcPr>
            <w:tcW w:w="4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Navient</w:t>
            </w: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333-</w:t>
            </w: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ind w:left="20"/>
              <w:spacing w:after="0"/>
              <w:rPr>
                <w:sz w:val="20"/>
                <w:szCs w:val="20"/>
                <w:color w:val="auto"/>
              </w:rPr>
            </w:pPr>
            <w:r>
              <w:rPr>
                <w:rFonts w:ascii="Arial" w:cs="Arial" w:eastAsia="Arial" w:hAnsi="Arial"/>
                <w:sz w:val="18"/>
                <w:szCs w:val="18"/>
                <w:color w:val="auto"/>
              </w:rPr>
              <w:t>Stock,</w:t>
            </w: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Offset</w:t>
            </w:r>
          </w:p>
        </w:tc>
        <w:tc>
          <w:tcPr>
            <w:tcW w:w="40" w:type="dxa"/>
            <w:vAlign w:val="bottom"/>
          </w:tcPr>
          <w:p>
            <w:pPr>
              <w:spacing w:after="0"/>
              <w:rPr>
                <w:sz w:val="9"/>
                <w:szCs w:val="9"/>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9"/>
                <w:szCs w:val="9"/>
                <w:color w:val="auto"/>
              </w:rPr>
            </w:pPr>
          </w:p>
        </w:tc>
        <w:tc>
          <w:tcPr>
            <w:tcW w:w="10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S-8</w:t>
            </w:r>
          </w:p>
        </w:tc>
        <w:tc>
          <w:tcPr>
            <w:tcW w:w="20" w:type="dxa"/>
            <w:vAlign w:val="bottom"/>
          </w:tcPr>
          <w:p>
            <w:pPr>
              <w:spacing w:after="0"/>
              <w:rPr>
                <w:sz w:val="9"/>
                <w:szCs w:val="9"/>
                <w:color w:val="auto"/>
              </w:rPr>
            </w:pPr>
          </w:p>
        </w:tc>
        <w:tc>
          <w:tcPr>
            <w:tcW w:w="7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05/28/2024</w:t>
            </w: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9"/>
                <w:szCs w:val="9"/>
                <w:color w:val="auto"/>
              </w:rPr>
            </w:pPr>
          </w:p>
        </w:tc>
        <w:tc>
          <w:tcPr>
            <w:tcW w:w="102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$0.01 par</w:t>
            </w:r>
          </w:p>
        </w:tc>
        <w:tc>
          <w:tcPr>
            <w:tcW w:w="20" w:type="dxa"/>
            <w:vAlign w:val="bottom"/>
          </w:tcPr>
          <w:p>
            <w:pPr>
              <w:spacing w:after="0"/>
              <w:rPr>
                <w:sz w:val="9"/>
                <w:szCs w:val="9"/>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7,338,831</w:t>
            </w:r>
          </w:p>
        </w:tc>
        <w:tc>
          <w:tcPr>
            <w:tcW w:w="20" w:type="dxa"/>
            <w:vAlign w:val="bottom"/>
          </w:tcPr>
          <w:p>
            <w:pPr>
              <w:spacing w:after="0"/>
              <w:rPr>
                <w:sz w:val="9"/>
                <w:szCs w:val="9"/>
                <w:color w:val="auto"/>
              </w:rPr>
            </w:pPr>
          </w:p>
        </w:tc>
        <w:tc>
          <w:tcPr>
            <w:tcW w:w="12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jc w:val="center"/>
              <w:spacing w:after="0" w:line="185" w:lineRule="exact"/>
              <w:rPr>
                <w:sz w:val="20"/>
                <w:szCs w:val="20"/>
                <w:color w:val="auto"/>
              </w:rPr>
            </w:pPr>
            <w:r>
              <w:rPr>
                <w:rFonts w:ascii="Arial" w:cs="Arial" w:eastAsia="Arial" w:hAnsi="Arial"/>
                <w:sz w:val="18"/>
                <w:szCs w:val="18"/>
                <w:color w:val="auto"/>
              </w:rPr>
              <w:t>Corporation</w:t>
            </w:r>
          </w:p>
        </w:tc>
        <w:tc>
          <w:tcPr>
            <w:tcW w:w="20" w:type="dxa"/>
            <w:vAlign w:val="bottom"/>
          </w:tcPr>
          <w:p>
            <w:pPr>
              <w:spacing w:after="0"/>
              <w:rPr>
                <w:sz w:val="16"/>
                <w:szCs w:val="16"/>
                <w:color w:val="auto"/>
              </w:rPr>
            </w:pPr>
          </w:p>
        </w:tc>
        <w:tc>
          <w:tcPr>
            <w:tcW w:w="5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jc w:val="center"/>
              <w:spacing w:after="0" w:line="185" w:lineRule="exact"/>
              <w:rPr>
                <w:sz w:val="20"/>
                <w:szCs w:val="20"/>
                <w:color w:val="auto"/>
              </w:rPr>
            </w:pPr>
            <w:r>
              <w:rPr>
                <w:rFonts w:ascii="Arial" w:cs="Arial" w:eastAsia="Arial" w:hAnsi="Arial"/>
                <w:sz w:val="18"/>
                <w:szCs w:val="18"/>
                <w:color w:val="auto"/>
              </w:rPr>
              <w:t>279739</w:t>
            </w:r>
          </w:p>
        </w:tc>
        <w:tc>
          <w:tcPr>
            <w:tcW w:w="20" w:type="dxa"/>
            <w:vAlign w:val="bottom"/>
          </w:tcPr>
          <w:p>
            <w:pPr>
              <w:spacing w:after="0"/>
              <w:rPr>
                <w:sz w:val="16"/>
                <w:szCs w:val="16"/>
                <w:color w:val="auto"/>
              </w:rPr>
            </w:pPr>
          </w:p>
        </w:tc>
        <w:tc>
          <w:tcPr>
            <w:tcW w:w="9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jc w:val="right"/>
              <w:spacing w:after="0" w:line="185" w:lineRule="exact"/>
              <w:rPr>
                <w:sz w:val="20"/>
                <w:szCs w:val="20"/>
                <w:color w:val="auto"/>
              </w:rPr>
            </w:pPr>
            <w:r>
              <w:rPr>
                <w:rFonts w:ascii="Arial" w:cs="Arial" w:eastAsia="Arial" w:hAnsi="Arial"/>
                <w:sz w:val="18"/>
                <w:szCs w:val="18"/>
                <w:color w:val="auto"/>
              </w:rPr>
              <w:t>16,529.81</w:t>
            </w:r>
          </w:p>
        </w:tc>
        <w:tc>
          <w:tcPr>
            <w:tcW w:w="4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E7E7E2"/>
          </w:tcPr>
          <w:p>
            <w:pPr>
              <w:jc w:val="right"/>
              <w:spacing w:after="0" w:line="185" w:lineRule="exact"/>
              <w:rPr>
                <w:sz w:val="20"/>
                <w:szCs w:val="20"/>
                <w:color w:val="auto"/>
              </w:rPr>
            </w:pPr>
            <w:r>
              <w:rPr>
                <w:rFonts w:ascii="Arial" w:cs="Arial" w:eastAsia="Arial" w:hAnsi="Arial"/>
                <w:sz w:val="18"/>
                <w:szCs w:val="18"/>
                <w:color w:val="auto"/>
                <w:w w:val="99"/>
              </w:rPr>
              <w:t>111,990,561.06</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0" w:type="dxa"/>
            <w:vAlign w:val="bottom"/>
            <w:tcBorders>
              <w:left w:val="single" w:sz="8" w:color="auto"/>
            </w:tcBorders>
          </w:tcPr>
          <w:p>
            <w:pPr>
              <w:spacing w:after="0"/>
              <w:rPr>
                <w:sz w:val="10"/>
                <w:szCs w:val="10"/>
                <w:color w:val="auto"/>
              </w:rPr>
            </w:pPr>
          </w:p>
        </w:tc>
        <w:tc>
          <w:tcPr>
            <w:tcW w:w="700" w:type="dxa"/>
            <w:vAlign w:val="bottom"/>
            <w:shd w:val="clear" w:color="auto" w:fill="E7E7E2"/>
          </w:tcPr>
          <w:p>
            <w:pPr>
              <w:ind w:left="20"/>
              <w:spacing w:after="0" w:line="126" w:lineRule="exact"/>
              <w:rPr>
                <w:sz w:val="20"/>
                <w:szCs w:val="20"/>
                <w:color w:val="auto"/>
              </w:rPr>
            </w:pPr>
            <w:r>
              <w:rPr>
                <w:rFonts w:ascii="Arial" w:cs="Arial" w:eastAsia="Arial" w:hAnsi="Arial"/>
                <w:sz w:val="14"/>
                <w:szCs w:val="14"/>
                <w:color w:val="auto"/>
              </w:rPr>
              <w:t>Claims</w:t>
            </w:r>
          </w:p>
        </w:tc>
        <w:tc>
          <w:tcPr>
            <w:tcW w:w="4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ind w:left="20"/>
              <w:spacing w:after="0" w:line="126" w:lineRule="exact"/>
              <w:rPr>
                <w:sz w:val="20"/>
                <w:szCs w:val="20"/>
                <w:color w:val="auto"/>
              </w:rPr>
            </w:pPr>
            <w:r>
              <w:rPr>
                <w:rFonts w:ascii="Arial" w:cs="Arial" w:eastAsia="Arial" w:hAnsi="Arial"/>
                <w:sz w:val="14"/>
                <w:szCs w:val="14"/>
                <w:color w:val="auto"/>
              </w:rPr>
              <w:t>value per</w:t>
            </w: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7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E7E7E2"/>
          </w:tcPr>
          <w:p>
            <w:pPr>
              <w:ind w:left="20"/>
              <w:spacing w:after="0"/>
              <w:rPr>
                <w:sz w:val="20"/>
                <w:szCs w:val="20"/>
                <w:color w:val="auto"/>
              </w:rPr>
            </w:pPr>
            <w:r>
              <w:rPr>
                <w:rFonts w:ascii="Arial" w:cs="Arial" w:eastAsia="Arial" w:hAnsi="Arial"/>
                <w:sz w:val="18"/>
                <w:szCs w:val="18"/>
                <w:color w:val="auto"/>
              </w:rPr>
              <w:t>share</w:t>
            </w:r>
          </w:p>
        </w:tc>
        <w:tc>
          <w:tcPr>
            <w:tcW w:w="20" w:type="dxa"/>
            <w:vAlign w:val="bottom"/>
          </w:tcPr>
          <w:p>
            <w:pPr>
              <w:spacing w:after="0"/>
              <w:rPr>
                <w:sz w:val="21"/>
                <w:szCs w:val="21"/>
                <w:color w:val="auto"/>
              </w:rPr>
            </w:pPr>
          </w:p>
        </w:tc>
        <w:tc>
          <w:tcPr>
            <w:tcW w:w="10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shd w:val="clear" w:color="auto" w:fill="E7E7E2"/>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700" w:type="dxa"/>
            <w:vAlign w:val="bottom"/>
            <w:shd w:val="clear" w:color="auto" w:fill="E7E7E2"/>
          </w:tcPr>
          <w:p>
            <w:pPr>
              <w:ind w:left="20"/>
              <w:spacing w:after="0" w:line="195" w:lineRule="exact"/>
              <w:rPr>
                <w:sz w:val="20"/>
                <w:szCs w:val="20"/>
                <w:color w:val="auto"/>
              </w:rPr>
            </w:pPr>
            <w:r>
              <w:rPr>
                <w:rFonts w:ascii="Arial" w:cs="Arial" w:eastAsia="Arial" w:hAnsi="Arial"/>
                <w:sz w:val="18"/>
                <w:szCs w:val="18"/>
                <w:color w:val="auto"/>
              </w:rPr>
              <w:t>Fee</w:t>
            </w: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Navient</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333-</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Offset</w:t>
            </w:r>
          </w:p>
        </w:tc>
        <w:tc>
          <w:tcPr>
            <w:tcW w:w="40" w:type="dxa"/>
            <w:vAlign w:val="bottom"/>
          </w:tcPr>
          <w:p>
            <w:pPr>
              <w:spacing w:after="0"/>
              <w:rPr>
                <w:sz w:val="9"/>
                <w:szCs w:val="9"/>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9"/>
                <w:szCs w:val="9"/>
                <w:color w:val="auto"/>
              </w:rPr>
            </w:pPr>
          </w:p>
        </w:tc>
        <w:tc>
          <w:tcPr>
            <w:tcW w:w="10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S-8</w:t>
            </w:r>
          </w:p>
        </w:tc>
        <w:tc>
          <w:tcPr>
            <w:tcW w:w="20" w:type="dxa"/>
            <w:vAlign w:val="bottom"/>
          </w:tcPr>
          <w:p>
            <w:pPr>
              <w:spacing w:after="0"/>
              <w:rPr>
                <w:sz w:val="9"/>
                <w:szCs w:val="9"/>
                <w:color w:val="auto"/>
              </w:rPr>
            </w:pPr>
          </w:p>
        </w:tc>
        <w:tc>
          <w:tcPr>
            <w:tcW w:w="7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05/28/2024</w:t>
            </w: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jc w:val="center"/>
              <w:spacing w:after="0" w:line="185" w:lineRule="exact"/>
              <w:rPr>
                <w:sz w:val="20"/>
                <w:szCs w:val="20"/>
                <w:color w:val="auto"/>
              </w:rPr>
            </w:pPr>
            <w:r>
              <w:rPr>
                <w:rFonts w:ascii="Arial" w:cs="Arial" w:eastAsia="Arial" w:hAnsi="Arial"/>
                <w:sz w:val="18"/>
                <w:szCs w:val="18"/>
                <w:color w:val="auto"/>
              </w:rPr>
              <w:t>Corporation</w:t>
            </w:r>
          </w:p>
        </w:tc>
        <w:tc>
          <w:tcPr>
            <w:tcW w:w="20" w:type="dxa"/>
            <w:vAlign w:val="bottom"/>
          </w:tcPr>
          <w:p>
            <w:pPr>
              <w:spacing w:after="0"/>
              <w:rPr>
                <w:sz w:val="16"/>
                <w:szCs w:val="16"/>
                <w:color w:val="auto"/>
              </w:rPr>
            </w:pPr>
          </w:p>
        </w:tc>
        <w:tc>
          <w:tcPr>
            <w:tcW w:w="5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jc w:val="center"/>
              <w:spacing w:after="0" w:line="185" w:lineRule="exact"/>
              <w:rPr>
                <w:sz w:val="20"/>
                <w:szCs w:val="20"/>
                <w:color w:val="auto"/>
              </w:rPr>
            </w:pPr>
            <w:r>
              <w:rPr>
                <w:rFonts w:ascii="Arial" w:cs="Arial" w:eastAsia="Arial" w:hAnsi="Arial"/>
                <w:sz w:val="18"/>
                <w:szCs w:val="18"/>
                <w:color w:val="auto"/>
              </w:rPr>
              <w:t>279739</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jc w:val="right"/>
              <w:spacing w:after="0" w:line="185" w:lineRule="exact"/>
              <w:rPr>
                <w:sz w:val="20"/>
                <w:szCs w:val="20"/>
                <w:color w:val="auto"/>
              </w:rPr>
            </w:pPr>
            <w:r>
              <w:rPr>
                <w:rFonts w:ascii="Arial" w:cs="Arial" w:eastAsia="Arial" w:hAnsi="Arial"/>
                <w:sz w:val="18"/>
                <w:szCs w:val="18"/>
                <w:color w:val="auto"/>
              </w:rPr>
              <w:t>16,529.81</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700" w:type="dxa"/>
            <w:vAlign w:val="bottom"/>
            <w:shd w:val="clear" w:color="auto" w:fill="E7E7E2"/>
          </w:tcPr>
          <w:p>
            <w:pPr>
              <w:ind w:left="20"/>
              <w:spacing w:after="0" w:line="161" w:lineRule="exact"/>
              <w:rPr>
                <w:sz w:val="20"/>
                <w:szCs w:val="20"/>
                <w:color w:val="auto"/>
              </w:rPr>
            </w:pPr>
            <w:r>
              <w:rPr>
                <w:rFonts w:ascii="Arial" w:cs="Arial" w:eastAsia="Arial" w:hAnsi="Arial"/>
                <w:sz w:val="18"/>
                <w:szCs w:val="18"/>
                <w:color w:val="auto"/>
                <w:w w:val="99"/>
              </w:rPr>
              <w:t>Sources</w:t>
            </w:r>
          </w:p>
        </w:tc>
        <w:tc>
          <w:tcPr>
            <w:tcW w:w="4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Rule 457(p) Statement of Withdrawal, Termination, or Completion:</w:t>
      </w:r>
    </w:p>
    <w:p>
      <w:pPr>
        <w:spacing w:after="0" w:line="127" w:lineRule="exact"/>
        <w:rPr>
          <w:sz w:val="20"/>
          <w:szCs w:val="20"/>
          <w:color w:val="auto"/>
        </w:rPr>
      </w:pPr>
    </w:p>
    <w:p>
      <w:pPr>
        <w:ind w:left="240" w:right="760" w:hanging="193"/>
        <w:spacing w:after="0" w:line="234" w:lineRule="auto"/>
        <w:tabs>
          <w:tab w:leader="none" w:pos="2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Navient previously paid registration fees of $16,529.81 associated with certain unsold and unissued securities from the Prior Registration Statement. Navient has terminated the offering of such unsold and unissued securities under the Prior Registration Statement. Pursuant to Rule 457(p) under the Securities Act, the Registrant hereby offsets the registration fee due under this Registration Statement by $16,529.81.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67945</wp:posOffset>
            </wp:positionV>
            <wp:extent cx="713422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7134225" cy="4000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Offset Note</w:t>
      </w:r>
    </w:p>
    <w:p>
      <w:pPr>
        <w:spacing w:after="0" w:line="127" w:lineRule="exact"/>
        <w:rPr>
          <w:sz w:val="20"/>
          <w:szCs w:val="20"/>
          <w:color w:val="auto"/>
        </w:rPr>
      </w:pPr>
    </w:p>
    <w:p>
      <w:pPr>
        <w:ind w:left="240" w:right="760" w:hanging="193"/>
        <w:spacing w:after="0" w:line="234" w:lineRule="auto"/>
        <w:tabs>
          <w:tab w:leader="none" w:pos="2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Navient previously paid registration fees of $16,529.81 associated with certain unsold and unissued securities from the Prior Registration Statement. Navient has terminated the offering of such unsold and unissued securities under the Prior Registration Statement. Pursuant to Rule 457(p) under the Securities Act, the Registrant hereby offsets the registration fee due under this Registration Statement by $16,529.81.</w:t>
      </w:r>
    </w:p>
    <w:p>
      <w:pPr>
        <w:sectPr>
          <w:pgSz w:w="11900" w:h="16896" w:orient="portrait"/>
          <w:cols w:equalWidth="0" w:num="1">
            <w:col w:w="11360"/>
          </w:cols>
          <w:pgMar w:left="300" w:top="141" w:right="239" w:bottom="0" w:gutter="0" w:footer="0" w:header="0"/>
        </w:sectPr>
      </w:pPr>
    </w:p>
    <w:bookmarkStart w:id="10" w:name="page11"/>
    <w:bookmarkEnd w:id="10"/>
    <w:p>
      <w:pPr>
        <w:spacing w:after="0" w:line="234" w:lineRule="auto"/>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149225</wp:posOffset>
            </wp:positionV>
            <wp:extent cx="713422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7134225" cy="400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3"/>
    </w:lvl>
  </w:abstractNum>
  <w:abstractNum w:abstractNumId="2">
    <w:nsid w:val="41B71EFB"/>
    <w:multiLevelType w:val="hybridMultilevel"/>
    <w:lvl w:ilvl="0">
      <w:lvlJc w:val="left"/>
      <w:lvlText w:val="(%1)"/>
      <w:numFmt w:val="lowerRoman"/>
      <w:start w:val="4"/>
    </w:lvl>
  </w:abstractNum>
  <w:abstractNum w:abstractNumId="3">
    <w:nsid w:val="79E2A9E3"/>
    <w:multiLevelType w:val="hybridMultilevel"/>
    <w:lvl w:ilvl="0">
      <w:lvlJc w:val="left"/>
      <w:lvlText w:val=" "/>
      <w:numFmt w:val="bullet"/>
      <w:start w:val="1"/>
    </w:lvl>
  </w:abstractNum>
  <w:abstractNum w:abstractNumId="4">
    <w:nsid w:val="7545E14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5">
    <w:nsid w:val="515F007C"/>
    <w:multiLevelType w:val="hybridMultilevel"/>
    <w:lvl w:ilvl="0">
      <w:lvlJc w:val="left"/>
      <w:lvlText w:val="(%1)"/>
      <w:numFmt w:val="lowerRoman"/>
      <w:start w:val="2"/>
    </w:lvl>
  </w:abstractNum>
  <w:abstractNum w:abstractNumId="6">
    <w:nsid w:val="5BD062C2"/>
    <w:multiLevelType w:val="hybridMultilevel"/>
    <w:lvl w:ilvl="0">
      <w:lvlJc w:val="left"/>
      <w:lvlText w:val="%1"/>
      <w:numFmt w:val="lowerLetter"/>
      <w:start w:val="1"/>
    </w:lvl>
    <w:lvl w:ilvl="1">
      <w:lvlJc w:val="left"/>
      <w:lvlText w:val="(%2)"/>
      <w:numFmt w:val="decimal"/>
      <w:start w:val="2"/>
    </w:lvl>
  </w:abstractNum>
  <w:abstractNum w:abstractNumId="7">
    <w:nsid w:val="12200854"/>
    <w:multiLevelType w:val="hybridMultilevel"/>
    <w:lvl w:ilvl="0">
      <w:lvlJc w:val="left"/>
      <w:lvlText w:val="(%1)"/>
      <w:numFmt w:val="lowerLetter"/>
      <w:start w:val="2"/>
    </w:lvl>
    <w:lvl w:ilvl="1">
      <w:lvlJc w:val="left"/>
      <w:lvlText w:val="%2"/>
      <w:numFmt w:val="decimal"/>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jpeg"/><Relationship Id="rId46" Type="http://schemas.openxmlformats.org/officeDocument/2006/relationships/image" Target="media/image19.png"/><Relationship Id="rId47" Type="http://schemas.openxmlformats.org/officeDocument/2006/relationships/image" Target="media/image20.jpeg"/><Relationship Id="rId48" Type="http://schemas.openxmlformats.org/officeDocument/2006/relationships/image" Target="media/image21.jpe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19" Type="http://schemas.openxmlformats.org/officeDocument/2006/relationships/hyperlink" Target="http://www.sec.gov/ix?doc=/Archives/edgar/data/1593538/000119312526076753/navi-20251231.htm" TargetMode="External"/><Relationship Id="rId20" Type="http://schemas.openxmlformats.org/officeDocument/2006/relationships/hyperlink" Target="http://www.sec.gov/ix?doc=/Archives/edgar/data/1593538/000114036126014980/ny20066419x1_def14a.htm" TargetMode="External"/><Relationship Id="rId21" Type="http://schemas.openxmlformats.org/officeDocument/2006/relationships/hyperlink" Target="http://www.sec.gov/ix?doc=/Archives/edgar/data/1593538/000119312526191605/navi-20260331.htm" TargetMode="External"/><Relationship Id="rId22" Type="http://schemas.openxmlformats.org/officeDocument/2006/relationships/hyperlink" Target="http://www.sec.gov/ix?doc=/Archives/edgar/data/1593538/000119312526340245/navi-20260630.htm" TargetMode="External"/><Relationship Id="rId24" Type="http://schemas.openxmlformats.org/officeDocument/2006/relationships/hyperlink" Target="http://www.sec.gov/ix?doc=/Archives/edgar/data/1593538/000114036126000724/ef20062525_8k.htm" TargetMode="External"/><Relationship Id="rId25" Type="http://schemas.openxmlformats.org/officeDocument/2006/relationships/hyperlink" Target="http://www.sec.gov/ix?doc=/Archives/edgar/data/1593538/000114036126013765/ef20069880_8k.htm" TargetMode="External"/><Relationship Id="rId26" Type="http://schemas.openxmlformats.org/officeDocument/2006/relationships/hyperlink" Target="http://www.sec.gov/ix?doc=/Archives/edgar/data/1593538/000119312526248512/d156580d8k.htm" TargetMode="External"/><Relationship Id="rId27" Type="http://schemas.openxmlformats.org/officeDocument/2006/relationships/hyperlink" Target="http://www.sec.gov/ix?doc=/Archives/edgar/data/1593538/000114036126024115/ef20075586_8k.htm" TargetMode="External"/><Relationship Id="rId28" Type="http://schemas.openxmlformats.org/officeDocument/2006/relationships/hyperlink" Target="http://www.sec.gov/ix?doc=/Archives/edgar/data/1593538/000114036126027441/ef20077249_8k.htm" TargetMode="External"/><Relationship Id="rId29" Type="http://schemas.openxmlformats.org/officeDocument/2006/relationships/hyperlink" Target="http://www.sec.gov/ix?doc=/Archives/edgar/data/1593538/000114036126037626/ef20082662_8k.htm" TargetMode="External"/><Relationship Id="rId30" Type="http://schemas.openxmlformats.org/officeDocument/2006/relationships/hyperlink" Target="http://www.sec.gov/ix?doc=/Archives/edgar/data/1593538/000114036126040389/ef20084105_8k.htm" TargetMode="External"/><Relationship Id="rId31" Type="http://schemas.openxmlformats.org/officeDocument/2006/relationships/hyperlink" Target="http://www.sec.gov/ix?doc=/Archives/edgar/data/2152623/000119312526436899/d48172d8k12b.htm" TargetMode="External"/><Relationship Id="rId34" Type="http://schemas.openxmlformats.org/officeDocument/2006/relationships/hyperlink" Target="http://www.sec.gov/Archives/edgar/data/2152623/000119312526436899/d48172dex31.htm" TargetMode="External"/><Relationship Id="rId35" Type="http://schemas.openxmlformats.org/officeDocument/2006/relationships/hyperlink" Target="http://www.sec.gov/Archives/edgar/data/2152623/000119312526436899/d48172dex32.htm" TargetMode="External"/><Relationship Id="rId36" Type="http://schemas.openxmlformats.org/officeDocument/2006/relationships/hyperlink" Target="http://www.sec.gov/Archives/edgar/data/2152623/000119312526436899/d48172dex103.htm" TargetMode="External"/><Relationship Id="rId37" Type="http://schemas.openxmlformats.org/officeDocument/2006/relationships/hyperlink" Target="http://www.sec.gov/Archives/edgar/data/2152623/000119312526436899/d48172dex104.htm" TargetMode="External"/><Relationship Id="rId38" Type="http://schemas.openxmlformats.org/officeDocument/2006/relationships/hyperlink" Target="http://www.sec.gov/Archives/edgar/data/2152623/000119312526436899/d48172dex105.htm" TargetMode="External"/><Relationship Id="rId39" Type="http://schemas.openxmlformats.org/officeDocument/2006/relationships/hyperlink" Target="http://www.sec.gov/Archives/edgar/data/2152623/000119312526436899/d48172dex106.htm" TargetMode="External"/><Relationship Id="rId40" Type="http://schemas.openxmlformats.org/officeDocument/2006/relationships/hyperlink" Target="http://www.sec.gov/Archives/edgar/data/2152623/000119312526436899/d48172dex107.htm" TargetMode="External"/><Relationship Id="rId41" Type="http://schemas.openxmlformats.org/officeDocument/2006/relationships/hyperlink" Target="http://www.sec.gov/Archives/edgar/data/2152623/000119312526436899/d48172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2026-10-29T07:25:50Z</dcterms:created>
  <dcterms:modified xsi:type="dcterms:W3CDTF">2026-10-29T07:25:50Z</dcterms:modified>
</cp:coreProperties>
</file>