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November 2, 2026</w:t>
      </w:r>
    </w:p>
    <w:p>
      <w:pPr>
        <w:spacing w:after="0" w:line="21" w:lineRule="exact"/>
        <w:rPr>
          <w:sz w:val="24"/>
          <w:szCs w:val="24"/>
          <w:color w:val="auto"/>
        </w:rPr>
      </w:pPr>
    </w:p>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67310</wp:posOffset>
            </wp:positionV>
            <wp:extent cx="5628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101600</wp:posOffset>
            </wp:positionV>
            <wp:extent cx="56280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1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118745</wp:posOffset>
            </wp:positionV>
            <wp:extent cx="1186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125730</wp:posOffset>
            </wp:positionV>
            <wp:extent cx="1186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180"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208915</wp:posOffset>
            </wp:positionV>
            <wp:extent cx="1448435" cy="24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241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Navient LLC</w:t>
      </w:r>
    </w:p>
    <w:p>
      <w:pPr>
        <w:spacing w:after="0" w:line="4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123825</wp:posOffset>
            </wp:positionV>
            <wp:extent cx="11861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99" w:lineRule="exact"/>
        <w:rPr>
          <w:sz w:val="24"/>
          <w:szCs w:val="24"/>
          <w:color w:val="auto"/>
        </w:rPr>
      </w:pPr>
    </w:p>
    <w:tbl>
      <w:tblPr>
        <w:tblLayout w:type="fixed"/>
        <w:tblInd w:w="2700" w:type="dxa"/>
        <w:tblCellMar>
          <w:top w:w="0" w:type="dxa"/>
          <w:left w:w="0" w:type="dxa"/>
          <w:bottom w:w="0" w:type="dxa"/>
          <w:right w:w="0" w:type="dxa"/>
        </w:tblCellMar>
      </w:tblPr>
      <w:tr>
        <w:trPr>
          <w:trHeight w:val="171"/>
        </w:trPr>
        <w:tc>
          <w:tcPr>
            <w:tcW w:w="3140" w:type="dxa"/>
            <w:vAlign w:val="bottom"/>
          </w:tcPr>
          <w:p>
            <w:pPr>
              <w:jc w:val="center"/>
              <w:ind w:right="157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40" w:type="dxa"/>
            <w:vAlign w:val="bottom"/>
          </w:tcPr>
          <w:p>
            <w:pPr>
              <w:jc w:val="center"/>
              <w:ind w:left="1577"/>
              <w:spacing w:after="0"/>
              <w:rPr>
                <w:sz w:val="20"/>
                <w:szCs w:val="20"/>
                <w:color w:val="auto"/>
              </w:rPr>
            </w:pPr>
            <w:r>
              <w:rPr>
                <w:rFonts w:ascii="Times New Roman" w:cs="Times New Roman" w:eastAsia="Times New Roman" w:hAnsi="Times New Roman"/>
                <w:sz w:val="14"/>
                <w:szCs w:val="14"/>
                <w:b w:val="1"/>
                <w:bCs w:val="1"/>
                <w:color w:val="auto"/>
              </w:rPr>
              <w:t>46-4054283</w:t>
            </w:r>
          </w:p>
        </w:tc>
      </w:tr>
      <w:tr>
        <w:trPr>
          <w:trHeight w:val="119"/>
        </w:trPr>
        <w:tc>
          <w:tcPr>
            <w:tcW w:w="3140" w:type="dxa"/>
            <w:vAlign w:val="bottom"/>
          </w:tcPr>
          <w:p>
            <w:pPr>
              <w:jc w:val="center"/>
              <w:ind w:right="1577"/>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540" w:type="dxa"/>
            <w:vAlign w:val="bottom"/>
          </w:tcPr>
          <w:p>
            <w:pPr>
              <w:jc w:val="center"/>
              <w:ind w:left="1557"/>
              <w:spacing w:after="0" w:line="120" w:lineRule="exact"/>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51"/>
        </w:trPr>
        <w:tc>
          <w:tcPr>
            <w:tcW w:w="3140" w:type="dxa"/>
            <w:vAlign w:val="bottom"/>
          </w:tcPr>
          <w:p>
            <w:pPr>
              <w:jc w:val="center"/>
              <w:ind w:right="1577"/>
              <w:spacing w:after="0"/>
              <w:rPr>
                <w:sz w:val="20"/>
                <w:szCs w:val="20"/>
                <w:color w:val="auto"/>
              </w:rPr>
            </w:pPr>
            <w:r>
              <w:rPr>
                <w:rFonts w:ascii="Times New Roman" w:cs="Times New Roman" w:eastAsia="Times New Roman" w:hAnsi="Times New Roman"/>
                <w:sz w:val="12"/>
                <w:szCs w:val="12"/>
                <w:b w:val="1"/>
                <w:bCs w:val="1"/>
                <w:color w:val="auto"/>
                <w:w w:val="95"/>
              </w:rPr>
              <w:t>incorporation or organization)</w:t>
            </w:r>
          </w:p>
        </w:tc>
        <w:tc>
          <w:tcPr>
            <w:tcW w:w="2540" w:type="dxa"/>
            <w:vAlign w:val="bottom"/>
          </w:tcPr>
          <w:p>
            <w:pPr>
              <w:jc w:val="center"/>
              <w:ind w:left="1577"/>
              <w:spacing w:after="0"/>
              <w:rPr>
                <w:sz w:val="20"/>
                <w:szCs w:val="20"/>
                <w:color w:val="auto"/>
              </w:rPr>
            </w:pPr>
            <w:r>
              <w:rPr>
                <w:rFonts w:ascii="Times New Roman" w:cs="Times New Roman" w:eastAsia="Times New Roman" w:hAnsi="Times New Roman"/>
                <w:sz w:val="12"/>
                <w:szCs w:val="12"/>
                <w:b w:val="1"/>
                <w:bCs w:val="1"/>
                <w:color w:val="auto"/>
                <w:w w:val="95"/>
              </w:rPr>
              <w:t>Identification No.)</w:t>
            </w:r>
          </w:p>
        </w:tc>
      </w:tr>
    </w:tbl>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13865 Sunrise Valley Drive</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Herndon, Virginia 20171</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(302) 283-8000</w:t>
      </w:r>
    </w:p>
    <w:p>
      <w:pPr>
        <w:spacing w:after="0" w:line="13"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109220</wp:posOffset>
            </wp:positionV>
            <wp:extent cx="11861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Matthew Sheldon</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Senior Vice President &amp; General Counsel</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13865 Sunrise Valley Drive</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Herndon, Virginia 20171</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(302) 283-8000</w:t>
      </w:r>
    </w:p>
    <w:p>
      <w:pPr>
        <w:spacing w:after="0" w:line="1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109220</wp:posOffset>
            </wp:positionV>
            <wp:extent cx="11861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p>
    <w:p>
      <w:pPr>
        <w:spacing w:after="0" w:line="1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Robert M. Hayward, P.C.</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Anthony L. Sanderson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Kirkland &amp; Ellis LLP</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333 West Wolf Point Plaza</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Chicago, Illinois 60654</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135890</wp:posOffset>
            </wp:positionV>
            <wp:extent cx="11861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7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74" w:lineRule="exact"/>
        <w:rPr>
          <w:sz w:val="24"/>
          <w:szCs w:val="24"/>
          <w:color w:val="auto"/>
        </w:rPr>
      </w:pPr>
    </w:p>
    <w:p>
      <w:pPr>
        <w:ind w:left="156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9" w:lineRule="exact"/>
        <w:rPr>
          <w:sz w:val="24"/>
          <w:szCs w:val="24"/>
          <w:color w:val="auto"/>
        </w:rPr>
      </w:pPr>
    </w:p>
    <w:p>
      <w:pPr>
        <w:ind w:left="1220" w:right="35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left="1220" w:right="29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20" w:right="21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20" w:right="19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left="1220" w:right="21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jc w:val="both"/>
        <w:ind w:left="1220" w:right="159" w:firstLine="354"/>
        <w:spacing w:after="0" w:line="27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2" w:lineRule="exact"/>
        <w:rPr>
          <w:sz w:val="24"/>
          <w:szCs w:val="24"/>
          <w:color w:val="auto"/>
        </w:rPr>
      </w:pPr>
    </w:p>
    <w:tbl>
      <w:tblPr>
        <w:tblLayout w:type="fixed"/>
        <w:tblInd w:w="1220" w:type="dxa"/>
        <w:tblCellMar>
          <w:top w:w="0" w:type="dxa"/>
          <w:left w:w="0" w:type="dxa"/>
          <w:bottom w:w="0" w:type="dxa"/>
          <w:right w:w="0" w:type="dxa"/>
        </w:tblCellMar>
      </w:tblPr>
      <w:tr>
        <w:trPr>
          <w:trHeight w:val="219"/>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0"/>
        </w:trPr>
        <w:tc>
          <w:tcPr>
            <w:tcW w:w="13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28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0" w:lineRule="exact"/>
        <w:rPr>
          <w:sz w:val="24"/>
          <w:szCs w:val="24"/>
          <w:color w:val="auto"/>
        </w:rPr>
      </w:pPr>
    </w:p>
    <w:p>
      <w:pPr>
        <w:ind w:left="1220" w:right="379"/>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38100</wp:posOffset>
            </wp:positionV>
            <wp:extent cx="56280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72390</wp:posOffset>
            </wp:positionV>
            <wp:extent cx="56280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177165</wp:posOffset>
            </wp:positionV>
            <wp:extent cx="1448435" cy="234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182245</wp:posOffset>
            </wp:positionV>
            <wp:extent cx="118618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offer, issue and sell, together or separately:</w:t>
      </w:r>
    </w:p>
    <w:p>
      <w:pPr>
        <w:spacing w:after="0" w:line="111" w:lineRule="exact"/>
        <w:rPr>
          <w:sz w:val="20"/>
          <w:szCs w:val="20"/>
          <w:color w:val="auto"/>
        </w:rPr>
      </w:pPr>
    </w:p>
    <w:p>
      <w:pPr>
        <w:ind w:left="2000" w:hanging="353"/>
        <w:spacing w:after="0"/>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issued in one or more series;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debt securities or units;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each representing a combination of the foregoing securities.</w:t>
      </w:r>
    </w:p>
    <w:p>
      <w:pPr>
        <w:spacing w:after="0" w:line="187" w:lineRule="exact"/>
        <w:rPr>
          <w:sz w:val="20"/>
          <w:szCs w:val="20"/>
          <w:color w:val="auto"/>
        </w:rPr>
      </w:pPr>
    </w:p>
    <w:p>
      <w:pPr>
        <w:ind w:left="1220" w:right="139" w:firstLine="354"/>
        <w:spacing w:after="0" w:line="268" w:lineRule="auto"/>
        <w:rPr>
          <w:sz w:val="20"/>
          <w:szCs w:val="20"/>
          <w:color w:val="auto"/>
        </w:rPr>
      </w:pPr>
      <w:r>
        <w:rPr>
          <w:rFonts w:ascii="Times New Roman" w:cs="Times New Roman" w:eastAsia="Times New Roman" w:hAnsi="Times New Roman"/>
          <w:sz w:val="14"/>
          <w:szCs w:val="14"/>
          <w:color w:val="auto"/>
        </w:rPr>
        <w:t>We will provide the specific prices and terms of these securities in one or more supplements to this prospectus at the time of offering. You should read this prospectus and any accompanying prospectus supplement carefully before you make your investment decision. We refer to our debt securities, warrants and units collectively as the “securities.” Any or all of the securities may be offered and sold separately or together. The debt securities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287020</wp:posOffset>
            </wp:positionV>
            <wp:extent cx="11861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20" w:right="179" w:firstLine="354"/>
        <w:spacing w:after="0" w:line="253"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carefully read this prospectus and the applicable prospectus supplement, including the section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5 of this prospectus, the section entitled “Risk Factors” in the applicable prospectus supplement and risk factors in our periodic reports and other information filed with the U.S. Securities and Exchange Commission (the “SEC”) before investing in our securities.</w:t>
      </w:r>
    </w:p>
    <w:p>
      <w:pPr>
        <w:spacing w:after="0" w:line="142" w:lineRule="exact"/>
        <w:rPr>
          <w:sz w:val="20"/>
          <w:szCs w:val="20"/>
          <w:color w:val="auto"/>
        </w:rPr>
      </w:pPr>
    </w:p>
    <w:p>
      <w:pPr>
        <w:ind w:left="1220" w:right="279" w:firstLine="354"/>
        <w:spacing w:after="0" w:line="279"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3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Each prospectus supplement will indicate whether the securities offered thereby will be listed on any securities exchange.</w:t>
      </w:r>
    </w:p>
    <w:p>
      <w:pPr>
        <w:spacing w:after="0" w:line="185" w:lineRule="exact"/>
        <w:rPr>
          <w:sz w:val="20"/>
          <w:szCs w:val="20"/>
          <w:color w:val="auto"/>
        </w:rPr>
      </w:pPr>
    </w:p>
    <w:p>
      <w:pPr>
        <w:ind w:left="1220" w:right="219" w:firstLine="354"/>
        <w:spacing w:after="0" w:line="303"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152400</wp:posOffset>
            </wp:positionV>
            <wp:extent cx="118618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38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This prospectus is dated November 2, 2026</w:t>
      </w:r>
    </w:p>
    <w:p>
      <w:pPr>
        <w:sectPr>
          <w:pgSz w:w="11900" w:h="16838" w:orient="portrait"/>
          <w:cols w:equalWidth="0" w:num="1">
            <w:col w:w="10159"/>
          </w:cols>
          <w:pgMar w:left="300" w:top="39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60" w:type="dxa"/>
            <w:vAlign w:val="bottom"/>
          </w:tcPr>
          <w:p>
            <w:pPr>
              <w:jc w:val="right"/>
              <w:ind w:right="354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36"/>
        </w:trPr>
        <w:tc>
          <w:tcPr>
            <w:tcW w:w="30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54"/>
        </w:trPr>
        <w:tc>
          <w:tcPr>
            <w:tcW w:w="3060" w:type="dxa"/>
            <w:vAlign w:val="bottom"/>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FORWARD-LOOKING STATEMENTS</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w:t>
            </w:r>
          </w:p>
        </w:tc>
      </w:tr>
      <w:tr>
        <w:trPr>
          <w:trHeight w:val="154"/>
        </w:trPr>
        <w:tc>
          <w:tcPr>
            <w:tcW w:w="2340" w:type="dxa"/>
            <w:vAlign w:val="bottom"/>
            <w:tcBorders>
              <w:top w:val="single" w:sz="8" w:color="0000EE"/>
            </w:tcBorders>
            <w:gridSpan w:val="11"/>
          </w:tcPr>
          <w:p>
            <w:pPr>
              <w:spacing w:after="0" w:line="154" w:lineRule="exact"/>
              <w:rPr>
                <w:sz w:val="20"/>
                <w:szCs w:val="20"/>
                <w:color w:val="auto"/>
              </w:rPr>
            </w:pPr>
            <w:r>
              <w:rPr>
                <w:rFonts w:ascii="Times New Roman" w:cs="Times New Roman" w:eastAsia="Times New Roman" w:hAnsi="Times New Roman"/>
                <w:sz w:val="14"/>
                <w:szCs w:val="14"/>
                <w:color w:val="0000EE"/>
              </w:rPr>
              <w:t>ABOUT NAVIENT LLC</w:t>
            </w:r>
          </w:p>
        </w:tc>
        <w:tc>
          <w:tcPr>
            <w:tcW w:w="720" w:type="dxa"/>
            <w:vAlign w:val="bottom"/>
            <w:gridSpan w:val="2"/>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4</w:t>
            </w:r>
          </w:p>
        </w:tc>
      </w:tr>
      <w:tr>
        <w:trPr>
          <w:trHeight w:val="154"/>
        </w:trPr>
        <w:tc>
          <w:tcPr>
            <w:tcW w:w="1000" w:type="dxa"/>
            <w:vAlign w:val="bottom"/>
            <w:tcBorders>
              <w:top w:val="single" w:sz="8" w:color="0000EE"/>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4"/>
                <w:szCs w:val="14"/>
                <w:color w:val="0000EE"/>
                <w:w w:val="99"/>
              </w:rPr>
              <w:t>RISK FACTORS</w:t>
            </w:r>
          </w:p>
        </w:tc>
        <w:tc>
          <w:tcPr>
            <w:tcW w:w="460" w:type="dxa"/>
            <w:vAlign w:val="bottom"/>
            <w:tcBorders>
              <w:top w:val="single" w:sz="8" w:color="0000EE"/>
            </w:tcBorders>
            <w:gridSpan w:val="3"/>
          </w:tcPr>
          <w:p>
            <w:pPr>
              <w:spacing w:after="0"/>
              <w:rPr>
                <w:sz w:val="13"/>
                <w:szCs w:val="13"/>
                <w:color w:val="auto"/>
              </w:rPr>
            </w:pPr>
          </w:p>
        </w:tc>
        <w:tc>
          <w:tcPr>
            <w:tcW w:w="1600" w:type="dxa"/>
            <w:vAlign w:val="bottom"/>
            <w:gridSpan w:val="8"/>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5</w:t>
            </w:r>
          </w:p>
        </w:tc>
      </w:tr>
      <w:tr>
        <w:trPr>
          <w:trHeight w:val="154"/>
        </w:trPr>
        <w:tc>
          <w:tcPr>
            <w:tcW w:w="3060" w:type="dxa"/>
            <w:vAlign w:val="bottom"/>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USE OF PROCEEDS</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54"/>
        </w:trPr>
        <w:tc>
          <w:tcPr>
            <w:tcW w:w="3060" w:type="dxa"/>
            <w:vAlign w:val="bottom"/>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SECURITIES WE MAY OFFER</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54"/>
        </w:trPr>
        <w:tc>
          <w:tcPr>
            <w:tcW w:w="3060" w:type="dxa"/>
            <w:vAlign w:val="bottom"/>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8</w:t>
            </w:r>
          </w:p>
        </w:tc>
      </w:tr>
      <w:tr>
        <w:trPr>
          <w:trHeight w:val="154"/>
        </w:trPr>
        <w:tc>
          <w:tcPr>
            <w:tcW w:w="2420" w:type="dxa"/>
            <w:vAlign w:val="bottom"/>
            <w:tcBorders>
              <w:top w:val="single" w:sz="8" w:color="0000EE"/>
            </w:tcBorders>
            <w:gridSpan w:val="12"/>
          </w:tcPr>
          <w:p>
            <w:pPr>
              <w:spacing w:after="0" w:line="154" w:lineRule="exact"/>
              <w:rPr>
                <w:sz w:val="20"/>
                <w:szCs w:val="20"/>
                <w:color w:val="auto"/>
              </w:rPr>
            </w:pPr>
            <w:r>
              <w:rPr>
                <w:rFonts w:ascii="Times New Roman" w:cs="Times New Roman" w:eastAsia="Times New Roman" w:hAnsi="Times New Roman"/>
                <w:sz w:val="14"/>
                <w:szCs w:val="14"/>
                <w:color w:val="0000EE"/>
              </w:rPr>
              <w:t>DESCRIPTION OF WARRANTS</w:t>
            </w:r>
          </w:p>
        </w:tc>
        <w:tc>
          <w:tcPr>
            <w:tcW w:w="640" w:type="dxa"/>
            <w:vAlign w:val="bottom"/>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12</w:t>
            </w:r>
          </w:p>
        </w:tc>
      </w:tr>
      <w:tr>
        <w:trPr>
          <w:trHeight w:val="154"/>
        </w:trPr>
        <w:tc>
          <w:tcPr>
            <w:tcW w:w="1620" w:type="dxa"/>
            <w:vAlign w:val="bottom"/>
            <w:tcBorders>
              <w:top w:val="single" w:sz="8" w:color="0000EE"/>
              <w:bottom w:val="single" w:sz="8" w:color="0000EE"/>
            </w:tcBorders>
            <w:gridSpan w:val="6"/>
          </w:tcPr>
          <w:p>
            <w:pPr>
              <w:spacing w:after="0" w:line="154" w:lineRule="exact"/>
              <w:rPr>
                <w:sz w:val="20"/>
                <w:szCs w:val="20"/>
                <w:color w:val="auto"/>
              </w:rPr>
            </w:pPr>
            <w:r>
              <w:rPr>
                <w:rFonts w:ascii="Times New Roman" w:cs="Times New Roman" w:eastAsia="Times New Roman" w:hAnsi="Times New Roman"/>
                <w:sz w:val="14"/>
                <w:szCs w:val="14"/>
                <w:color w:val="0000EE"/>
              </w:rPr>
              <w:t>DESCRIPTION OF UNITS</w:t>
            </w:r>
          </w:p>
        </w:tc>
        <w:tc>
          <w:tcPr>
            <w:tcW w:w="360" w:type="dxa"/>
            <w:vAlign w:val="bottom"/>
            <w:tcBorders>
              <w:top w:val="single" w:sz="8" w:color="0000EE"/>
            </w:tcBorders>
            <w:gridSpan w:val="4"/>
          </w:tcPr>
          <w:p>
            <w:pPr>
              <w:spacing w:after="0"/>
              <w:rPr>
                <w:sz w:val="13"/>
                <w:szCs w:val="13"/>
                <w:color w:val="auto"/>
              </w:rPr>
            </w:pPr>
          </w:p>
        </w:tc>
        <w:tc>
          <w:tcPr>
            <w:tcW w:w="1080" w:type="dxa"/>
            <w:vAlign w:val="bottom"/>
            <w:gridSpan w:val="3"/>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13</w:t>
            </w:r>
          </w:p>
        </w:tc>
      </w:tr>
      <w:tr>
        <w:trPr>
          <w:trHeight w:val="154"/>
        </w:trPr>
        <w:tc>
          <w:tcPr>
            <w:tcW w:w="3060" w:type="dxa"/>
            <w:vAlign w:val="bottom"/>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PLAN OF DISTRIBUTION</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14</w:t>
            </w:r>
          </w:p>
        </w:tc>
      </w:tr>
      <w:tr>
        <w:trPr>
          <w:trHeight w:val="154"/>
        </w:trPr>
        <w:tc>
          <w:tcPr>
            <w:tcW w:w="1640" w:type="dxa"/>
            <w:vAlign w:val="bottom"/>
            <w:tcBorders>
              <w:top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4"/>
                <w:szCs w:val="14"/>
                <w:color w:val="0000EE"/>
              </w:rPr>
              <w:t>LEGAL MATTERS</w:t>
            </w:r>
          </w:p>
        </w:tc>
        <w:tc>
          <w:tcPr>
            <w:tcW w:w="1420" w:type="dxa"/>
            <w:vAlign w:val="bottom"/>
            <w:gridSpan w:val="6"/>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16</w:t>
            </w:r>
          </w:p>
        </w:tc>
      </w:tr>
      <w:tr>
        <w:trPr>
          <w:trHeight w:val="154"/>
        </w:trPr>
        <w:tc>
          <w:tcPr>
            <w:tcW w:w="620" w:type="dxa"/>
            <w:vAlign w:val="bottom"/>
            <w:tcBorders>
              <w:top w:val="single" w:sz="8" w:color="0000EE"/>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8"/>
              </w:rPr>
              <w:t>EXPERTS</w:t>
            </w:r>
          </w:p>
        </w:tc>
        <w:tc>
          <w:tcPr>
            <w:tcW w:w="540" w:type="dxa"/>
            <w:vAlign w:val="bottom"/>
            <w:tcBorders>
              <w:top w:val="single" w:sz="8" w:color="0000EE"/>
            </w:tcBorders>
            <w:gridSpan w:val="2"/>
          </w:tcPr>
          <w:p>
            <w:pPr>
              <w:spacing w:after="0"/>
              <w:rPr>
                <w:sz w:val="13"/>
                <w:szCs w:val="13"/>
                <w:color w:val="auto"/>
              </w:rPr>
            </w:pPr>
          </w:p>
        </w:tc>
        <w:tc>
          <w:tcPr>
            <w:tcW w:w="1900" w:type="dxa"/>
            <w:vAlign w:val="bottom"/>
            <w:gridSpan w:val="10"/>
          </w:tcPr>
          <w:p>
            <w:pPr>
              <w:spacing w:after="0"/>
              <w:rPr>
                <w:sz w:val="13"/>
                <w:szCs w:val="13"/>
                <w:color w:val="auto"/>
              </w:rPr>
            </w:pP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17</w:t>
            </w:r>
          </w:p>
        </w:tc>
      </w:tr>
      <w:tr>
        <w:trPr>
          <w:trHeight w:val="154"/>
        </w:trPr>
        <w:tc>
          <w:tcPr>
            <w:tcW w:w="3060" w:type="dxa"/>
            <w:vAlign w:val="bottom"/>
            <w:tcBorders>
              <w:bottom w:val="single" w:sz="8" w:color="0000EE"/>
            </w:tcBorders>
            <w:gridSpan w:val="13"/>
          </w:tcPr>
          <w:p>
            <w:pPr>
              <w:spacing w:after="0" w:line="154"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18</w:t>
            </w:r>
          </w:p>
        </w:tc>
      </w:tr>
    </w:tbl>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9" w:lineRule="exact"/>
        <w:rPr>
          <w:sz w:val="20"/>
          <w:szCs w:val="20"/>
          <w:color w:val="auto"/>
        </w:rPr>
      </w:pPr>
    </w:p>
    <w:p>
      <w:pPr>
        <w:ind w:left="1220" w:right="99" w:firstLine="354"/>
        <w:spacing w:after="0" w:line="265"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this prospectus, any accompanying prospectus supplement and any free writing prospectus prepared by or on behalf of us, together with the additional information described under the heading “Where You Can Find More Information.”</w:t>
      </w:r>
    </w:p>
    <w:p>
      <w:pPr>
        <w:spacing w:after="0" w:line="320" w:lineRule="exact"/>
        <w:rPr>
          <w:sz w:val="20"/>
          <w:szCs w:val="20"/>
          <w:color w:val="auto"/>
        </w:rPr>
      </w:pPr>
    </w:p>
    <w:p>
      <w:pPr>
        <w:ind w:left="1220" w:right="119" w:firstLine="354"/>
        <w:spacing w:after="0" w:line="269"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41" w:lineRule="exact"/>
        <w:rPr>
          <w:sz w:val="20"/>
          <w:szCs w:val="20"/>
          <w:color w:val="auto"/>
        </w:rPr>
      </w:pPr>
    </w:p>
    <w:p>
      <w:pPr>
        <w:ind w:left="1220" w:right="499" w:firstLine="354"/>
        <w:spacing w:after="0" w:line="300"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119" w:lineRule="exact"/>
        <w:rPr>
          <w:sz w:val="20"/>
          <w:szCs w:val="20"/>
          <w:color w:val="auto"/>
        </w:rPr>
      </w:pPr>
    </w:p>
    <w:p>
      <w:pPr>
        <w:ind w:left="1220" w:right="199" w:firstLine="354"/>
        <w:spacing w:after="0" w:line="300" w:lineRule="auto"/>
        <w:rPr>
          <w:sz w:val="20"/>
          <w:szCs w:val="20"/>
          <w:color w:val="auto"/>
        </w:rPr>
      </w:pPr>
      <w:r>
        <w:rPr>
          <w:rFonts w:ascii="Times New Roman" w:cs="Times New Roman" w:eastAsia="Times New Roman" w:hAnsi="Times New Roman"/>
          <w:sz w:val="14"/>
          <w:szCs w:val="14"/>
          <w:color w:val="auto"/>
        </w:rPr>
        <w:t>When used in this prospectus, the terms “Navient,” the “Company,” “we,” “our” and “us” refer to Navient LLC and its consolidated subsidiaries, unless otherwise specified or the context otherwise requires.</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9" w:lineRule="exact"/>
        <w:rPr>
          <w:sz w:val="20"/>
          <w:szCs w:val="20"/>
          <w:color w:val="auto"/>
        </w:rPr>
      </w:pPr>
    </w:p>
    <w:p>
      <w:pPr>
        <w:ind w:left="1220" w:right="119" w:firstLine="354"/>
        <w:spacing w:after="0" w:line="263"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information incorporated by reference herein or therein contain forward-looking statements relating to future events or our future results. These statements are forward-looking statements within the meaning of Section 27A of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and involve many risks and uncertainties that could cause our actual results to differ materially from those expressed or implied in our forward-looking statements. Such risks and uncertainties are discussed more fully under the caption “Risk Factors” included in our Annual Report on Form 10-K for the year ended December 31, 2025, and in our Quarterly Report on Form 10-Q for the fiscal quarter ended June 30, 2026, and include, but are not limited to the following:</w:t>
      </w:r>
    </w:p>
    <w:p>
      <w:pPr>
        <w:spacing w:after="0" w:line="71" w:lineRule="exact"/>
        <w:rPr>
          <w:sz w:val="20"/>
          <w:szCs w:val="20"/>
          <w:color w:val="auto"/>
        </w:rPr>
      </w:pPr>
    </w:p>
    <w:p>
      <w:pPr>
        <w:ind w:left="2000" w:right="219" w:hanging="353"/>
        <w:spacing w:after="0" w:line="300" w:lineRule="auto"/>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the potential impact of artificial intelligence, inflation and interest rates on Navient and its clients and customers and on the creditworthiness of third parties;</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defaults on education loans held by us;</w:t>
      </w:r>
    </w:p>
    <w:p>
      <w:pPr>
        <w:spacing w:after="0" w:line="110" w:lineRule="exact"/>
        <w:rPr>
          <w:rFonts w:ascii="Times New Roman" w:cs="Times New Roman" w:eastAsia="Times New Roman" w:hAnsi="Times New Roman"/>
          <w:sz w:val="14"/>
          <w:szCs w:val="14"/>
          <w:color w:val="auto"/>
        </w:rPr>
      </w:pPr>
    </w:p>
    <w:p>
      <w:pPr>
        <w:ind w:left="2000" w:right="179" w:hanging="353"/>
        <w:spacing w:after="0" w:line="269" w:lineRule="auto"/>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64"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our credit ratings;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applicable laws, rules, regulations and government policies, as well as changing regulatory and governmental oversight;</w:t>
      </w:r>
    </w:p>
    <w:p>
      <w:pPr>
        <w:spacing w:after="0" w:line="110" w:lineRule="exact"/>
        <w:rPr>
          <w:rFonts w:ascii="Times New Roman" w:cs="Times New Roman" w:eastAsia="Times New Roman" w:hAnsi="Times New Roman"/>
          <w:sz w:val="14"/>
          <w:szCs w:val="14"/>
          <w:color w:val="auto"/>
        </w:rPr>
      </w:pPr>
    </w:p>
    <w:p>
      <w:pPr>
        <w:ind w:left="2000" w:right="379" w:hanging="353"/>
        <w:spacing w:after="0" w:line="300" w:lineRule="auto"/>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characteristics of our assets do not always match those of our funding arrangements;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conditions or an inability to effectively manage our liquidity risk or access liquidity could negatively impact us;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availability of funding in the capital markets;</w:t>
      </w:r>
    </w:p>
    <w:p>
      <w:pPr>
        <w:spacing w:after="0" w:line="110" w:lineRule="exact"/>
        <w:rPr>
          <w:rFonts w:ascii="Times New Roman" w:cs="Times New Roman" w:eastAsia="Times New Roman" w:hAnsi="Times New Roman"/>
          <w:sz w:val="14"/>
          <w:szCs w:val="14"/>
          <w:color w:val="auto"/>
        </w:rPr>
      </w:pPr>
    </w:p>
    <w:p>
      <w:pPr>
        <w:ind w:left="2000" w:right="159" w:hanging="353"/>
        <w:spacing w:after="0" w:line="300" w:lineRule="auto"/>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earn Floor Income (as defined in our Annual Report on Form 10-K for the year ended December 31, 2025) and our ability to enter into hedges relative to that Floor Income are dependent on the future interest rate environment and therefore are variable;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derivatives exposes us to credit and market risk;</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continually and effectively align our cost structure with our business operations;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or breach of our operating systems, infrastructure or information technology systems;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any third party providing us material services or products or a breach or violation of law by one of these third parties;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new products, strategic initiatives and investments or divestitures that we pursue;</w:t>
      </w:r>
    </w:p>
    <w:p>
      <w:pPr>
        <w:spacing w:after="0" w:line="1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hanging="353"/>
        <w:spacing w:after="0"/>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activism;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risk and social factors.</w:t>
      </w:r>
    </w:p>
    <w:p>
      <w:pPr>
        <w:spacing w:after="0" w:line="187" w:lineRule="exact"/>
        <w:rPr>
          <w:sz w:val="20"/>
          <w:szCs w:val="20"/>
          <w:color w:val="auto"/>
        </w:rPr>
      </w:pPr>
    </w:p>
    <w:p>
      <w:pPr>
        <w:ind w:left="1220" w:right="119" w:firstLine="354"/>
        <w:spacing w:after="0" w:line="273" w:lineRule="auto"/>
        <w:rPr>
          <w:sz w:val="20"/>
          <w:szCs w:val="20"/>
          <w:color w:val="auto"/>
        </w:rPr>
      </w:pPr>
      <w:r>
        <w:rPr>
          <w:rFonts w:ascii="Times New Roman" w:cs="Times New Roman" w:eastAsia="Times New Roman" w:hAnsi="Times New Roman"/>
          <w:sz w:val="14"/>
          <w:szCs w:val="14"/>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are qualified by these cautionary statements and are made only as of the date of this document. We do not undertake any obligation to update or revise these forward-looking statements except as required by law.</w:t>
      </w:r>
    </w:p>
    <w:p>
      <w:pPr>
        <w:spacing w:after="0" w:line="136" w:lineRule="exact"/>
        <w:rPr>
          <w:sz w:val="20"/>
          <w:szCs w:val="20"/>
          <w:color w:val="auto"/>
        </w:rPr>
      </w:pPr>
    </w:p>
    <w:p>
      <w:pPr>
        <w:ind w:left="1220" w:right="159" w:firstLine="354"/>
        <w:spacing w:after="0" w:line="269" w:lineRule="auto"/>
        <w:rPr>
          <w:sz w:val="20"/>
          <w:szCs w:val="20"/>
          <w:color w:val="auto"/>
        </w:rPr>
      </w:pPr>
      <w:r>
        <w:rPr>
          <w:rFonts w:ascii="Times New Roman" w:cs="Times New Roman" w:eastAsia="Times New Roman" w:hAnsi="Times New Roman"/>
          <w:sz w:val="14"/>
          <w:szCs w:val="14"/>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in our Annual Report on Form 10-K for the year ended December 31, 2025, our Quarterly Report on Form 10-Q for the fiscal quarter ended June 30, 2026, and subsequent reports and registration statements filed from time to time with the SEC.</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ABOUT NAVIENT LLC</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Navient LLC provides technology-enabled education finance solutions that help millions of people achieve success.</w:t>
      </w:r>
    </w:p>
    <w:p>
      <w:pPr>
        <w:spacing w:after="0" w:line="187" w:lineRule="exact"/>
        <w:rPr>
          <w:sz w:val="20"/>
          <w:szCs w:val="20"/>
          <w:color w:val="auto"/>
        </w:rPr>
      </w:pPr>
    </w:p>
    <w:p>
      <w:pPr>
        <w:jc w:val="both"/>
        <w:ind w:left="1220" w:right="79" w:firstLine="354"/>
        <w:spacing w:after="0" w:line="279" w:lineRule="auto"/>
        <w:rPr>
          <w:sz w:val="20"/>
          <w:szCs w:val="20"/>
          <w:color w:val="auto"/>
        </w:rPr>
      </w:pPr>
      <w:r>
        <w:rPr>
          <w:rFonts w:ascii="Times New Roman" w:cs="Times New Roman" w:eastAsia="Times New Roman" w:hAnsi="Times New Roman"/>
          <w:sz w:val="14"/>
          <w:szCs w:val="14"/>
          <w:color w:val="auto"/>
        </w:rPr>
        <w:t>Our principal executive offices are located at 13865 Sunrise Valley Drive, Herndon, Virginia 20171. Our telephone number is (302) 283-8000. Our website address is www.navient.com. Information on, or accessible through, our website does not constitute part of this prospectus or any accompanying prospectus supplement.</w:t>
      </w:r>
    </w:p>
    <w:p>
      <w:pPr>
        <w:spacing w:after="0" w:line="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9" w:lineRule="exact"/>
        <w:rPr>
          <w:sz w:val="20"/>
          <w:szCs w:val="20"/>
          <w:color w:val="auto"/>
        </w:rPr>
      </w:pPr>
    </w:p>
    <w:p>
      <w:pPr>
        <w:ind w:left="1220" w:right="339" w:firstLine="354"/>
        <w:spacing w:after="0" w:line="267" w:lineRule="auto"/>
        <w:rPr>
          <w:sz w:val="20"/>
          <w:szCs w:val="20"/>
          <w:color w:val="auto"/>
        </w:rPr>
      </w:pPr>
      <w:r>
        <w:rPr>
          <w:rFonts w:ascii="Times New Roman" w:cs="Times New Roman" w:eastAsia="Times New Roman" w:hAnsi="Times New Roman"/>
          <w:sz w:val="14"/>
          <w:szCs w:val="14"/>
          <w:color w:val="auto"/>
        </w:rPr>
        <w:t>Investing in our securities involves risk. Before you decide to invest in our securities, you should carefully consider the specific risks set forth under the caption “Risk Factors” included in our most recent, and subsequent, Annual Reports on Form 10-K, in our most recent, and subsequent, Quarterly Reports on Form 10-Q and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9" w:lineRule="exact"/>
        <w:rPr>
          <w:sz w:val="20"/>
          <w:szCs w:val="20"/>
          <w:color w:val="auto"/>
        </w:rPr>
      </w:pPr>
    </w:p>
    <w:p>
      <w:pPr>
        <w:ind w:left="1220" w:right="539" w:firstLine="354"/>
        <w:spacing w:after="0" w:line="300"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and debt repurchases.</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WE MAY OFFER</w:t>
      </w:r>
    </w:p>
    <w:p>
      <w:pPr>
        <w:spacing w:after="0" w:line="189" w:lineRule="exact"/>
        <w:rPr>
          <w:sz w:val="20"/>
          <w:szCs w:val="20"/>
          <w:color w:val="auto"/>
        </w:rPr>
      </w:pPr>
    </w:p>
    <w:p>
      <w:pPr>
        <w:ind w:left="1220" w:right="219" w:firstLine="354"/>
        <w:spacing w:after="0" w:line="279" w:lineRule="auto"/>
        <w:rPr>
          <w:sz w:val="20"/>
          <w:szCs w:val="20"/>
          <w:color w:val="auto"/>
        </w:rPr>
      </w:pPr>
      <w:r>
        <w:rPr>
          <w:rFonts w:ascii="Times New Roman" w:cs="Times New Roman" w:eastAsia="Times New Roman" w:hAnsi="Times New Roman"/>
          <w:sz w:val="14"/>
          <w:szCs w:val="14"/>
          <w:color w:val="auto"/>
        </w:rPr>
        <w:t>This prospectus contains summary descriptions of the debt securities, warrants and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9" w:lineRule="exact"/>
        <w:rPr>
          <w:sz w:val="20"/>
          <w:szCs w:val="20"/>
          <w:color w:val="auto"/>
        </w:rPr>
      </w:pPr>
    </w:p>
    <w:p>
      <w:pPr>
        <w:ind w:left="1220" w:right="199" w:firstLine="354"/>
        <w:spacing w:after="0" w:line="300"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subordinated or junior subordinated, and which may be convertible into another security.</w:t>
      </w:r>
    </w:p>
    <w:p>
      <w:pPr>
        <w:spacing w:after="0" w:line="119" w:lineRule="exact"/>
        <w:rPr>
          <w:sz w:val="20"/>
          <w:szCs w:val="20"/>
          <w:color w:val="auto"/>
        </w:rPr>
      </w:pPr>
    </w:p>
    <w:p>
      <w:pPr>
        <w:ind w:left="1220" w:right="159" w:firstLine="354"/>
        <w:spacing w:after="0" w:line="264"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either an indenture between us and The Bank of New York Mellon, as trustee, dated as of July 18, 2014 (the “2014 Senior Indenture”), or an indenture between us (as successor to SLM Corporation and USA Education, Inc.) and The Bank of New York Mellon (as successor to J.P. Morgan Chase Bank, National Association, formerly Chase Manhattan Bank), dated as of October 1, 2000 (the “2000 Senior Indenture” and, together with the 2014 Senior Indenture, the “indentures”). The terms of the debt securities will include those set forth in the applicable indenture and those made a part of such indenture by the Trust Indenture Act of 1939, as amended (the “TIA”). You should read the summary below, any accompanying prospectus supplement and the provisions of the indentures and supplemental indenture, if any, in their entirety before investing in our debt securities.</w:t>
      </w:r>
    </w:p>
    <w:p>
      <w:pPr>
        <w:spacing w:after="0" w:line="318" w:lineRule="exact"/>
        <w:rPr>
          <w:sz w:val="20"/>
          <w:szCs w:val="20"/>
          <w:color w:val="auto"/>
        </w:rPr>
      </w:pPr>
    </w:p>
    <w:p>
      <w:pPr>
        <w:ind w:left="1220" w:right="139" w:firstLine="354"/>
        <w:spacing w:after="0" w:line="300"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indentures is unlimited. The prospectus supplement relating to any series of debt securities that we may offer will contain the specific terms of that series of debt securities.</w:t>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Debt Securities Issued Under the 2014 Senior Indenture</w:t>
      </w:r>
    </w:p>
    <w:p>
      <w:pPr>
        <w:spacing w:after="0" w:line="102" w:lineRule="exact"/>
        <w:rPr>
          <w:sz w:val="20"/>
          <w:szCs w:val="20"/>
          <w:color w:val="auto"/>
        </w:rPr>
      </w:pPr>
    </w:p>
    <w:p>
      <w:pPr>
        <w:ind w:left="1220" w:right="579" w:firstLine="354"/>
        <w:spacing w:after="0" w:line="300" w:lineRule="auto"/>
        <w:rPr>
          <w:sz w:val="20"/>
          <w:szCs w:val="20"/>
          <w:color w:val="auto"/>
        </w:rPr>
      </w:pPr>
      <w:r>
        <w:rPr>
          <w:rFonts w:ascii="Times New Roman" w:cs="Times New Roman" w:eastAsia="Times New Roman" w:hAnsi="Times New Roman"/>
          <w:sz w:val="14"/>
          <w:szCs w:val="14"/>
          <w:color w:val="auto"/>
        </w:rPr>
        <w:t>With respect to debt securities issued under the 2014 Senior Indenture, authorizing resolutions, a written company order or a supplemental indenture will set forth the specific terms of each series of debt securities. These terms may include, among others, the following:</w:t>
      </w:r>
    </w:p>
    <w:p>
      <w:pPr>
        <w:spacing w:after="0" w:line="43" w:lineRule="exact"/>
        <w:rPr>
          <w:sz w:val="20"/>
          <w:szCs w:val="20"/>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subordinated and any applicable subordination provisions;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110" w:lineRule="exact"/>
        <w:rPr>
          <w:rFonts w:ascii="Times New Roman" w:cs="Times New Roman" w:eastAsia="Times New Roman" w:hAnsi="Times New Roman"/>
          <w:sz w:val="14"/>
          <w:szCs w:val="14"/>
          <w:color w:val="auto"/>
        </w:rPr>
      </w:pPr>
    </w:p>
    <w:p>
      <w:pPr>
        <w:ind w:left="2000" w:right="25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110" w:lineRule="exact"/>
        <w:rPr>
          <w:rFonts w:ascii="Times New Roman" w:cs="Times New Roman" w:eastAsia="Times New Roman" w:hAnsi="Times New Roman"/>
          <w:sz w:val="14"/>
          <w:szCs w:val="14"/>
          <w:color w:val="auto"/>
        </w:rPr>
      </w:pPr>
    </w:p>
    <w:p>
      <w:pPr>
        <w:ind w:left="2000" w:right="9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110" w:lineRule="exact"/>
        <w:rPr>
          <w:rFonts w:ascii="Times New Roman" w:cs="Times New Roman" w:eastAsia="Times New Roman" w:hAnsi="Times New Roman"/>
          <w:sz w:val="14"/>
          <w:szCs w:val="14"/>
          <w:color w:val="auto"/>
        </w:rPr>
      </w:pPr>
    </w:p>
    <w:p>
      <w:pPr>
        <w:ind w:left="2000" w:right="47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to or changes in the covenants that apply to such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110" w:lineRule="exact"/>
        <w:rPr>
          <w:rFonts w:ascii="Times New Roman" w:cs="Times New Roman" w:eastAsia="Times New Roman" w:hAnsi="Times New Roman"/>
          <w:sz w:val="14"/>
          <w:szCs w:val="14"/>
          <w:color w:val="auto"/>
        </w:rPr>
      </w:pPr>
    </w:p>
    <w:p>
      <w:pPr>
        <w:ind w:left="2000" w:right="219" w:hanging="353"/>
        <w:spacing w:after="0" w:line="300" w:lineRule="auto"/>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42" w:lineRule="exact"/>
        <w:rPr>
          <w:rFonts w:ascii="Times New Roman" w:cs="Times New Roman" w:eastAsia="Times New Roman" w:hAnsi="Times New Roman"/>
          <w:sz w:val="14"/>
          <w:szCs w:val="14"/>
          <w:color w:val="auto"/>
        </w:rPr>
      </w:pPr>
    </w:p>
    <w:p>
      <w:pPr>
        <w:ind w:left="2000" w:right="259" w:hanging="353"/>
        <w:spacing w:after="0" w:line="300" w:lineRule="auto"/>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can select the payment currency;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110" w:lineRule="exact"/>
        <w:rPr>
          <w:rFonts w:ascii="Times New Roman" w:cs="Times New Roman" w:eastAsia="Times New Roman" w:hAnsi="Times New Roman"/>
          <w:sz w:val="14"/>
          <w:szCs w:val="14"/>
          <w:color w:val="auto"/>
        </w:rPr>
      </w:pPr>
    </w:p>
    <w:p>
      <w:pPr>
        <w:ind w:left="2000" w:right="219" w:hanging="353"/>
        <w:spacing w:after="0" w:line="300" w:lineRule="auto"/>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to the provisions for the defeasance of the debt securities or to provisions related to satisfaction and discharge of the indenture;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under the indenture and the execution of supplemental indentures for such series; and</w:t>
      </w:r>
    </w:p>
    <w:p>
      <w:pPr>
        <w:spacing w:after="0" w:line="110" w:lineRule="exact"/>
        <w:rPr>
          <w:rFonts w:ascii="Times New Roman" w:cs="Times New Roman" w:eastAsia="Times New Roman" w:hAnsi="Times New Roman"/>
          <w:sz w:val="14"/>
          <w:szCs w:val="14"/>
          <w:color w:val="auto"/>
        </w:rPr>
      </w:pPr>
    </w:p>
    <w:p>
      <w:pPr>
        <w:ind w:left="2000" w:right="519" w:hanging="353"/>
        <w:spacing w:after="0" w:line="300" w:lineRule="auto"/>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Debt Securities Issued Under the 2000 Senior Indenture</w:t>
      </w:r>
    </w:p>
    <w:p>
      <w:pPr>
        <w:spacing w:after="0" w:line="102" w:lineRule="exact"/>
        <w:rPr>
          <w:sz w:val="20"/>
          <w:szCs w:val="20"/>
          <w:color w:val="auto"/>
        </w:rPr>
      </w:pPr>
    </w:p>
    <w:p>
      <w:pPr>
        <w:ind w:left="1220" w:right="279" w:firstLine="354"/>
        <w:spacing w:after="0" w:line="300" w:lineRule="auto"/>
        <w:rPr>
          <w:sz w:val="20"/>
          <w:szCs w:val="20"/>
          <w:color w:val="auto"/>
        </w:rPr>
      </w:pPr>
      <w:r>
        <w:rPr>
          <w:rFonts w:ascii="Times New Roman" w:cs="Times New Roman" w:eastAsia="Times New Roman" w:hAnsi="Times New Roman"/>
          <w:sz w:val="14"/>
          <w:szCs w:val="14"/>
          <w:color w:val="auto"/>
        </w:rPr>
        <w:t>With respect to debt securities issued under the 2000 Senior Indenture, authorizing resolutions, a certificate or a supplemental indenture will set forth the specific terms of each series of debt securities. These terms may include, among others, the following:</w:t>
      </w:r>
    </w:p>
    <w:p>
      <w:pPr>
        <w:spacing w:after="0" w:line="43" w:lineRule="exact"/>
        <w:rPr>
          <w:sz w:val="20"/>
          <w:szCs w:val="20"/>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their CUSIP and ISIN numbers, as applicable;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series of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and premium, if any, of the debt securities will be payable;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will bear interest:</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 debt securities or the method by which the interest rate may be determined;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interest will accrue;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and interest payment dates for the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circumstances under which we may defer interest payments; and</w:t>
      </w:r>
    </w:p>
    <w:p>
      <w:pPr>
        <w:spacing w:after="0" w:line="110" w:lineRule="exact"/>
        <w:rPr>
          <w:rFonts w:ascii="Times New Roman" w:cs="Times New Roman" w:eastAsia="Times New Roman" w:hAnsi="Times New Roman"/>
          <w:sz w:val="14"/>
          <w:szCs w:val="14"/>
          <w:color w:val="auto"/>
        </w:rPr>
      </w:pPr>
    </w:p>
    <w:p>
      <w:pPr>
        <w:ind w:left="5600" w:right="1339" w:hanging="3953"/>
        <w:spacing w:after="0" w:line="359" w:lineRule="auto"/>
        <w:tabs>
          <w:tab w:leader="none" w:pos="198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shall be calculated if other than on the basis of a 360-day year of twelve 30-day months; 9</w:t>
      </w:r>
    </w:p>
    <w:p>
      <w:pPr>
        <w:sectPr>
          <w:pgSz w:w="11900" w:h="16838" w:orient="portrait"/>
          <w:cols w:equalWidth="0" w:num="1">
            <w:col w:w="10159"/>
          </w:cols>
          <w:pgMar w:left="300" w:top="39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make payments on the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can be surrendered for registration of transfer or exchange; and</w:t>
      </w:r>
    </w:p>
    <w:p>
      <w:pPr>
        <w:spacing w:after="0" w:line="110" w:lineRule="exact"/>
        <w:rPr>
          <w:rFonts w:ascii="Times New Roman" w:cs="Times New Roman" w:eastAsia="Times New Roman" w:hAnsi="Times New Roman"/>
          <w:sz w:val="14"/>
          <w:szCs w:val="14"/>
          <w:color w:val="auto"/>
        </w:rPr>
      </w:pPr>
    </w:p>
    <w:p>
      <w:pPr>
        <w:ind w:left="2000" w:right="39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and demands can be given to us relating to the debt securities and under the applicable indenture, and where notices to holders pursuant to the applicable indenture will be published;</w:t>
      </w:r>
    </w:p>
    <w:p>
      <w:pPr>
        <w:spacing w:after="0" w:line="42" w:lineRule="exact"/>
        <w:rPr>
          <w:rFonts w:ascii="Times New Roman" w:cs="Times New Roman" w:eastAsia="Times New Roman" w:hAnsi="Times New Roman"/>
          <w:sz w:val="14"/>
          <w:szCs w:val="14"/>
          <w:color w:val="auto"/>
        </w:rPr>
      </w:pPr>
    </w:p>
    <w:p>
      <w:pPr>
        <w:ind w:left="2000" w:right="15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 that would permit us or the holders of debt securities to elect to redeem the debt securities before their final maturity;</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features;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provisions that would obligate us to redeem the debt securities;</w:t>
      </w:r>
    </w:p>
    <w:p>
      <w:pPr>
        <w:spacing w:after="0" w:line="110" w:lineRule="exact"/>
        <w:rPr>
          <w:rFonts w:ascii="Times New Roman" w:cs="Times New Roman" w:eastAsia="Times New Roman" w:hAnsi="Times New Roman"/>
          <w:sz w:val="14"/>
          <w:szCs w:val="14"/>
          <w:color w:val="auto"/>
        </w:rPr>
      </w:pPr>
    </w:p>
    <w:p>
      <w:pPr>
        <w:ind w:left="2000" w:right="199" w:hanging="353"/>
        <w:spacing w:after="0" w:line="269"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are to be issuable as registered securities, bearer securities or both, whether debt securities are to be issuable with or without coupons or both and, if issuable as bearer securities, the date as of which the bearer securities will be dated (if other than the date of original issuance of the first debt security of that series of like tenor and term to be issued and any restrictions applicable to the offering, sale or delivery of bearer securities and whether, and the terms upon which, bearer securities of a series may be exchanged for registered securities of the same series and vice versa);</w:t>
      </w:r>
    </w:p>
    <w:p>
      <w:pPr>
        <w:spacing w:after="0" w:line="64" w:lineRule="exact"/>
        <w:rPr>
          <w:rFonts w:ascii="Times New Roman" w:cs="Times New Roman" w:eastAsia="Times New Roman" w:hAnsi="Times New Roman"/>
          <w:sz w:val="14"/>
          <w:szCs w:val="14"/>
          <w:color w:val="auto"/>
        </w:rPr>
      </w:pPr>
    </w:p>
    <w:p>
      <w:pPr>
        <w:ind w:left="2000" w:right="53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all or part of the debt securities will be issued in whole or in part as temporary or permanent global securities and, if so, the depositary for those global securities and a description of any book-entry procedures relating to the global securities;</w:t>
      </w:r>
    </w:p>
    <w:p>
      <w:pPr>
        <w:spacing w:after="0" w:line="42" w:lineRule="exact"/>
        <w:rPr>
          <w:rFonts w:ascii="Times New Roman" w:cs="Times New Roman" w:eastAsia="Times New Roman" w:hAnsi="Times New Roman"/>
          <w:sz w:val="14"/>
          <w:szCs w:val="14"/>
          <w:color w:val="auto"/>
        </w:rPr>
      </w:pPr>
    </w:p>
    <w:p>
      <w:pPr>
        <w:ind w:left="2000" w:right="19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temporary global securities, any special provisions dealing with the payment of interest and any terms relating to the ability to exchange interests in a temporary global security for interests in a permanent global security or for definitive debt securities;</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$1,000 or an integral multiple of $1,000;</w:t>
      </w:r>
    </w:p>
    <w:p>
      <w:pPr>
        <w:spacing w:after="0" w:line="110" w:lineRule="exact"/>
        <w:rPr>
          <w:rFonts w:ascii="Times New Roman" w:cs="Times New Roman" w:eastAsia="Times New Roman" w:hAnsi="Times New Roman"/>
          <w:sz w:val="14"/>
          <w:szCs w:val="14"/>
          <w:color w:val="auto"/>
        </w:rPr>
      </w:pPr>
    </w:p>
    <w:p>
      <w:pPr>
        <w:ind w:left="2000" w:right="17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debt securities payable upon a declaration of acceleration of maturity, if other than the full principal amount;</w:t>
      </w:r>
    </w:p>
    <w:p>
      <w:pPr>
        <w:spacing w:after="0" w:line="42" w:lineRule="exact"/>
        <w:rPr>
          <w:rFonts w:ascii="Times New Roman" w:cs="Times New Roman" w:eastAsia="Times New Roman" w:hAnsi="Times New Roman"/>
          <w:sz w:val="14"/>
          <w:szCs w:val="14"/>
          <w:color w:val="auto"/>
        </w:rPr>
      </w:pPr>
    </w:p>
    <w:p>
      <w:pPr>
        <w:ind w:left="2000" w:right="25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debt securities will be denominated and payable and, if a composite currency, any related special provisions;</w:t>
      </w:r>
    </w:p>
    <w:p>
      <w:pPr>
        <w:spacing w:after="0" w:line="42" w:lineRule="exact"/>
        <w:rPr>
          <w:rFonts w:ascii="Times New Roman" w:cs="Times New Roman" w:eastAsia="Times New Roman" w:hAnsi="Times New Roman"/>
          <w:sz w:val="14"/>
          <w:szCs w:val="14"/>
          <w:color w:val="auto"/>
        </w:rPr>
      </w:pPr>
    </w:p>
    <w:p>
      <w:pPr>
        <w:ind w:left="2000" w:right="51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circumstances under which the debt securities may be paid in a currency other than the currency in which the debt securities are denominated and any related provisions;</w:t>
      </w:r>
    </w:p>
    <w:p>
      <w:pPr>
        <w:spacing w:after="0" w:line="42" w:lineRule="exact"/>
        <w:rPr>
          <w:rFonts w:ascii="Times New Roman" w:cs="Times New Roman" w:eastAsia="Times New Roman" w:hAnsi="Times New Roman"/>
          <w:sz w:val="14"/>
          <w:szCs w:val="14"/>
          <w:color w:val="auto"/>
        </w:rPr>
      </w:pPr>
    </w:p>
    <w:p>
      <w:pPr>
        <w:ind w:left="2000" w:right="9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principal, premium and interest on debt securities will be determined if they are determined with reference to an index based upon a currency or currencies other than that in which the debt securities are denominated or payable;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that will apply to the debt securities in addition to those contained in the applicable indenture;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issue of debt securities may be “reopened” by offering additional securities with substantially the same terms;</w:t>
      </w:r>
    </w:p>
    <w:p>
      <w:pPr>
        <w:spacing w:after="0" w:line="110" w:lineRule="exact"/>
        <w:rPr>
          <w:rFonts w:ascii="Times New Roman" w:cs="Times New Roman" w:eastAsia="Times New Roman" w:hAnsi="Times New Roman"/>
          <w:sz w:val="14"/>
          <w:szCs w:val="14"/>
          <w:color w:val="auto"/>
        </w:rPr>
      </w:pPr>
    </w:p>
    <w:p>
      <w:pPr>
        <w:ind w:left="2000" w:right="699" w:hanging="353"/>
        <w:spacing w:after="0" w:line="300"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covenants contained in the applicable indenture and the ability, if any, of the holders to waive our compliance with those additional or changed covenants;</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provisions in the 2000 Senior Indenture relating to defeasance apply to the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security registrar and paying agent for the debt securities if other than the applicable trustee;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02" w:lineRule="exact"/>
        <w:rPr>
          <w:sz w:val="20"/>
          <w:szCs w:val="20"/>
          <w:color w:val="auto"/>
        </w:rPr>
      </w:pPr>
    </w:p>
    <w:p>
      <w:pPr>
        <w:ind w:left="1220" w:right="159" w:firstLine="354"/>
        <w:spacing w:after="0" w:line="273"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36" w:lineRule="exact"/>
        <w:rPr>
          <w:sz w:val="20"/>
          <w:szCs w:val="20"/>
          <w:color w:val="auto"/>
        </w:rPr>
      </w:pPr>
    </w:p>
    <w:p>
      <w:pPr>
        <w:ind w:left="1220" w:right="99" w:firstLine="354"/>
        <w:spacing w:after="0" w:line="266"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41" w:lineRule="exact"/>
        <w:rPr>
          <w:sz w:val="20"/>
          <w:szCs w:val="20"/>
          <w:color w:val="auto"/>
        </w:rPr>
      </w:pPr>
    </w:p>
    <w:p>
      <w:pPr>
        <w:ind w:left="1220" w:right="839" w:firstLine="354"/>
        <w:spacing w:after="0" w:line="300"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119" w:lineRule="exact"/>
        <w:rPr>
          <w:sz w:val="20"/>
          <w:szCs w:val="20"/>
          <w:color w:val="auto"/>
        </w:rPr>
      </w:pPr>
    </w:p>
    <w:p>
      <w:pPr>
        <w:ind w:left="1220" w:right="179" w:firstLine="354"/>
        <w:spacing w:after="0" w:line="273"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indentures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02" w:lineRule="exact"/>
        <w:rPr>
          <w:sz w:val="20"/>
          <w:szCs w:val="20"/>
          <w:color w:val="auto"/>
        </w:rPr>
      </w:pPr>
    </w:p>
    <w:p>
      <w:pPr>
        <w:ind w:left="1220" w:right="119" w:firstLine="354"/>
        <w:spacing w:after="0" w:line="263" w:lineRule="auto"/>
        <w:rPr>
          <w:sz w:val="20"/>
          <w:szCs w:val="20"/>
          <w:color w:val="auto"/>
        </w:rPr>
      </w:pPr>
      <w:r>
        <w:rPr>
          <w:rFonts w:ascii="Times New Roman" w:cs="Times New Roman" w:eastAsia="Times New Roman" w:hAnsi="Times New Roman"/>
          <w:sz w:val="14"/>
          <w:szCs w:val="14"/>
          <w:color w:val="auto"/>
        </w:rPr>
        <w:t>With respect to debt securities issued under the 2014 Senior Indenture, unless we inform you otherwise in an accompanying prospectus supplement, the debt securities of a series may be issued in whole or in part in the form of one or more global securities that will be deposited with, or on behalf of, a depositary identified in the accompanying prospectus supplement. With respect to debt securities issued under the 2000 Senior Indenture, we may issue debt securities of a series, in whole or in part, in the form of one or more global securities, registered in the name of Cede &amp; Co., the nominee of The Depository Trust Company, New York, New York, unless the accompanying prospectus supplement or pricing supplement describes another depositary or states that no global securities will be issued. With respect to debt securities issued under the 2014 Senior Indenture, global securities will be issued in registered form and in either temporary or definitive form. With respect to debt securities issued under the 2000 Senior Indenture, such debt securities will be issued in temporary or definitive form, and unless we indicate otherwise in the accompanying prospectus supplement, we will issue debt securities only as registered securities.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0" w:lineRule="exact"/>
        <w:rPr>
          <w:sz w:val="20"/>
          <w:szCs w:val="20"/>
          <w:color w:val="auto"/>
        </w:rPr>
      </w:pP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indentures and the debt securities shall be construed in accordance with and governed by the laws of the State of New York.</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issue warrants for the purchase of debt securities or units.</w:t>
      </w:r>
    </w:p>
    <w:p>
      <w:pPr>
        <w:spacing w:after="0" w:line="187" w:lineRule="exact"/>
        <w:rPr>
          <w:sz w:val="20"/>
          <w:szCs w:val="20"/>
          <w:color w:val="auto"/>
        </w:rPr>
      </w:pPr>
    </w:p>
    <w:p>
      <w:pPr>
        <w:ind w:left="1220" w:right="159" w:firstLine="354"/>
        <w:spacing w:after="0" w:line="273" w:lineRule="auto"/>
        <w:rPr>
          <w:sz w:val="20"/>
          <w:szCs w:val="20"/>
          <w:color w:val="auto"/>
        </w:rPr>
      </w:pPr>
      <w:r>
        <w:rPr>
          <w:rFonts w:ascii="Times New Roman" w:cs="Times New Roman" w:eastAsia="Times New Roman" w:hAnsi="Times New Roman"/>
          <w:sz w:val="14"/>
          <w:szCs w:val="14"/>
          <w:color w:val="auto"/>
        </w:rPr>
        <w:t>Warrants may be issued independently or together with debt securities and may be attached to or separate from any offered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111" w:lineRule="exact"/>
        <w:rPr>
          <w:sz w:val="20"/>
          <w:szCs w:val="20"/>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110" w:lineRule="exact"/>
        <w:rPr>
          <w:rFonts w:ascii="Times New Roman" w:cs="Times New Roman" w:eastAsia="Times New Roman" w:hAnsi="Times New Roman"/>
          <w:sz w:val="14"/>
          <w:szCs w:val="14"/>
          <w:color w:val="auto"/>
        </w:rPr>
      </w:pPr>
    </w:p>
    <w:p>
      <w:pPr>
        <w:ind w:left="2000" w:right="119" w:hanging="353"/>
        <w:spacing w:after="0" w:line="293" w:lineRule="auto"/>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226"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units of securities, the type, number and terms of the units;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purchasable upon exercise of the warrants and the price at which you may purchase units upon exercise;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during which you may exercise the warrants;</w:t>
      </w:r>
    </w:p>
    <w:p>
      <w:pPr>
        <w:spacing w:after="0" w:line="110" w:lineRule="exact"/>
        <w:rPr>
          <w:rFonts w:ascii="Times New Roman" w:cs="Times New Roman" w:eastAsia="Times New Roman" w:hAnsi="Times New Roman"/>
          <w:sz w:val="14"/>
          <w:szCs w:val="14"/>
          <w:color w:val="auto"/>
        </w:rPr>
      </w:pPr>
    </w:p>
    <w:p>
      <w:pPr>
        <w:ind w:left="2000" w:right="199" w:hanging="353"/>
        <w:spacing w:after="0" w:line="300" w:lineRule="auto"/>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adjusting the securities that may be purchased on exercise of the warrants, and the exercise price of the warrants, to prevent dilution or otherwise;</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warrants can be presented for exercise or for registration of transfer or exchange;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1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exercise price for warrants will be subject to adjustment as described in the prospectus supplement for those warrants.</w:t>
      </w:r>
    </w:p>
    <w:p>
      <w:pPr>
        <w:spacing w:after="0" w:line="187" w:lineRule="exact"/>
        <w:rPr>
          <w:sz w:val="20"/>
          <w:szCs w:val="20"/>
          <w:color w:val="auto"/>
        </w:rPr>
      </w:pPr>
    </w:p>
    <w:p>
      <w:pPr>
        <w:ind w:left="1220" w:right="179" w:firstLine="354"/>
        <w:spacing w:after="0" w:line="279" w:lineRule="auto"/>
        <w:rPr>
          <w:sz w:val="20"/>
          <w:szCs w:val="20"/>
          <w:color w:val="auto"/>
        </w:rPr>
      </w:pPr>
      <w:r>
        <w:rPr>
          <w:rFonts w:ascii="Times New Roman" w:cs="Times New Roman" w:eastAsia="Times New Roman" w:hAnsi="Times New Roman"/>
          <w:sz w:val="14"/>
          <w:szCs w:val="14"/>
          <w:color w:val="auto"/>
        </w:rPr>
        <w:t>Prior to the exercise of any warrants to purchase debt securities, holders of the warrants will not have any of the rights of holders of the securities purchasable upon exercise, including the right to receive payments of principal of or any premium or interest on the debt securities purchasable upon exercise, or to enforce covenants in the applicable indenture.</w:t>
      </w:r>
    </w:p>
    <w:p>
      <w:pPr>
        <w:spacing w:after="0" w:line="134" w:lineRule="exact"/>
        <w:rPr>
          <w:sz w:val="20"/>
          <w:szCs w:val="20"/>
          <w:color w:val="auto"/>
        </w:rPr>
      </w:pPr>
    </w:p>
    <w:p>
      <w:pPr>
        <w:jc w:val="both"/>
        <w:ind w:left="1220" w:right="199" w:firstLine="354"/>
        <w:spacing w:after="0" w:line="273"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89" w:lineRule="exact"/>
        <w:rPr>
          <w:sz w:val="20"/>
          <w:szCs w:val="20"/>
          <w:color w:val="auto"/>
        </w:rPr>
      </w:pPr>
    </w:p>
    <w:p>
      <w:pPr>
        <w:ind w:left="1220" w:right="419" w:firstLine="354"/>
        <w:spacing w:after="0" w:line="300" w:lineRule="auto"/>
        <w:rPr>
          <w:sz w:val="20"/>
          <w:szCs w:val="20"/>
          <w:color w:val="auto"/>
        </w:rPr>
      </w:pPr>
      <w:r>
        <w:rPr>
          <w:rFonts w:ascii="Times New Roman" w:cs="Times New Roman" w:eastAsia="Times New Roman" w:hAnsi="Times New Roman"/>
          <w:sz w:val="14"/>
          <w:szCs w:val="14"/>
          <w:color w:val="auto"/>
        </w:rPr>
        <w:t>We may issue units consisting of debt securities and warrants, or a combination of those securities. The prospectus supplement relating to the offering of such units will describe their terms, including the following:</w:t>
      </w:r>
    </w:p>
    <w:p>
      <w:pPr>
        <w:spacing w:after="0" w:line="43" w:lineRule="exact"/>
        <w:rPr>
          <w:sz w:val="20"/>
          <w:szCs w:val="20"/>
          <w:color w:val="auto"/>
        </w:rPr>
      </w:pPr>
    </w:p>
    <w:p>
      <w:pPr>
        <w:ind w:left="2000" w:right="79" w:hanging="353"/>
        <w:spacing w:after="0" w:line="300"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each of the securities included in the units, including whether and under what circumstances the securities included in the units may or may not be traded separately;</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unit agreement governing the units;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the payment, settlement, transfer or exchange of the units.</w:t>
      </w:r>
    </w:p>
    <w:p>
      <w:pPr>
        <w:spacing w:after="0" w:line="187" w:lineRule="exact"/>
        <w:rPr>
          <w:sz w:val="20"/>
          <w:szCs w:val="20"/>
          <w:color w:val="auto"/>
        </w:rPr>
      </w:pPr>
    </w:p>
    <w:p>
      <w:pPr>
        <w:ind w:left="1220" w:right="139" w:firstLine="354"/>
        <w:spacing w:after="0" w:line="273"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units we offer will not necessarily be complete and will be qualified in its entirety by reference to the applicable units agreement, if any, or documents governing the units or the components of the units, which will be filed with the SEC if we offer units. For more information on how you can obtain copies of any agreement if we offer units, see “Where You Can Find More Information.” We urge you to read the applicable unit agreement and any accompanying prospectus supplement in their entirety.</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sell any of the securities being offered by this prospectus separately or together:</w:t>
      </w:r>
    </w:p>
    <w:p>
      <w:pPr>
        <w:spacing w:after="0" w:line="111" w:lineRule="exact"/>
        <w:rPr>
          <w:sz w:val="20"/>
          <w:szCs w:val="20"/>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who may act directly or through a syndicate represented by one or more managing underwriters;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10" w:lineRule="exact"/>
        <w:rPr>
          <w:rFonts w:ascii="Times New Roman" w:cs="Times New Roman" w:eastAsia="Times New Roman" w:hAnsi="Times New Roman"/>
          <w:sz w:val="14"/>
          <w:szCs w:val="14"/>
          <w:color w:val="auto"/>
        </w:rPr>
      </w:pPr>
    </w:p>
    <w:p>
      <w:pPr>
        <w:ind w:left="2000" w:right="279" w:hanging="353"/>
        <w:spacing w:after="0" w:line="300" w:lineRule="auto"/>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exchange for our outstanding indebtedness;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through a specific bidding, auction or other process; or</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87" w:lineRule="exact"/>
        <w:rPr>
          <w:sz w:val="20"/>
          <w:szCs w:val="20"/>
          <w:color w:val="auto"/>
        </w:rPr>
      </w:pPr>
    </w:p>
    <w:p>
      <w:pPr>
        <w:ind w:left="1220" w:right="419" w:firstLine="354"/>
        <w:spacing w:after="0" w:line="300" w:lineRule="auto"/>
        <w:rPr>
          <w:sz w:val="20"/>
          <w:szCs w:val="20"/>
          <w:color w:val="auto"/>
        </w:rPr>
      </w:pPr>
      <w:r>
        <w:rPr>
          <w:rFonts w:ascii="Times New Roman" w:cs="Times New Roman" w:eastAsia="Times New Roman" w:hAnsi="Times New Roman"/>
          <w:sz w:val="14"/>
          <w:szCs w:val="14"/>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w:t>
      </w:r>
    </w:p>
    <w:p>
      <w:pPr>
        <w:spacing w:after="0" w:line="119" w:lineRule="exact"/>
        <w:rPr>
          <w:sz w:val="20"/>
          <w:szCs w:val="20"/>
          <w:color w:val="auto"/>
        </w:rPr>
      </w:pPr>
    </w:p>
    <w:p>
      <w:pPr>
        <w:ind w:left="1220" w:right="459" w:firstLine="354"/>
        <w:spacing w:after="0" w:line="300" w:lineRule="auto"/>
        <w:rPr>
          <w:sz w:val="20"/>
          <w:szCs w:val="20"/>
          <w:color w:val="auto"/>
        </w:rPr>
      </w:pPr>
      <w:r>
        <w:rPr>
          <w:rFonts w:ascii="Times New Roman" w:cs="Times New Roman" w:eastAsia="Times New Roman" w:hAnsi="Times New Roman"/>
          <w:sz w:val="14"/>
          <w:szCs w:val="14"/>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19" w:lineRule="exact"/>
        <w:rPr>
          <w:sz w:val="20"/>
          <w:szCs w:val="20"/>
          <w:color w:val="auto"/>
        </w:rPr>
      </w:pPr>
    </w:p>
    <w:p>
      <w:pPr>
        <w:ind w:left="1220" w:right="99" w:firstLine="354"/>
        <w:spacing w:after="0" w:line="273" w:lineRule="auto"/>
        <w:rPr>
          <w:sz w:val="20"/>
          <w:szCs w:val="20"/>
          <w:color w:val="auto"/>
        </w:rPr>
      </w:pPr>
      <w:r>
        <w:rPr>
          <w:rFonts w:ascii="Times New Roman" w:cs="Times New Roman" w:eastAsia="Times New Roman" w:hAnsi="Times New Roman"/>
          <w:sz w:val="14"/>
          <w:szCs w:val="14"/>
          <w:color w:val="auto"/>
        </w:rPr>
        <w:t>Agents designated by us from time to time may solicit offers to purchase the securities. We will name any agent involved in the offer or sale of the securities and set forth any commissions payable by us to an agent in the prospectus supplement or pricing supplement for that transaction. Unless otherwise indicated in the prospectus supplement or pricing supplement, any agent will be acting on a best efforts basis for the period of its appointment. Any agent may be deemed to be an “underwriter” of the securities as that term is defined in the Securities Act.</w:t>
      </w:r>
    </w:p>
    <w:p>
      <w:pPr>
        <w:spacing w:after="0" w:line="136" w:lineRule="exact"/>
        <w:rPr>
          <w:sz w:val="20"/>
          <w:szCs w:val="20"/>
          <w:color w:val="auto"/>
        </w:rPr>
      </w:pPr>
    </w:p>
    <w:p>
      <w:pPr>
        <w:ind w:left="1220" w:right="179" w:firstLine="354"/>
        <w:spacing w:after="0" w:line="268" w:lineRule="auto"/>
        <w:rPr>
          <w:sz w:val="20"/>
          <w:szCs w:val="20"/>
          <w:color w:val="auto"/>
        </w:rPr>
      </w:pPr>
      <w:r>
        <w:rPr>
          <w:rFonts w:ascii="Times New Roman" w:cs="Times New Roman" w:eastAsia="Times New Roman" w:hAnsi="Times New Roman"/>
          <w:sz w:val="14"/>
          <w:szCs w:val="14"/>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318" w:lineRule="exact"/>
        <w:rPr>
          <w:sz w:val="20"/>
          <w:szCs w:val="20"/>
          <w:color w:val="auto"/>
        </w:rPr>
      </w:pPr>
    </w:p>
    <w:p>
      <w:pPr>
        <w:ind w:left="1220" w:right="159" w:firstLine="354"/>
        <w:spacing w:after="0" w:line="279" w:lineRule="auto"/>
        <w:rPr>
          <w:sz w:val="20"/>
          <w:szCs w:val="20"/>
          <w:color w:val="auto"/>
        </w:rPr>
      </w:pPr>
      <w:r>
        <w:rPr>
          <w:rFonts w:ascii="Times New Roman" w:cs="Times New Roman" w:eastAsia="Times New Roman" w:hAnsi="Times New Roman"/>
          <w:sz w:val="14"/>
          <w:szCs w:val="14"/>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34" w:lineRule="exact"/>
        <w:rPr>
          <w:sz w:val="20"/>
          <w:szCs w:val="20"/>
          <w:color w:val="auto"/>
        </w:rPr>
      </w:pPr>
    </w:p>
    <w:p>
      <w:pPr>
        <w:ind w:left="1220" w:right="139" w:firstLine="354"/>
        <w:spacing w:after="0" w:line="279" w:lineRule="auto"/>
        <w:rPr>
          <w:sz w:val="20"/>
          <w:szCs w:val="20"/>
          <w:color w:val="auto"/>
        </w:rPr>
      </w:pPr>
      <w:r>
        <w:rPr>
          <w:rFonts w:ascii="Times New Roman" w:cs="Times New Roman" w:eastAsia="Times New Roman" w:hAnsi="Times New Roman"/>
          <w:sz w:val="14"/>
          <w:szCs w:val="14"/>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34" w:lineRule="exact"/>
        <w:rPr>
          <w:sz w:val="20"/>
          <w:szCs w:val="20"/>
          <w:color w:val="auto"/>
        </w:rPr>
      </w:pPr>
    </w:p>
    <w:p>
      <w:pPr>
        <w:ind w:left="1220" w:right="259" w:firstLine="354"/>
        <w:spacing w:after="0" w:line="300" w:lineRule="auto"/>
        <w:rPr>
          <w:sz w:val="20"/>
          <w:szCs w:val="20"/>
          <w:color w:val="auto"/>
        </w:rPr>
      </w:pPr>
      <w:r>
        <w:rPr>
          <w:rFonts w:ascii="Times New Roman" w:cs="Times New Roman" w:eastAsia="Times New Roman" w:hAnsi="Times New Roman"/>
          <w:sz w:val="14"/>
          <w:szCs w:val="14"/>
          <w:color w:val="auto"/>
        </w:rPr>
        <w:t>Agreements we enter into with agents, underwriters and dealers may entitle them to indemnification by us against specified liabilities, including liabilities under the Securities Act, or to contribution by us to payments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1220" w:right="99"/>
        <w:spacing w:after="0" w:line="279" w:lineRule="auto"/>
        <w:rPr>
          <w:sz w:val="20"/>
          <w:szCs w:val="20"/>
          <w:color w:val="auto"/>
        </w:rPr>
      </w:pPr>
      <w:r>
        <w:rPr>
          <w:rFonts w:ascii="Times New Roman" w:cs="Times New Roman" w:eastAsia="Times New Roman" w:hAnsi="Times New Roman"/>
          <w:sz w:val="14"/>
          <w:szCs w:val="14"/>
          <w:color w:val="auto"/>
        </w:rPr>
        <w:t>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34" w:lineRule="exact"/>
        <w:rPr>
          <w:sz w:val="20"/>
          <w:szCs w:val="20"/>
          <w:color w:val="auto"/>
        </w:rPr>
      </w:pPr>
    </w:p>
    <w:p>
      <w:pPr>
        <w:ind w:left="1220" w:right="139" w:firstLine="354"/>
        <w:spacing w:after="0" w:line="264" w:lineRule="auto"/>
        <w:rPr>
          <w:sz w:val="20"/>
          <w:szCs w:val="20"/>
          <w:color w:val="auto"/>
        </w:rPr>
      </w:pPr>
      <w:r>
        <w:rPr>
          <w:rFonts w:ascii="Times New Roman" w:cs="Times New Roman" w:eastAsia="Times New Roman" w:hAnsi="Times New Roman"/>
          <w:sz w:val="14"/>
          <w:szCs w:val="14"/>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318" w:lineRule="exact"/>
        <w:rPr>
          <w:sz w:val="20"/>
          <w:szCs w:val="20"/>
          <w:color w:val="auto"/>
        </w:rPr>
      </w:pPr>
    </w:p>
    <w:p>
      <w:pPr>
        <w:ind w:left="1220" w:right="179" w:firstLine="354"/>
        <w:spacing w:after="0" w:line="300" w:lineRule="auto"/>
        <w:rPr>
          <w:sz w:val="20"/>
          <w:szCs w:val="20"/>
          <w:color w:val="auto"/>
        </w:rPr>
      </w:pPr>
      <w:r>
        <w:rPr>
          <w:rFonts w:ascii="Times New Roman" w:cs="Times New Roman" w:eastAsia="Times New Roman" w:hAnsi="Times New Roman"/>
          <w:sz w:val="14"/>
          <w:szCs w:val="14"/>
          <w:color w:val="auto"/>
        </w:rPr>
        <w:t>No securities may be sold under this prospectus without delivery (in paper format, in electronic format, in electronic format on the Internet, or by other means) of the applicable prospectus supplement or pricing supplement describing the method and terms of the offering.</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9" w:lineRule="exact"/>
        <w:rPr>
          <w:sz w:val="20"/>
          <w:szCs w:val="20"/>
          <w:color w:val="auto"/>
        </w:rPr>
      </w:pPr>
    </w:p>
    <w:p>
      <w:pPr>
        <w:jc w:val="both"/>
        <w:ind w:left="1220" w:right="139" w:firstLine="354"/>
        <w:spacing w:after="0" w:line="279"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Kirkland &amp; Ellis LLP, Chicago, Illinois, will provide opinions regarding the authorization and validity of the securities. Kirkland &amp; Ellis LLP, Chicago, Illinois, may also provide opinions regarding certain other matters. Any underwriters will be advised about legal matters by their own counsel, which will be named in an accompanying prospectus supplement.</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9" w:lineRule="exact"/>
        <w:rPr>
          <w:sz w:val="20"/>
          <w:szCs w:val="20"/>
          <w:color w:val="auto"/>
        </w:rPr>
      </w:pPr>
    </w:p>
    <w:p>
      <w:pPr>
        <w:ind w:left="1220" w:right="139" w:firstLine="354"/>
        <w:spacing w:after="0" w:line="273" w:lineRule="auto"/>
        <w:rPr>
          <w:sz w:val="20"/>
          <w:szCs w:val="20"/>
          <w:color w:val="auto"/>
        </w:rPr>
      </w:pPr>
      <w:r>
        <w:rPr>
          <w:rFonts w:ascii="Times New Roman" w:cs="Times New Roman" w:eastAsia="Times New Roman" w:hAnsi="Times New Roman"/>
          <w:sz w:val="14"/>
          <w:szCs w:val="14"/>
          <w:color w:val="auto"/>
        </w:rPr>
        <w:t>The consolidated financial statements of Navient Corporation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9" w:lineRule="exact"/>
        <w:rPr>
          <w:sz w:val="20"/>
          <w:szCs w:val="20"/>
          <w:color w:val="auto"/>
        </w:rPr>
      </w:pPr>
    </w:p>
    <w:p>
      <w:pPr>
        <w:ind w:left="1220" w:right="219" w:firstLine="354"/>
        <w:spacing w:after="0" w:line="300"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under the Exchange Act. Our SEC filings are available to the public at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1220" w:right="159" w:firstLine="354"/>
        <w:spacing w:after="0" w:line="26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65" w:lineRule="exact"/>
        <w:rPr>
          <w:sz w:val="20"/>
          <w:szCs w:val="20"/>
          <w:color w:val="auto"/>
        </w:rPr>
      </w:pPr>
    </w:p>
    <w:p>
      <w:pPr>
        <w:ind w:left="2000" w:hanging="353"/>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26, 2026;</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44">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April 29, 2026;</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45">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June 30, 2026, filed with the SEC on August 7, 2026;</w:t>
      </w:r>
    </w:p>
    <w:p>
      <w:pPr>
        <w:spacing w:after="0" w:line="110" w:lineRule="exact"/>
        <w:rPr>
          <w:rFonts w:ascii="Times New Roman" w:cs="Times New Roman" w:eastAsia="Times New Roman" w:hAnsi="Times New Roman"/>
          <w:sz w:val="14"/>
          <w:szCs w:val="14"/>
          <w:color w:val="auto"/>
        </w:rPr>
      </w:pPr>
    </w:p>
    <w:p>
      <w:pPr>
        <w:ind w:left="2000" w:right="439" w:hanging="353"/>
        <w:spacing w:after="0" w:line="300" w:lineRule="auto"/>
        <w:tabs>
          <w:tab w:leader="none" w:pos="2000" w:val="left"/>
        </w:tabs>
        <w:numPr>
          <w:ilvl w:val="0"/>
          <w:numId w:val="1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46">
        <w:r>
          <w:rPr>
            <w:rFonts w:ascii="Times New Roman" w:cs="Times New Roman" w:eastAsia="Times New Roman" w:hAnsi="Times New Roman"/>
            <w:sz w:val="14"/>
            <w:szCs w:val="14"/>
            <w:u w:val="single" w:color="auto"/>
            <w:color w:val="0000EE"/>
          </w:rPr>
          <w:t>January 8, 2026</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EE"/>
          </w:rPr>
          <w:t>April 8, 2026</w:t>
        </w:r>
      </w:hyperlink>
      <w:r>
        <w:rPr>
          <w:rFonts w:ascii="Times New Roman" w:cs="Times New Roman" w:eastAsia="Times New Roman" w:hAnsi="Times New Roman"/>
          <w:sz w:val="14"/>
          <w:szCs w:val="14"/>
          <w:color w:val="auto"/>
        </w:rPr>
        <w:t xml:space="preserve">, </w:t>
      </w:r>
      <w:hyperlink r:id="rId48">
        <w:r>
          <w:rPr>
            <w:rFonts w:ascii="Times New Roman" w:cs="Times New Roman" w:eastAsia="Times New Roman" w:hAnsi="Times New Roman"/>
            <w:sz w:val="14"/>
            <w:szCs w:val="14"/>
            <w:u w:val="single" w:color="auto"/>
            <w:color w:val="0000EE"/>
          </w:rPr>
          <w:t>May 29, 2026</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June 5, 2026</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July 2, 2026</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September 25,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2">
        <w:r>
          <w:rPr>
            <w:rFonts w:ascii="Times New Roman" w:cs="Times New Roman" w:eastAsia="Times New Roman" w:hAnsi="Times New Roman"/>
            <w:sz w:val="14"/>
            <w:szCs w:val="14"/>
            <w:u w:val="single" w:color="auto"/>
            <w:color w:val="0000EE"/>
          </w:rPr>
          <w:t xml:space="preserve">October 21, 2026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3">
        <w:r>
          <w:rPr>
            <w:rFonts w:ascii="Times New Roman" w:cs="Times New Roman" w:eastAsia="Times New Roman" w:hAnsi="Times New Roman"/>
            <w:sz w:val="14"/>
            <w:szCs w:val="14"/>
            <w:u w:val="single" w:color="auto"/>
            <w:color w:val="0000EE"/>
          </w:rPr>
          <w:t>November 2,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2" w:lineRule="exact"/>
        <w:rPr>
          <w:rFonts w:ascii="Times New Roman" w:cs="Times New Roman" w:eastAsia="Times New Roman" w:hAnsi="Times New Roman"/>
          <w:sz w:val="14"/>
          <w:szCs w:val="14"/>
          <w:color w:val="0000EE"/>
        </w:rPr>
      </w:pPr>
    </w:p>
    <w:p>
      <w:pPr>
        <w:ind w:left="2000" w:right="159" w:hanging="353"/>
        <w:spacing w:after="0" w:line="300" w:lineRule="auto"/>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4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from our definitive proxy statement on </w:t>
      </w:r>
      <w:hyperlink r:id="rId54">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16, 2026.</w:t>
      </w:r>
    </w:p>
    <w:p>
      <w:pPr>
        <w:spacing w:after="0" w:line="119" w:lineRule="exact"/>
        <w:rPr>
          <w:rFonts w:ascii="Times New Roman" w:cs="Times New Roman" w:eastAsia="Times New Roman" w:hAnsi="Times New Roman"/>
          <w:sz w:val="14"/>
          <w:szCs w:val="14"/>
          <w:color w:val="auto"/>
        </w:rPr>
      </w:pPr>
    </w:p>
    <w:p>
      <w:pPr>
        <w:ind w:left="1220" w:right="159" w:firstLine="354"/>
        <w:spacing w:after="0" w:line="279"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34" w:lineRule="exact"/>
        <w:rPr>
          <w:rFonts w:ascii="Times New Roman" w:cs="Times New Roman" w:eastAsia="Times New Roman" w:hAnsi="Times New Roman"/>
          <w:sz w:val="14"/>
          <w:szCs w:val="14"/>
          <w:color w:val="auto"/>
        </w:rPr>
      </w:pPr>
    </w:p>
    <w:p>
      <w:pPr>
        <w:ind w:left="1220" w:right="299" w:firstLine="354"/>
        <w:spacing w:after="0" w:line="273"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36"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Navient LLC</w:t>
      </w:r>
    </w:p>
    <w:p>
      <w:pPr>
        <w:spacing w:after="0" w:line="2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13865 Sunrise Valley Drive</w:t>
      </w:r>
    </w:p>
    <w:p>
      <w:pPr>
        <w:spacing w:after="0" w:line="1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Herndon, Virginia 20171</w:t>
      </w:r>
    </w:p>
    <w:p>
      <w:pPr>
        <w:spacing w:after="0" w:line="1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(302) 283-8000</w:t>
      </w:r>
    </w:p>
    <w:p>
      <w:pPr>
        <w:spacing w:after="0" w:line="171" w:lineRule="exact"/>
        <w:rPr>
          <w:rFonts w:ascii="Times New Roman" w:cs="Times New Roman" w:eastAsia="Times New Roman" w:hAnsi="Times New Roman"/>
          <w:sz w:val="14"/>
          <w:szCs w:val="14"/>
          <w:color w:val="auto"/>
        </w:rPr>
      </w:pPr>
    </w:p>
    <w:p>
      <w:pPr>
        <w:ind w:left="1220" w:right="339" w:firstLine="354"/>
        <w:spacing w:after="0" w:line="279"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and any prospectus supplement. We have not authorized anyone else to provide you with different information. You should not assume that the information in this prospectus or any prospectus supplement is accurate as of any date other than the date on the front of these documents.</w:t>
      </w:r>
    </w:p>
    <w:p>
      <w:pPr>
        <w:spacing w:after="0" w:line="7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8"/>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69"/>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 Expenses of Issuance and Distribution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61"/>
        </w:trPr>
        <w:tc>
          <w:tcPr>
            <w:tcW w:w="63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The expenses relating to the registration of the securities will be borne by the registrant.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195"/>
        </w:trPr>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Printing Fees</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Agents and Trustees’ Fees and Expenses</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Exchange Listing Fees</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81" w:lineRule="exact"/>
        <w:rPr>
          <w:sz w:val="20"/>
          <w:szCs w:val="20"/>
          <w:color w:val="auto"/>
        </w:rPr>
      </w:pPr>
    </w:p>
    <w:p>
      <w:pPr>
        <w:ind w:left="1560" w:hanging="347"/>
        <w:spacing w:after="0"/>
        <w:tabs>
          <w:tab w:leader="none" w:pos="1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on Rules 456(b) and 457(r) under the Securities Act.</w:t>
      </w:r>
    </w:p>
    <w:p>
      <w:pPr>
        <w:spacing w:after="0" w:line="28" w:lineRule="exact"/>
        <w:rPr>
          <w:sz w:val="20"/>
          <w:szCs w:val="20"/>
          <w:color w:val="auto"/>
        </w:rPr>
      </w:pPr>
    </w:p>
    <w:p>
      <w:pPr>
        <w:ind w:left="1560" w:right="119" w:hanging="347"/>
        <w:spacing w:after="0" w:line="278" w:lineRule="auto"/>
        <w:tabs>
          <w:tab w:leader="none" w:pos="1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an indeterminate amount of securities is covered by this registration statement, the expenses in connection with the issuance and distribution of the securities are not currently determinable.</w:t>
      </w:r>
    </w:p>
    <w:p>
      <w:pPr>
        <w:spacing w:after="0" w:line="251" w:lineRule="exact"/>
        <w:rPr>
          <w:sz w:val="20"/>
          <w:szCs w:val="20"/>
          <w:color w:val="auto"/>
        </w:rPr>
      </w:pPr>
    </w:p>
    <w:p>
      <w:pPr>
        <w:ind w:left="122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Officers and Directors</w:t>
      </w:r>
    </w:p>
    <w:p>
      <w:pPr>
        <w:spacing w:after="0" w:line="102" w:lineRule="exact"/>
        <w:rPr>
          <w:sz w:val="20"/>
          <w:szCs w:val="20"/>
          <w:color w:val="auto"/>
        </w:rPr>
      </w:pPr>
    </w:p>
    <w:p>
      <w:pPr>
        <w:ind w:left="1220" w:right="99" w:firstLine="354"/>
        <w:spacing w:after="0" w:line="279" w:lineRule="auto"/>
        <w:rPr>
          <w:sz w:val="20"/>
          <w:szCs w:val="20"/>
          <w:color w:val="auto"/>
        </w:rPr>
      </w:pPr>
      <w:r>
        <w:rPr>
          <w:rFonts w:ascii="Times New Roman" w:cs="Times New Roman" w:eastAsia="Times New Roman" w:hAnsi="Times New Roman"/>
          <w:sz w:val="14"/>
          <w:szCs w:val="14"/>
          <w:color w:val="auto"/>
        </w:rPr>
        <w:t>Section 18-108 of the Delaware Limited Liability Company Act permits a Delaware limited liability company to indemnify and hold harmless any member, manager or other person from and against any and all claims and demands whatsoever, subject only to the standards and restrictions, if any, as may be set forth in the company’s limited liability company agreement.</w:t>
      </w:r>
    </w:p>
    <w:p>
      <w:pPr>
        <w:spacing w:after="0" w:line="134" w:lineRule="exact"/>
        <w:rPr>
          <w:sz w:val="20"/>
          <w:szCs w:val="20"/>
          <w:color w:val="auto"/>
        </w:rPr>
      </w:pPr>
    </w:p>
    <w:p>
      <w:pPr>
        <w:ind w:left="1220" w:right="99" w:firstLine="354"/>
        <w:spacing w:after="0" w:line="263" w:lineRule="auto"/>
        <w:rPr>
          <w:sz w:val="20"/>
          <w:szCs w:val="20"/>
          <w:color w:val="auto"/>
        </w:rPr>
      </w:pPr>
      <w:r>
        <w:rPr>
          <w:rFonts w:ascii="Times New Roman" w:cs="Times New Roman" w:eastAsia="Times New Roman" w:hAnsi="Times New Roman"/>
          <w:sz w:val="14"/>
          <w:szCs w:val="14"/>
          <w:color w:val="auto"/>
        </w:rPr>
        <w:t>Section 11 of the Limited Liability Company Agreement of Navient LLC (the “LLCA”) provides that the Company will indemnify any person who was or is party or is threatened to be made a party to any threatened, pending or completed action, suit or proceeding by reason of the fact that he or she is or was a director or officer of the Company, or is or was a director or officer of the Company serving at the request of the Company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Section 11 also provides for the advancement of expenses to an indemnified party upon receipt of an undertaking by the party to repay those amounts if it is ultimately determined that he or she is not entitled to be indemnified by the Company. Any repeal or modification of Section 11 of the LLCA shall be prospective only and shall not adversely affect any limitation on the personal liability or right to indemnification or advancement of expenses hereunder existing at the time of such repeal or modification.</w:t>
      </w:r>
    </w:p>
    <w:p>
      <w:pPr>
        <w:spacing w:after="0" w:line="145" w:lineRule="exact"/>
        <w:rPr>
          <w:sz w:val="20"/>
          <w:szCs w:val="20"/>
          <w:color w:val="auto"/>
        </w:rPr>
      </w:pPr>
    </w:p>
    <w:p>
      <w:pPr>
        <w:jc w:val="both"/>
        <w:ind w:left="1220" w:right="439" w:firstLine="354"/>
        <w:spacing w:after="0" w:line="273" w:lineRule="auto"/>
        <w:rPr>
          <w:sz w:val="20"/>
          <w:szCs w:val="20"/>
          <w:color w:val="auto"/>
        </w:rPr>
      </w:pPr>
      <w:r>
        <w:rPr>
          <w:rFonts w:ascii="Times New Roman" w:cs="Times New Roman" w:eastAsia="Times New Roman" w:hAnsi="Times New Roman"/>
          <w:sz w:val="14"/>
          <w:szCs w:val="14"/>
          <w:color w:val="auto"/>
        </w:rPr>
        <w:t>The Company maintains a director and officer insurance policy which insures the directors and officers of the Company and its subsidiaries, within certain limits and subject to certain limitations, against certain expenses in connection with the defense of actions, suits or proceedings, and certain liabilities that might be imposed as a result of such actions, suits or proceedings in which they are parties by reason of being or having been directors or officers.</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Exhibits to this registration statement are listed in the Exhibit Index on page II-4.</w:t>
      </w:r>
    </w:p>
    <w:p>
      <w:pPr>
        <w:spacing w:after="0" w:line="304" w:lineRule="exact"/>
        <w:rPr>
          <w:sz w:val="20"/>
          <w:szCs w:val="20"/>
          <w:color w:val="auto"/>
        </w:rPr>
      </w:pPr>
    </w:p>
    <w:p>
      <w:pPr>
        <w:ind w:left="122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13" w:lineRule="exact"/>
        <w:rPr>
          <w:sz w:val="20"/>
          <w:szCs w:val="20"/>
          <w:color w:val="auto"/>
        </w:rPr>
      </w:pPr>
    </w:p>
    <w:p>
      <w:pPr>
        <w:ind w:left="2000" w:hanging="440"/>
        <w:spacing w:after="0"/>
        <w:tabs>
          <w:tab w:leader="none" w:pos="2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1" w:lineRule="exact"/>
        <w:rPr>
          <w:sz w:val="20"/>
          <w:szCs w:val="20"/>
          <w:color w:val="auto"/>
        </w:rPr>
      </w:pPr>
    </w:p>
    <w:p>
      <w:pPr>
        <w:ind w:left="2000" w:hanging="440"/>
        <w:spacing w:after="0"/>
        <w:tabs>
          <w:tab w:leader="none" w:pos="2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10" w:lineRule="exact"/>
        <w:rPr>
          <w:rFonts w:ascii="Times New Roman" w:cs="Times New Roman" w:eastAsia="Times New Roman" w:hAnsi="Times New Roman"/>
          <w:sz w:val="14"/>
          <w:szCs w:val="14"/>
          <w:color w:val="auto"/>
        </w:rPr>
      </w:pPr>
    </w:p>
    <w:p>
      <w:pPr>
        <w:ind w:left="2360" w:hanging="355"/>
        <w:spacing w:after="0"/>
        <w:tabs>
          <w:tab w:leader="none" w:pos="23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0" w:lineRule="exact"/>
        <w:rPr>
          <w:rFonts w:ascii="Times New Roman" w:cs="Times New Roman" w:eastAsia="Times New Roman" w:hAnsi="Times New Roman"/>
          <w:sz w:val="14"/>
          <w:szCs w:val="14"/>
          <w:color w:val="auto"/>
        </w:rPr>
      </w:pPr>
    </w:p>
    <w:p>
      <w:pPr>
        <w:ind w:left="2360" w:right="139" w:hanging="355"/>
        <w:spacing w:after="0" w:line="266" w:lineRule="auto"/>
        <w:tabs>
          <w:tab w:leader="none" w:pos="23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65" w:lineRule="exact"/>
        <w:rPr>
          <w:rFonts w:ascii="Times New Roman" w:cs="Times New Roman" w:eastAsia="Times New Roman" w:hAnsi="Times New Roman"/>
          <w:sz w:val="14"/>
          <w:szCs w:val="14"/>
          <w:color w:val="auto"/>
        </w:rPr>
      </w:pPr>
    </w:p>
    <w:p>
      <w:pPr>
        <w:ind w:left="2360" w:right="219" w:hanging="355"/>
        <w:spacing w:after="0" w:line="300" w:lineRule="auto"/>
        <w:tabs>
          <w:tab w:leader="none" w:pos="23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0" w:lineRule="exact"/>
        <w:rPr>
          <w:sz w:val="20"/>
          <w:szCs w:val="20"/>
          <w:color w:val="auto"/>
        </w:rPr>
      </w:pPr>
    </w:p>
    <w:p>
      <w:pPr>
        <w:ind w:left="2020" w:right="119"/>
        <w:spacing w:after="0" w:line="273"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2000" w:right="99" w:hanging="440"/>
        <w:spacing w:after="0" w:line="279" w:lineRule="auto"/>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7" w:lineRule="exact"/>
        <w:rPr>
          <w:rFonts w:ascii="Times New Roman" w:cs="Times New Roman" w:eastAsia="Times New Roman" w:hAnsi="Times New Roman"/>
          <w:sz w:val="14"/>
          <w:szCs w:val="14"/>
          <w:color w:val="auto"/>
        </w:rPr>
      </w:pPr>
    </w:p>
    <w:p>
      <w:pPr>
        <w:ind w:left="2000" w:right="379" w:hanging="440"/>
        <w:spacing w:after="0" w:line="300" w:lineRule="auto"/>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2"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0" w:lineRule="exact"/>
        <w:rPr>
          <w:rFonts w:ascii="Times New Roman" w:cs="Times New Roman" w:eastAsia="Times New Roman" w:hAnsi="Times New Roman"/>
          <w:sz w:val="14"/>
          <w:szCs w:val="14"/>
          <w:color w:val="auto"/>
        </w:rPr>
      </w:pPr>
    </w:p>
    <w:p>
      <w:pPr>
        <w:ind w:left="2360" w:right="259" w:hanging="355"/>
        <w:spacing w:after="0" w:line="300" w:lineRule="auto"/>
        <w:tabs>
          <w:tab w:leader="none" w:pos="23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2" w:lineRule="exact"/>
        <w:rPr>
          <w:rFonts w:ascii="Times New Roman" w:cs="Times New Roman" w:eastAsia="Times New Roman" w:hAnsi="Times New Roman"/>
          <w:sz w:val="14"/>
          <w:szCs w:val="14"/>
          <w:color w:val="auto"/>
        </w:rPr>
      </w:pPr>
    </w:p>
    <w:p>
      <w:pPr>
        <w:ind w:left="2360" w:right="159" w:hanging="355"/>
        <w:spacing w:after="0" w:line="266" w:lineRule="auto"/>
        <w:tabs>
          <w:tab w:leader="none" w:pos="23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2360" w:right="79"/>
        <w:spacing w:after="0" w:line="269" w:lineRule="auto"/>
        <w:rPr>
          <w:sz w:val="20"/>
          <w:szCs w:val="20"/>
          <w:color w:val="auto"/>
        </w:rPr>
      </w:pPr>
      <w:r>
        <w:rPr>
          <w:rFonts w:ascii="Times New Roman" w:cs="Times New Roman" w:eastAsia="Times New Roman" w:hAnsi="Times New Roman"/>
          <w:sz w:val="14"/>
          <w:szCs w:val="14"/>
          <w:color w:val="auto"/>
        </w:rPr>
        <w:t xml:space="preserve">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40" w:lineRule="exact"/>
        <w:rPr>
          <w:sz w:val="20"/>
          <w:szCs w:val="20"/>
          <w:color w:val="auto"/>
        </w:rPr>
      </w:pPr>
    </w:p>
    <w:p>
      <w:pPr>
        <w:ind w:left="2000" w:right="99" w:hanging="440"/>
        <w:spacing w:after="0" w:line="269" w:lineRule="auto"/>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4" w:lineRule="exact"/>
        <w:rPr>
          <w:rFonts w:ascii="Times New Roman" w:cs="Times New Roman" w:eastAsia="Times New Roman" w:hAnsi="Times New Roman"/>
          <w:sz w:val="14"/>
          <w:szCs w:val="14"/>
          <w:color w:val="auto"/>
        </w:rPr>
      </w:pPr>
    </w:p>
    <w:p>
      <w:pPr>
        <w:ind w:left="2360" w:right="199" w:hanging="355"/>
        <w:spacing w:after="0" w:line="300" w:lineRule="auto"/>
        <w:tabs>
          <w:tab w:leader="none" w:pos="23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2" w:lineRule="exact"/>
        <w:rPr>
          <w:rFonts w:ascii="Times New Roman" w:cs="Times New Roman" w:eastAsia="Times New Roman" w:hAnsi="Times New Roman"/>
          <w:sz w:val="14"/>
          <w:szCs w:val="14"/>
          <w:color w:val="auto"/>
        </w:rPr>
      </w:pPr>
    </w:p>
    <w:p>
      <w:pPr>
        <w:ind w:left="2360" w:right="259" w:hanging="355"/>
        <w:spacing w:after="0" w:line="300" w:lineRule="auto"/>
        <w:tabs>
          <w:tab w:leader="none" w:pos="23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2" w:lineRule="exact"/>
        <w:rPr>
          <w:rFonts w:ascii="Times New Roman" w:cs="Times New Roman" w:eastAsia="Times New Roman" w:hAnsi="Times New Roman"/>
          <w:sz w:val="14"/>
          <w:szCs w:val="14"/>
          <w:color w:val="auto"/>
        </w:rPr>
      </w:pPr>
    </w:p>
    <w:p>
      <w:pPr>
        <w:ind w:left="2360" w:right="479" w:hanging="355"/>
        <w:spacing w:after="0" w:line="300" w:lineRule="auto"/>
        <w:tabs>
          <w:tab w:leader="none" w:pos="23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2" w:lineRule="exact"/>
        <w:rPr>
          <w:rFonts w:ascii="Times New Roman" w:cs="Times New Roman" w:eastAsia="Times New Roman" w:hAnsi="Times New Roman"/>
          <w:sz w:val="14"/>
          <w:szCs w:val="14"/>
          <w:color w:val="auto"/>
        </w:rPr>
      </w:pPr>
    </w:p>
    <w:p>
      <w:pPr>
        <w:ind w:left="2360" w:hanging="355"/>
        <w:spacing w:after="0"/>
        <w:tabs>
          <w:tab w:leader="none" w:pos="23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6" w:lineRule="exact"/>
        <w:rPr>
          <w:rFonts w:ascii="Times New Roman" w:cs="Times New Roman" w:eastAsia="Times New Roman" w:hAnsi="Times New Roman"/>
          <w:sz w:val="14"/>
          <w:szCs w:val="14"/>
          <w:color w:val="auto"/>
        </w:rPr>
      </w:pPr>
    </w:p>
    <w:p>
      <w:pPr>
        <w:ind w:left="1220" w:right="79" w:firstLine="347"/>
        <w:spacing w:after="0" w:line="271" w:lineRule="auto"/>
        <w:tabs>
          <w:tab w:leader="none" w:pos="1779"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15" w:lineRule="exact"/>
        <w:rPr>
          <w:rFonts w:ascii="Times New Roman" w:cs="Times New Roman" w:eastAsia="Times New Roman" w:hAnsi="Times New Roman"/>
          <w:sz w:val="14"/>
          <w:szCs w:val="14"/>
          <w:color w:val="auto"/>
        </w:rPr>
      </w:pPr>
    </w:p>
    <w:p>
      <w:pPr>
        <w:ind w:left="1220" w:right="199" w:firstLine="347"/>
        <w:spacing w:after="0" w:line="265" w:lineRule="auto"/>
        <w:tabs>
          <w:tab w:leader="none" w:pos="1771"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19" w:lineRule="exact"/>
        <w:rPr>
          <w:rFonts w:ascii="Times New Roman" w:cs="Times New Roman" w:eastAsia="Times New Roman" w:hAnsi="Times New Roman"/>
          <w:sz w:val="14"/>
          <w:szCs w:val="14"/>
          <w:color w:val="auto"/>
        </w:rPr>
      </w:pPr>
    </w:p>
    <w:p>
      <w:pPr>
        <w:ind w:left="1220" w:right="379" w:firstLine="347"/>
        <w:spacing w:after="0" w:line="300" w:lineRule="auto"/>
        <w:tabs>
          <w:tab w:leader="none" w:pos="1779"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TIA in accordance with the rules and regulations prescribed by the SEC under Section 305(b)(2) of the TIA.</w:t>
      </w:r>
    </w:p>
    <w:p>
      <w:pPr>
        <w:spacing w:after="0" w:line="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gridSpan w:val="15"/>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16"/>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1"/>
              </w:rPr>
              <w:t>Exhibit No.</w:t>
            </w:r>
          </w:p>
        </w:tc>
        <w:tc>
          <w:tcPr>
            <w:tcW w:w="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4"/>
          </w:tcPr>
          <w:p>
            <w:pPr>
              <w:ind w:left="580"/>
              <w:spacing w:after="0"/>
              <w:rPr>
                <w:sz w:val="20"/>
                <w:szCs w:val="20"/>
                <w:color w:val="auto"/>
              </w:rPr>
            </w:pPr>
            <w:r>
              <w:rPr>
                <w:rFonts w:ascii="Times New Roman" w:cs="Times New Roman" w:eastAsia="Times New Roman" w:hAnsi="Times New Roman"/>
                <w:sz w:val="12"/>
                <w:szCs w:val="12"/>
                <w:b w:val="1"/>
                <w:bCs w:val="1"/>
                <w:color w:val="auto"/>
              </w:rPr>
              <w:t>Description of Document</w:t>
            </w: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760" w:type="dxa"/>
            <w:vAlign w:val="bottom"/>
          </w:tcPr>
          <w:p>
            <w:pPr>
              <w:spacing w:after="0"/>
              <w:rPr>
                <w:sz w:val="21"/>
                <w:szCs w:val="21"/>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60" w:type="dxa"/>
            <w:vAlign w:val="bottom"/>
          </w:tcPr>
          <w:p>
            <w:pPr>
              <w:spacing w:after="0"/>
              <w:rPr>
                <w:sz w:val="19"/>
                <w:szCs w:val="19"/>
                <w:color w:val="auto"/>
              </w:rPr>
            </w:pPr>
          </w:p>
        </w:tc>
        <w:tc>
          <w:tcPr>
            <w:tcW w:w="752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Certificate of Formation of Navient LLC (incorporated by reference to Exhibit 3.3 to Navient’s Current Report on Form 8-K filed</w:t>
              </w:r>
            </w:hyperlink>
          </w:p>
        </w:tc>
        <w:tc>
          <w:tcPr>
            <w:tcW w:w="20" w:type="dxa"/>
            <w:vAlign w:val="bottom"/>
          </w:tcPr>
          <w:p>
            <w:pPr>
              <w:spacing w:after="0"/>
              <w:rPr>
                <w:sz w:val="19"/>
                <w:szCs w:val="19"/>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40" w:type="dxa"/>
            <w:vAlign w:val="bottom"/>
            <w:gridSpan w:val="20"/>
          </w:tcPr>
          <w:p>
            <w:pPr>
              <w:spacing w:after="0" w:line="154"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on November 2, 2026 (File No. 001-36228))</w:t>
              </w:r>
            </w:hyperlink>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60" w:type="dxa"/>
            <w:vAlign w:val="bottom"/>
          </w:tcPr>
          <w:p>
            <w:pPr>
              <w:spacing w:after="0"/>
              <w:rPr>
                <w:sz w:val="20"/>
                <w:szCs w:val="20"/>
                <w:color w:val="auto"/>
              </w:rPr>
            </w:pPr>
          </w:p>
        </w:tc>
        <w:tc>
          <w:tcPr>
            <w:tcW w:w="7540" w:type="dxa"/>
            <w:vAlign w:val="bottom"/>
            <w:gridSpan w:val="20"/>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Limited Liability Company Agreement of Navient LLC (incorporated by reference to Exhibit 3.4 to Navient’s Current Report on</w:t>
              </w:r>
            </w:hyperlink>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60" w:type="dxa"/>
            <w:vAlign w:val="bottom"/>
            <w:tcBorders>
              <w:top w:val="single" w:sz="8" w:color="0000EE"/>
            </w:tcBorders>
            <w:gridSpan w:val="16"/>
          </w:tcPr>
          <w:p>
            <w:pPr>
              <w:spacing w:after="0" w:line="154"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Form 8-K filed on November 2, 2026 (File No. 001-36228))</w:t>
              </w:r>
            </w:hyperlink>
          </w:p>
        </w:tc>
        <w:tc>
          <w:tcPr>
            <w:tcW w:w="80" w:type="dxa"/>
            <w:vAlign w:val="bottom"/>
            <w:gridSpan w:val="4"/>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60" w:type="dxa"/>
            <w:vAlign w:val="bottom"/>
          </w:tcPr>
          <w:p>
            <w:pPr>
              <w:spacing w:after="0"/>
              <w:rPr>
                <w:sz w:val="20"/>
                <w:szCs w:val="20"/>
                <w:color w:val="auto"/>
              </w:rPr>
            </w:pPr>
          </w:p>
        </w:tc>
        <w:tc>
          <w:tcPr>
            <w:tcW w:w="7540" w:type="dxa"/>
            <w:vAlign w:val="bottom"/>
            <w:gridSpan w:val="20"/>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Indenture, dated as of July 18, 2014, between Navient Corporation and The Bank of New York Mellon (incorporated by</w:t>
              </w:r>
            </w:hyperlink>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10"/>
          </w:tcPr>
          <w:p>
            <w:pPr>
              <w:spacing w:after="0" w:line="154"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reference to Exhibit 4.1 to Navient’s Registration Statement on Form S-3 filed on July 18, 2014 (File No. 333-197516))</w:t>
              </w:r>
            </w:hyperlink>
          </w:p>
        </w:tc>
        <w:tc>
          <w:tcPr>
            <w:tcW w:w="40" w:type="dxa"/>
            <w:vAlign w:val="bottom"/>
            <w:tcBorders>
              <w:top w:val="single" w:sz="8" w:color="0000EE"/>
            </w:tcBorders>
          </w:tcPr>
          <w:p>
            <w:pPr>
              <w:spacing w:after="0"/>
              <w:rPr>
                <w:sz w:val="13"/>
                <w:szCs w:val="13"/>
                <w:color w:val="auto"/>
              </w:rPr>
            </w:pPr>
          </w:p>
        </w:tc>
        <w:tc>
          <w:tcPr>
            <w:tcW w:w="560" w:type="dxa"/>
            <w:vAlign w:val="bottom"/>
            <w:gridSpan w:val="9"/>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760" w:type="dxa"/>
            <w:vAlign w:val="bottom"/>
          </w:tcPr>
          <w:p>
            <w:pPr>
              <w:spacing w:after="0"/>
              <w:rPr>
                <w:sz w:val="20"/>
                <w:szCs w:val="20"/>
                <w:color w:val="auto"/>
              </w:rPr>
            </w:pPr>
          </w:p>
        </w:tc>
        <w:tc>
          <w:tcPr>
            <w:tcW w:w="7540" w:type="dxa"/>
            <w:vAlign w:val="bottom"/>
            <w:gridSpan w:val="20"/>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Indenture, dated as of October 1, 2000, between Navient Corporation (as successor to SLM Corporation and USA Education,</w:t>
              </w:r>
            </w:hyperlink>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300" w:type="dxa"/>
            <w:vAlign w:val="bottom"/>
            <w:tcBorders>
              <w:top w:val="single" w:sz="8" w:color="0000EE"/>
            </w:tcBorders>
            <w:gridSpan w:val="14"/>
          </w:tcPr>
          <w:p>
            <w:pPr>
              <w:spacing w:after="0" w:line="154"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Inc.) and The Bank of New York Mellon (as successor to J.P. Morgan Chase Bank, National Association, formerly Chase</w:t>
              </w:r>
            </w:hyperlink>
          </w:p>
        </w:tc>
        <w:tc>
          <w:tcPr>
            <w:tcW w:w="240" w:type="dxa"/>
            <w:vAlign w:val="bottom"/>
            <w:gridSpan w:val="6"/>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40" w:type="dxa"/>
            <w:vAlign w:val="bottom"/>
            <w:gridSpan w:val="20"/>
          </w:tcPr>
          <w:p>
            <w:pPr>
              <w:spacing w:after="0" w:line="154"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Manhattan Bank) (incorporated by reference to Exhibit 4.1 to Navient’s Registration of Securities on Form 8-A12B filed on</w:t>
              </w:r>
            </w:hyperlink>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180" w:type="dxa"/>
            <w:vAlign w:val="bottom"/>
            <w:tcBorders>
              <w:top w:val="single" w:sz="8" w:color="0000EE"/>
            </w:tcBorders>
            <w:gridSpan w:val="13"/>
          </w:tcPr>
          <w:p>
            <w:pPr>
              <w:spacing w:after="0" w:line="154"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March 29, 2016 (File No. 001-36228))</w:t>
              </w:r>
            </w:hyperlink>
          </w:p>
        </w:tc>
        <w:tc>
          <w:tcPr>
            <w:tcW w:w="360" w:type="dxa"/>
            <w:vAlign w:val="bottom"/>
            <w:gridSpan w:val="7"/>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60" w:type="dxa"/>
            <w:vAlign w:val="bottom"/>
          </w:tcPr>
          <w:p>
            <w:pPr>
              <w:spacing w:after="0"/>
              <w:rPr>
                <w:sz w:val="20"/>
                <w:szCs w:val="20"/>
                <w:color w:val="auto"/>
              </w:rPr>
            </w:pPr>
          </w:p>
        </w:tc>
        <w:tc>
          <w:tcPr>
            <w:tcW w:w="7540" w:type="dxa"/>
            <w:vAlign w:val="bottom"/>
            <w:gridSpan w:val="20"/>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Ninth Supplemental Indenture, dated as of October 28, 2026, between Navient LLC and The Bank of New York Mellon, as</w:t>
              </w:r>
            </w:hyperlink>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00" w:type="dxa"/>
            <w:vAlign w:val="bottom"/>
            <w:tcBorders>
              <w:bottom w:val="single" w:sz="8" w:color="0000EE"/>
            </w:tcBorders>
            <w:gridSpan w:val="18"/>
          </w:tcPr>
          <w:p>
            <w:pPr>
              <w:spacing w:after="0" w:line="154"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trustee (incorporated by reference to Exhibit 4.1 to Navient LLC’s Current Report on Form 8-K filed on November 2, 2026 (File</w:t>
              </w:r>
            </w:hyperlink>
          </w:p>
        </w:tc>
        <w:tc>
          <w:tcPr>
            <w:tcW w:w="40" w:type="dxa"/>
            <w:vAlign w:val="bottom"/>
            <w:gridSpan w:val="2"/>
          </w:tcPr>
          <w:p>
            <w:pPr>
              <w:spacing w:after="0"/>
              <w:rPr>
                <w:sz w:val="13"/>
                <w:szCs w:val="13"/>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40" w:type="dxa"/>
            <w:vAlign w:val="bottom"/>
            <w:gridSpan w:val="20"/>
          </w:tcPr>
          <w:p>
            <w:pPr>
              <w:spacing w:after="0" w:line="154"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No. 001-36228))</w:t>
              </w:r>
            </w:hyperlink>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760" w:type="dxa"/>
            <w:vAlign w:val="bottom"/>
          </w:tcPr>
          <w:p>
            <w:pPr>
              <w:spacing w:after="0"/>
              <w:rPr>
                <w:sz w:val="20"/>
                <w:szCs w:val="20"/>
                <w:color w:val="auto"/>
              </w:rPr>
            </w:pPr>
          </w:p>
        </w:tc>
        <w:tc>
          <w:tcPr>
            <w:tcW w:w="748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Eighteenth Supplemental Indenture, dated as of October 28, 2026, between Navient LLC and The Bank of New York Mellon, as</w:t>
              </w:r>
            </w:hyperlink>
          </w:p>
        </w:tc>
        <w:tc>
          <w:tcPr>
            <w:tcW w:w="60" w:type="dxa"/>
            <w:vAlign w:val="bottom"/>
            <w:gridSpan w:val="3"/>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00" w:type="dxa"/>
            <w:vAlign w:val="bottom"/>
            <w:tcBorders>
              <w:bottom w:val="single" w:sz="8" w:color="0000EE"/>
            </w:tcBorders>
            <w:gridSpan w:val="18"/>
          </w:tcPr>
          <w:p>
            <w:pPr>
              <w:spacing w:after="0" w:line="154"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trustee (incorporated by reference to Exhibit 4.2 to Navient LLC’s Current Report on Form 8-K filed on November 2, 2026 (File</w:t>
              </w:r>
            </w:hyperlink>
          </w:p>
        </w:tc>
        <w:tc>
          <w:tcPr>
            <w:tcW w:w="40" w:type="dxa"/>
            <w:vAlign w:val="bottom"/>
            <w:gridSpan w:val="2"/>
          </w:tcPr>
          <w:p>
            <w:pPr>
              <w:spacing w:after="0"/>
              <w:rPr>
                <w:sz w:val="13"/>
                <w:szCs w:val="13"/>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40" w:type="dxa"/>
            <w:vAlign w:val="bottom"/>
            <w:gridSpan w:val="20"/>
          </w:tcPr>
          <w:p>
            <w:pPr>
              <w:spacing w:after="0" w:line="154"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No. 001-36228))</w:t>
              </w:r>
            </w:hyperlink>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60" w:type="dxa"/>
            <w:vAlign w:val="bottom"/>
          </w:tcPr>
          <w:p>
            <w:pPr>
              <w:spacing w:after="0"/>
              <w:rPr>
                <w:sz w:val="23"/>
                <w:szCs w:val="23"/>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Form of Debt Securities</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760" w:type="dxa"/>
            <w:vAlign w:val="bottom"/>
          </w:tcPr>
          <w:p>
            <w:pPr>
              <w:spacing w:after="0"/>
              <w:rPr>
                <w:sz w:val="22"/>
                <w:szCs w:val="22"/>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760" w:type="dxa"/>
            <w:vAlign w:val="bottom"/>
          </w:tcPr>
          <w:p>
            <w:pPr>
              <w:spacing w:after="0"/>
              <w:rPr>
                <w:sz w:val="22"/>
                <w:szCs w:val="22"/>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760" w:type="dxa"/>
            <w:vAlign w:val="bottom"/>
          </w:tcPr>
          <w:p>
            <w:pPr>
              <w:spacing w:after="0"/>
              <w:rPr>
                <w:sz w:val="19"/>
                <w:szCs w:val="19"/>
                <w:color w:val="auto"/>
              </w:rPr>
            </w:pPr>
          </w:p>
        </w:tc>
        <w:tc>
          <w:tcPr>
            <w:tcW w:w="1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Opinion of Kirkland &amp; Ellis LLP</w:t>
            </w:r>
          </w:p>
        </w:tc>
        <w:tc>
          <w:tcPr>
            <w:tcW w:w="5600" w:type="dxa"/>
            <w:vAlign w:val="bottom"/>
            <w:gridSpan w:val="16"/>
          </w:tcPr>
          <w:p>
            <w:pPr>
              <w:spacing w:after="0"/>
              <w:rPr>
                <w:sz w:val="19"/>
                <w:szCs w:val="19"/>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760" w:type="dxa"/>
            <w:vAlign w:val="bottom"/>
          </w:tcPr>
          <w:p>
            <w:pPr>
              <w:spacing w:after="0"/>
              <w:rPr>
                <w:sz w:val="20"/>
                <w:szCs w:val="20"/>
                <w:color w:val="auto"/>
              </w:rPr>
            </w:pPr>
          </w:p>
        </w:tc>
        <w:tc>
          <w:tcPr>
            <w:tcW w:w="3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Kirkland &amp; Ellis LLP (included in Exhibit 5.1)</w:t>
            </w:r>
          </w:p>
        </w:tc>
        <w:tc>
          <w:tcPr>
            <w:tcW w:w="4140" w:type="dxa"/>
            <w:vAlign w:val="bottom"/>
            <w:gridSpan w:val="12"/>
          </w:tcPr>
          <w:p>
            <w:pPr>
              <w:spacing w:after="0"/>
              <w:rPr>
                <w:sz w:val="20"/>
                <w:szCs w:val="20"/>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760" w:type="dxa"/>
            <w:vAlign w:val="bottom"/>
          </w:tcPr>
          <w:p>
            <w:pPr>
              <w:spacing w:after="0"/>
              <w:rPr>
                <w:sz w:val="20"/>
                <w:szCs w:val="20"/>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Consent of KPMG LLP</w:t>
            </w: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760" w:type="dxa"/>
            <w:vAlign w:val="bottom"/>
          </w:tcPr>
          <w:p>
            <w:pPr>
              <w:spacing w:after="0"/>
              <w:rPr>
                <w:sz w:val="20"/>
                <w:szCs w:val="20"/>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hereto)</w:t>
            </w: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760" w:type="dxa"/>
            <w:vAlign w:val="bottom"/>
          </w:tcPr>
          <w:p>
            <w:pPr>
              <w:spacing w:after="0"/>
              <w:rPr>
                <w:sz w:val="20"/>
                <w:szCs w:val="20"/>
                <w:color w:val="auto"/>
              </w:rPr>
            </w:pPr>
          </w:p>
        </w:tc>
        <w:tc>
          <w:tcPr>
            <w:tcW w:w="7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Statement of Eligibility of Trustee on Form T-1 of The Bank of New York Mellon, trustee for the Indenture dated as of July 18,</w:t>
            </w:r>
          </w:p>
        </w:tc>
        <w:tc>
          <w:tcPr>
            <w:tcW w:w="160" w:type="dxa"/>
            <w:vAlign w:val="bottom"/>
            <w:gridSpan w:val="5"/>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9"/>
              </w:rPr>
              <w:t>2014</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25.2</w:t>
            </w:r>
          </w:p>
        </w:tc>
        <w:tc>
          <w:tcPr>
            <w:tcW w:w="760" w:type="dxa"/>
            <w:vAlign w:val="bottom"/>
          </w:tcPr>
          <w:p>
            <w:pPr>
              <w:spacing w:after="0"/>
              <w:rPr>
                <w:sz w:val="20"/>
                <w:szCs w:val="20"/>
                <w:color w:val="auto"/>
              </w:rPr>
            </w:pPr>
          </w:p>
        </w:tc>
        <w:tc>
          <w:tcPr>
            <w:tcW w:w="75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Statement of Eligibility of Trustee on Form T-1 of The Bank of New York Mellon, trustee for the Indenture dated as of October 1,</w:t>
            </w:r>
          </w:p>
        </w:tc>
      </w:tr>
      <w:tr>
        <w:trPr>
          <w:trHeight w:val="154"/>
        </w:trPr>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Borders>
              <w:top w:val="single" w:sz="8" w:color="0000EE"/>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9"/>
              </w:rPr>
              <w:t>2000</w:t>
            </w:r>
          </w:p>
        </w:tc>
        <w:tc>
          <w:tcPr>
            <w:tcW w:w="68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94" w:lineRule="exact"/>
        <w:rPr>
          <w:sz w:val="20"/>
          <w:szCs w:val="20"/>
          <w:color w:val="auto"/>
        </w:rPr>
      </w:pPr>
    </w:p>
    <w:p>
      <w:pPr>
        <w:ind w:left="2540" w:hanging="1327"/>
        <w:spacing w:after="0"/>
        <w:tabs>
          <w:tab w:leader="none" w:pos="2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8" w:lineRule="exact"/>
        <w:rPr>
          <w:sz w:val="20"/>
          <w:szCs w:val="20"/>
          <w:color w:val="auto"/>
        </w:rPr>
      </w:pPr>
    </w:p>
    <w:p>
      <w:pPr>
        <w:ind w:left="1560" w:hanging="347"/>
        <w:spacing w:after="0"/>
        <w:tabs>
          <w:tab w:leader="none" w:pos="1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an amendment or an exhibit to a document to be incorporated or deemed to be incorporated by reference to this registration</w:t>
      </w:r>
    </w:p>
    <w:p>
      <w:pPr>
        <w:spacing w:after="0" w:line="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statement, including a Current Report on Form 8-K.</w:t>
      </w:r>
    </w:p>
    <w:p>
      <w:pPr>
        <w:spacing w:after="0" w:line="13" w:lineRule="exact"/>
        <w:rPr>
          <w:sz w:val="20"/>
          <w:szCs w:val="20"/>
          <w:color w:val="auto"/>
        </w:rPr>
      </w:pPr>
    </w:p>
    <w:p>
      <w:pPr>
        <w:ind w:left="1560" w:hanging="347"/>
        <w:spacing w:after="0"/>
        <w:tabs>
          <w:tab w:leader="none" w:pos="15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9" w:lineRule="exact"/>
        <w:rPr>
          <w:sz w:val="20"/>
          <w:szCs w:val="20"/>
          <w:color w:val="auto"/>
        </w:rPr>
      </w:pPr>
    </w:p>
    <w:p>
      <w:pPr>
        <w:ind w:left="1220" w:right="119" w:firstLine="354"/>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S-3 and has duly caused this registration statement on Form S-3 to be signed on its behalf by the undersigned, thereunto duly authorized, in the City of Herndon, State of Virginia on November 2, 2026.</w:t>
      </w:r>
    </w:p>
    <w:p>
      <w:pPr>
        <w:spacing w:after="0" w:line="1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NAVIENT LLC:</w:t>
      </w:r>
    </w:p>
    <w:p>
      <w:pPr>
        <w:spacing w:after="0" w:line="1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17145</wp:posOffset>
            </wp:positionV>
            <wp:extent cx="208978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2089785" cy="6985"/>
                    </a:xfrm>
                    <a:prstGeom prst="rect">
                      <a:avLst/>
                    </a:prstGeom>
                    <a:noFill/>
                  </pic:spPr>
                </pic:pic>
              </a:graphicData>
            </a:graphic>
          </wp:anchor>
        </w:drawing>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Name: Edward Bramson</w:t>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3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9" w:lineRule="exact"/>
        <w:rPr>
          <w:sz w:val="20"/>
          <w:szCs w:val="20"/>
          <w:color w:val="auto"/>
        </w:rPr>
      </w:pPr>
    </w:p>
    <w:p>
      <w:pPr>
        <w:ind w:left="1220" w:right="99" w:firstLine="354"/>
        <w:spacing w:after="0" w:line="264" w:lineRule="auto"/>
        <w:rPr>
          <w:sz w:val="20"/>
          <w:szCs w:val="20"/>
          <w:color w:val="auto"/>
        </w:rPr>
      </w:pPr>
      <w:r>
        <w:rPr>
          <w:rFonts w:ascii="Times New Roman" w:cs="Times New Roman" w:eastAsia="Times New Roman" w:hAnsi="Times New Roman"/>
          <w:sz w:val="14"/>
          <w:szCs w:val="14"/>
          <w:color w:val="auto"/>
        </w:rPr>
        <w:t>In accordance with the requirements of the Securities Act, this Registration Statement has been signed by the following persons in the capacities and on the dates stated. Each person whose signature appears below constitutes and appoints Edward Bramson, Steve Hauber and Matthew Sheldon, and each of them severally, as his or her true and lawful attorney-in-fact and agent, each acting alone with full power of substitution and resubstitution, for him or her and in his or her name, place and stead, in any and all capacities, to sign any or all amendments (including post-effective amendments) and exhibits to this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4" w:lineRule="exact"/>
        <w:rPr>
          <w:sz w:val="20"/>
          <w:szCs w:val="20"/>
          <w:color w:val="auto"/>
        </w:rPr>
      </w:pPr>
    </w:p>
    <w:p>
      <w:pPr>
        <w:ind w:left="1220" w:right="579" w:firstLine="354"/>
        <w:spacing w:after="0" w:line="300"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on Form S-3 has been signed by the following persons in the capacities indicated on November 2, 2026.</w:t>
      </w:r>
    </w:p>
    <w:p>
      <w:pPr>
        <w:spacing w:after="0" w:line="136" w:lineRule="exact"/>
        <w:rPr>
          <w:sz w:val="20"/>
          <w:szCs w:val="20"/>
          <w:color w:val="auto"/>
        </w:rPr>
      </w:pPr>
    </w:p>
    <w:tbl>
      <w:tblPr>
        <w:tblLayout w:type="fixed"/>
        <w:tblInd w:w="1220" w:type="dxa"/>
        <w:tblCellMar>
          <w:top w:w="0" w:type="dxa"/>
          <w:left w:w="0" w:type="dxa"/>
          <w:bottom w:w="0" w:type="dxa"/>
          <w:right w:w="0" w:type="dxa"/>
        </w:tblCellMar>
      </w:tblPr>
      <w:tr>
        <w:trPr>
          <w:trHeight w:val="150"/>
        </w:trPr>
        <w:tc>
          <w:tcPr>
            <w:tcW w:w="36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80" w:type="dxa"/>
            <w:vAlign w:val="bottom"/>
          </w:tcPr>
          <w:p>
            <w:pPr>
              <w:spacing w:after="0"/>
              <w:rPr>
                <w:sz w:val="13"/>
                <w:szCs w:val="13"/>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8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328"/>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4"/>
                <w:szCs w:val="14"/>
                <w:color w:val="auto"/>
              </w:rPr>
              <w:t>/ EDWARD BRAMSON</w:t>
            </w:r>
          </w:p>
        </w:tc>
        <w:tc>
          <w:tcPr>
            <w:tcW w:w="80" w:type="dxa"/>
            <w:vAlign w:val="bottom"/>
          </w:tcPr>
          <w:p>
            <w:pPr>
              <w:spacing w:after="0"/>
              <w:rPr>
                <w:sz w:val="24"/>
                <w:szCs w:val="24"/>
                <w:color w:val="auto"/>
              </w:rPr>
            </w:pP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Edward Bramson</w:t>
            </w:r>
          </w:p>
        </w:tc>
        <w:tc>
          <w:tcPr>
            <w:tcW w:w="80" w:type="dxa"/>
            <w:vAlign w:val="bottom"/>
          </w:tcPr>
          <w:p>
            <w:pPr>
              <w:spacing w:after="0"/>
              <w:rPr>
                <w:sz w:val="15"/>
                <w:szCs w:val="15"/>
                <w:color w:val="auto"/>
              </w:rPr>
            </w:pPr>
          </w:p>
        </w:tc>
        <w:tc>
          <w:tcPr>
            <w:tcW w:w="3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5"/>
                <w:szCs w:val="15"/>
                <w:color w:val="auto"/>
              </w:rPr>
            </w:pPr>
          </w:p>
        </w:tc>
      </w:tr>
      <w:tr>
        <w:trPr>
          <w:trHeight w:val="34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4"/>
                <w:szCs w:val="14"/>
                <w:color w:val="auto"/>
              </w:rPr>
              <w:t>/ STEVE HAUBER</w:t>
            </w:r>
          </w:p>
        </w:tc>
        <w:tc>
          <w:tcPr>
            <w:tcW w:w="80" w:type="dxa"/>
            <w:vAlign w:val="bottom"/>
          </w:tcPr>
          <w:p>
            <w:pPr>
              <w:spacing w:after="0"/>
              <w:rPr>
                <w:sz w:val="24"/>
                <w:szCs w:val="24"/>
                <w:color w:val="auto"/>
              </w:rPr>
            </w:pP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Chief Financial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Steve Hauber</w:t>
            </w:r>
          </w:p>
        </w:tc>
        <w:tc>
          <w:tcPr>
            <w:tcW w:w="80" w:type="dxa"/>
            <w:vAlign w:val="bottom"/>
          </w:tcPr>
          <w:p>
            <w:pPr>
              <w:spacing w:after="0"/>
              <w:rPr>
                <w:sz w:val="15"/>
                <w:szCs w:val="15"/>
                <w:color w:val="auto"/>
              </w:rPr>
            </w:pPr>
          </w:p>
        </w:tc>
        <w:tc>
          <w:tcPr>
            <w:tcW w:w="3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860" w:type="dxa"/>
            <w:vAlign w:val="bottom"/>
          </w:tcPr>
          <w:p>
            <w:pPr>
              <w:spacing w:after="0"/>
              <w:rPr>
                <w:sz w:val="15"/>
                <w:szCs w:val="15"/>
                <w:color w:val="auto"/>
              </w:rPr>
            </w:pPr>
          </w:p>
        </w:tc>
      </w:tr>
      <w:tr>
        <w:trPr>
          <w:trHeight w:val="34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4"/>
                <w:szCs w:val="14"/>
                <w:color w:val="auto"/>
              </w:rPr>
              <w:t>/ TROY T. STANDISH</w:t>
            </w:r>
          </w:p>
        </w:tc>
        <w:tc>
          <w:tcPr>
            <w:tcW w:w="80" w:type="dxa"/>
            <w:vAlign w:val="bottom"/>
          </w:tcPr>
          <w:p>
            <w:pPr>
              <w:spacing w:after="0"/>
              <w:rPr>
                <w:sz w:val="24"/>
                <w:szCs w:val="24"/>
                <w:color w:val="auto"/>
              </w:rPr>
            </w:pP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Troy T. Standish</w:t>
            </w: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4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4"/>
                <w:szCs w:val="14"/>
                <w:color w:val="auto"/>
              </w:rPr>
              <w:t>/ MATTHEW PALESE</w:t>
            </w:r>
          </w:p>
        </w:tc>
        <w:tc>
          <w:tcPr>
            <w:tcW w:w="80" w:type="dxa"/>
            <w:vAlign w:val="bottom"/>
          </w:tcPr>
          <w:p>
            <w:pPr>
              <w:spacing w:after="0"/>
              <w:rPr>
                <w:sz w:val="24"/>
                <w:szCs w:val="24"/>
                <w:color w:val="auto"/>
              </w:rPr>
            </w:pP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Matthew Palese</w:t>
            </w: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89"/>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II-5</w:t>
            </w:r>
          </w:p>
        </w:tc>
        <w:tc>
          <w:tcPr>
            <w:tcW w:w="1860" w:type="dxa"/>
            <w:vAlign w:val="bottom"/>
          </w:tcPr>
          <w:p>
            <w:pPr>
              <w:spacing w:after="0"/>
              <w:rPr>
                <w:sz w:val="24"/>
                <w:szCs w:val="24"/>
                <w:color w:val="auto"/>
              </w:rPr>
            </w:pPr>
          </w:p>
        </w:tc>
      </w:tr>
    </w:tbl>
    <w:p>
      <w:pPr>
        <w:sectPr>
          <w:pgSz w:w="11900" w:h="16838" w:orient="portrait"/>
          <w:cols w:equalWidth="0" w:num="1">
            <w:col w:w="10159"/>
          </w:cols>
          <w:pgMar w:left="300" w:top="394"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2953385</wp:posOffset>
            </wp:positionH>
            <wp:positionV relativeFrom="page">
              <wp:posOffset>323215</wp:posOffset>
            </wp:positionV>
            <wp:extent cx="1641475"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641475" cy="15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color w:val="auto"/>
        </w:rPr>
        <w:t>333 West Wolf Point Plaza</w:t>
      </w:r>
    </w:p>
    <w:p>
      <w:pPr>
        <w:spacing w:after="0" w:line="28"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color w:val="auto"/>
        </w:rPr>
        <w:t>Chicago, IL 60654</w:t>
      </w:r>
    </w:p>
    <w:p>
      <w:pPr>
        <w:spacing w:after="0" w:line="13"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color w:val="auto"/>
        </w:rPr>
        <w:t>United States</w:t>
      </w:r>
    </w:p>
    <w:p>
      <w:pPr>
        <w:spacing w:after="0" w:line="280"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color w:val="auto"/>
        </w:rPr>
        <w:t>+1 312 862 2000</w:t>
      </w:r>
    </w:p>
    <w:p>
      <w:pPr>
        <w:spacing w:after="0" w:line="100"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color w:val="auto"/>
        </w:rPr>
        <w:t>www.kirkland.com</w:t>
      </w:r>
    </w:p>
    <w:p>
      <w:pPr>
        <w:spacing w:after="0" w:line="18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13865 Sunrise Valley Drive</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Herndon, Virginia 20171</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u w:val="single" w:color="auto"/>
          <w:color w:val="auto"/>
        </w:rPr>
        <w:t>Registration Statement on Form S-3ASR</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 w:lineRule="exact"/>
        <w:rPr>
          <w:sz w:val="20"/>
          <w:szCs w:val="20"/>
          <w:color w:val="auto"/>
        </w:rPr>
      </w:pPr>
      <w:r>
        <w:rPr>
          <w:sz w:val="20"/>
          <w:szCs w:val="20"/>
          <w:color w:val="auto"/>
        </w:rPr>
        <w:br w:type="column"/>
      </w:r>
    </w:p>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4"/>
          <w:szCs w:val="14"/>
          <w:color w:val="auto"/>
        </w:rPr>
        <w:t>Facsimile: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+1 312 862 2200</w:t>
      </w:r>
    </w:p>
    <w:p>
      <w:pPr>
        <w:spacing w:after="0" w:line="2181" w:lineRule="exact"/>
        <w:rPr>
          <w:sz w:val="20"/>
          <w:szCs w:val="20"/>
          <w:color w:val="auto"/>
        </w:rPr>
      </w:pPr>
    </w:p>
    <w:p>
      <w:pPr>
        <w:sectPr>
          <w:pgSz w:w="11900" w:h="16838" w:orient="portrait"/>
          <w:cols w:equalWidth="0" w:num="2">
            <w:col w:w="6360" w:space="720"/>
            <w:col w:w="1939"/>
          </w:cols>
          <w:pgMar w:left="1440" w:top="123" w:right="1440" w:bottom="1440" w:gutter="0" w:footer="0" w:header="0"/>
        </w:sectPr>
      </w:pPr>
    </w:p>
    <w:p>
      <w:pPr>
        <w:ind w:left="420"/>
        <w:spacing w:after="0"/>
        <w:rPr>
          <w:sz w:val="20"/>
          <w:szCs w:val="20"/>
          <w:color w:val="auto"/>
        </w:rPr>
      </w:pPr>
      <w:r>
        <w:rPr>
          <w:rFonts w:ascii="Times New Roman" w:cs="Times New Roman" w:eastAsia="Times New Roman" w:hAnsi="Times New Roman"/>
          <w:sz w:val="14"/>
          <w:szCs w:val="14"/>
          <w:color w:val="auto"/>
        </w:rPr>
        <w:t>We are acting as special counsel to Navient LLC, a Delaware limited liability company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of</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the Registration Statement on Form S-3ASR (such Registration Statement, as amended or supplemented, is hereinafter referred to as the “</w:t>
      </w:r>
      <w:r>
        <w:rPr>
          <w:rFonts w:ascii="Times New Roman" w:cs="Times New Roman" w:eastAsia="Times New Roman" w:hAnsi="Times New Roman"/>
          <w:sz w:val="14"/>
          <w:szCs w:val="14"/>
          <w:u w:val="single" w:color="auto"/>
          <w:color w:val="auto"/>
        </w:rPr>
        <w:t>Registration</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auto"/>
        </w:rPr>
        <w:t>Statement</w:t>
      </w:r>
      <w:r>
        <w:rPr>
          <w:rFonts w:ascii="Times New Roman" w:cs="Times New Roman" w:eastAsia="Times New Roman" w:hAnsi="Times New Roman"/>
          <w:sz w:val="14"/>
          <w:szCs w:val="14"/>
          <w:color w:val="auto"/>
        </w:rPr>
        <w:t>”) filed with the U.S.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on or about November 2, 2026 under the Securities Act of</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by the Company. The Registration Statement relates to the issuance and sale from time to time, pursuant to</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Rule 415 of the General Rules and Regulations promulgated under the Securities Act, of an unspecified amount of the following securities: (i) debt</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securities issued by the Company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(ii) warrants to purchase Debt Securities (the “</w:t>
      </w:r>
      <w:r>
        <w:rPr>
          <w:rFonts w:ascii="Times New Roman" w:cs="Times New Roman" w:eastAsia="Times New Roman" w:hAnsi="Times New Roman"/>
          <w:sz w:val="14"/>
          <w:szCs w:val="14"/>
          <w:u w:val="single" w:color="auto"/>
          <w:color w:val="auto"/>
        </w:rPr>
        <w:t>Debt Warrants</w:t>
      </w:r>
      <w:r>
        <w:rPr>
          <w:rFonts w:ascii="Times New Roman" w:cs="Times New Roman" w:eastAsia="Times New Roman" w:hAnsi="Times New Roman"/>
          <w:sz w:val="14"/>
          <w:szCs w:val="14"/>
          <w:color w:val="auto"/>
        </w:rPr>
        <w:t>”), (iii) warrants to purchase units</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(as defined below) (the “</w:t>
      </w:r>
      <w:r>
        <w:rPr>
          <w:rFonts w:ascii="Times New Roman" w:cs="Times New Roman" w:eastAsia="Times New Roman" w:hAnsi="Times New Roman"/>
          <w:sz w:val="14"/>
          <w:szCs w:val="14"/>
          <w:u w:val="single" w:color="auto"/>
          <w:color w:val="auto"/>
        </w:rPr>
        <w:t>Unit Warrants</w:t>
      </w:r>
      <w:r>
        <w:rPr>
          <w:rFonts w:ascii="Times New Roman" w:cs="Times New Roman" w:eastAsia="Times New Roman" w:hAnsi="Times New Roman"/>
          <w:sz w:val="14"/>
          <w:szCs w:val="14"/>
          <w:color w:val="auto"/>
        </w:rPr>
        <w:t>”) and (iv) units consisting of two or more securities of the Company (the “</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The Debt Warrants and the</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Unit Warrants are collectively referred to as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and the Warrants, together with the Debt Securities, are collectively referred to as the</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Securities may be offered in one or more offerings from time to time on a delayed or continuous basis. Any Debt Securities may be</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convertible into or exchangeable for other Securities.</w:t>
      </w:r>
    </w:p>
    <w:p>
      <w:pPr>
        <w:spacing w:after="0" w:line="171" w:lineRule="exact"/>
        <w:rPr>
          <w:sz w:val="20"/>
          <w:szCs w:val="20"/>
          <w:color w:val="auto"/>
        </w:rPr>
      </w:pPr>
    </w:p>
    <w:p>
      <w:pPr>
        <w:ind w:left="80" w:right="99" w:firstLine="354"/>
        <w:spacing w:after="0" w:line="266" w:lineRule="auto"/>
        <w:rPr>
          <w:sz w:val="20"/>
          <w:szCs w:val="20"/>
          <w:color w:val="auto"/>
        </w:rPr>
      </w:pPr>
      <w:r>
        <w:rPr>
          <w:rFonts w:ascii="Times New Roman" w:cs="Times New Roman" w:eastAsia="Times New Roman" w:hAnsi="Times New Roman"/>
          <w:sz w:val="14"/>
          <w:szCs w:val="14"/>
          <w:color w:val="auto"/>
        </w:rPr>
        <w:t>You have advised us that: (i) the Debt Securities will be issued under the indenture filed as an exhibit to the Registration Statement (as amended or supplemented from time to time, the “</w:t>
      </w:r>
      <w:r>
        <w:rPr>
          <w:rFonts w:ascii="Times New Roman" w:cs="Times New Roman" w:eastAsia="Times New Roman" w:hAnsi="Times New Roman"/>
          <w:sz w:val="14"/>
          <w:szCs w:val="14"/>
          <w:u w:val="single" w:color="auto"/>
          <w:color w:val="auto"/>
        </w:rPr>
        <w:t>2000 Indenture</w:t>
      </w:r>
      <w:r>
        <w:rPr>
          <w:rFonts w:ascii="Times New Roman" w:cs="Times New Roman" w:eastAsia="Times New Roman" w:hAnsi="Times New Roman"/>
          <w:sz w:val="14"/>
          <w:szCs w:val="14"/>
          <w:color w:val="auto"/>
        </w:rPr>
        <w:t>”), dated as of October 1, 2000, between the Company (as successor to Navient Corporation, which was the successor to SLM Corporation and USA Education, Inc.) and The Bank of New York Mellon (as successor to J.P. Morgan Chase Bank, National Association, formerly Chase Manhattan Bank),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or the indenture filed as an exhibit to the Registration Statement (as amended or supplemented from time to time, the “</w:t>
      </w:r>
      <w:r>
        <w:rPr>
          <w:rFonts w:ascii="Times New Roman" w:cs="Times New Roman" w:eastAsia="Times New Roman" w:hAnsi="Times New Roman"/>
          <w:sz w:val="14"/>
          <w:szCs w:val="14"/>
          <w:u w:val="single" w:color="auto"/>
          <w:color w:val="auto"/>
        </w:rPr>
        <w:t>2014 Indenture</w:t>
      </w:r>
      <w:r>
        <w:rPr>
          <w:rFonts w:ascii="Times New Roman" w:cs="Times New Roman" w:eastAsia="Times New Roman" w:hAnsi="Times New Roman"/>
          <w:sz w:val="14"/>
          <w:szCs w:val="14"/>
          <w:color w:val="auto"/>
        </w:rPr>
        <w:t>” and together with the 2000 Indenture, the “</w:t>
      </w:r>
      <w:r>
        <w:rPr>
          <w:rFonts w:ascii="Times New Roman" w:cs="Times New Roman" w:eastAsia="Times New Roman" w:hAnsi="Times New Roman"/>
          <w:sz w:val="14"/>
          <w:szCs w:val="14"/>
          <w:u w:val="single" w:color="auto"/>
          <w:color w:val="auto"/>
        </w:rPr>
        <w:t>Indentures</w:t>
      </w:r>
      <w:r>
        <w:rPr>
          <w:rFonts w:ascii="Times New Roman" w:cs="Times New Roman" w:eastAsia="Times New Roman" w:hAnsi="Times New Roman"/>
          <w:sz w:val="14"/>
          <w:szCs w:val="14"/>
          <w:color w:val="auto"/>
        </w:rPr>
        <w:t>”), dated as of July 18, 2014, between the Company (as successor to Navient Corporation) and the Trustee; (ii) the Debt Warrants will be issued under one or more debt warrant agreements (each, a “</w:t>
      </w:r>
      <w:r>
        <w:rPr>
          <w:rFonts w:ascii="Times New Roman" w:cs="Times New Roman" w:eastAsia="Times New Roman" w:hAnsi="Times New Roman"/>
          <w:sz w:val="14"/>
          <w:szCs w:val="14"/>
          <w:u w:val="single" w:color="auto"/>
          <w:color w:val="auto"/>
        </w:rPr>
        <w:t>Debt Warrant Agreement</w:t>
      </w:r>
      <w:r>
        <w:rPr>
          <w:rFonts w:ascii="Times New Roman" w:cs="Times New Roman" w:eastAsia="Times New Roman" w:hAnsi="Times New Roman"/>
          <w:sz w:val="14"/>
          <w:szCs w:val="14"/>
          <w:color w:val="auto"/>
        </w:rPr>
        <w:t>”); (iii) the Unit Warrants will be issued under one or more unit warrant agreements (each, a “</w:t>
      </w:r>
      <w:r>
        <w:rPr>
          <w:rFonts w:ascii="Times New Roman" w:cs="Times New Roman" w:eastAsia="Times New Roman" w:hAnsi="Times New Roman"/>
          <w:sz w:val="14"/>
          <w:szCs w:val="14"/>
          <w:u w:val="single" w:color="auto"/>
          <w:color w:val="auto"/>
        </w:rPr>
        <w:t>Unit Warrant</w:t>
      </w:r>
    </w:p>
    <w:p>
      <w:pPr>
        <w:sectPr>
          <w:pgSz w:w="11900" w:h="16838" w:orient="portrait"/>
          <w:cols w:equalWidth="0" w:num="1">
            <w:col w:w="9019"/>
          </w:cols>
          <w:pgMar w:left="1440" w:top="123" w:right="1440" w:bottom="1440" w:gutter="0" w:footer="0" w:header="0"/>
          <w:type w:val="continuous"/>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164465</wp:posOffset>
            </wp:positionV>
            <wp:extent cx="1337945"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37795"/>
                    </a:xfrm>
                    <a:prstGeom prst="rect">
                      <a:avLst/>
                    </a:prstGeom>
                    <a:noFill/>
                  </pic:spPr>
                </pic:pic>
              </a:graphicData>
            </a:graphic>
          </wp:anchor>
        </w:drawing>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2</w:t>
      </w:r>
    </w:p>
    <w:p>
      <w:pPr>
        <w:spacing w:after="0" w:line="117" w:lineRule="exact"/>
        <w:rPr>
          <w:sz w:val="20"/>
          <w:szCs w:val="20"/>
          <w:color w:val="auto"/>
        </w:rPr>
      </w:pPr>
    </w:p>
    <w:p>
      <w:pPr>
        <w:ind w:left="80" w:right="119"/>
        <w:spacing w:after="0" w:line="273" w:lineRule="auto"/>
        <w:rPr>
          <w:sz w:val="20"/>
          <w:szCs w:val="20"/>
          <w:color w:val="auto"/>
        </w:rPr>
      </w:pP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and, together with the Debt Warrant Agreements, the “</w:t>
      </w:r>
      <w:r>
        <w:rPr>
          <w:rFonts w:ascii="Times New Roman" w:cs="Times New Roman" w:eastAsia="Times New Roman" w:hAnsi="Times New Roman"/>
          <w:sz w:val="14"/>
          <w:szCs w:val="14"/>
          <w:u w:val="single" w:color="auto"/>
          <w:color w:val="auto"/>
        </w:rPr>
        <w:t>Warrant Agreements</w:t>
      </w:r>
      <w:r>
        <w:rPr>
          <w:rFonts w:ascii="Times New Roman" w:cs="Times New Roman" w:eastAsia="Times New Roman" w:hAnsi="Times New Roman"/>
          <w:sz w:val="14"/>
          <w:szCs w:val="14"/>
          <w:color w:val="auto"/>
        </w:rPr>
        <w:t>”); and (iv) the Units will be issued under one or more unit agreements (each, a “</w:t>
      </w:r>
      <w:r>
        <w:rPr>
          <w:rFonts w:ascii="Times New Roman" w:cs="Times New Roman" w:eastAsia="Times New Roman" w:hAnsi="Times New Roman"/>
          <w:sz w:val="14"/>
          <w:szCs w:val="14"/>
          <w:u w:val="single" w:color="auto"/>
          <w:color w:val="auto"/>
        </w:rPr>
        <w:t>Unit Agreement</w:t>
      </w:r>
      <w:r>
        <w:rPr>
          <w:rFonts w:ascii="Times New Roman" w:cs="Times New Roman" w:eastAsia="Times New Roman" w:hAnsi="Times New Roman"/>
          <w:sz w:val="14"/>
          <w:szCs w:val="14"/>
          <w:color w:val="auto"/>
        </w:rPr>
        <w:t>”)). Each Warrant Agreement will be between the Company and a financial institution identified therein as warrant agent (each, a “</w:t>
      </w:r>
      <w:r>
        <w:rPr>
          <w:rFonts w:ascii="Times New Roman" w:cs="Times New Roman" w:eastAsia="Times New Roman" w:hAnsi="Times New Roman"/>
          <w:sz w:val="14"/>
          <w:szCs w:val="14"/>
          <w:u w:val="single" w:color="auto"/>
          <w:color w:val="auto"/>
        </w:rPr>
        <w:t>Warrant Agent</w:t>
      </w:r>
      <w:r>
        <w:rPr>
          <w:rFonts w:ascii="Times New Roman" w:cs="Times New Roman" w:eastAsia="Times New Roman" w:hAnsi="Times New Roman"/>
          <w:sz w:val="14"/>
          <w:szCs w:val="14"/>
          <w:color w:val="auto"/>
        </w:rPr>
        <w:t>”). Each of the Indentures, each Warrant Agreement and each Unit Agreement shall be referred to herein as a “</w:t>
      </w:r>
      <w:r>
        <w:rPr>
          <w:rFonts w:ascii="Times New Roman" w:cs="Times New Roman" w:eastAsia="Times New Roman" w:hAnsi="Times New Roman"/>
          <w:sz w:val="14"/>
          <w:szCs w:val="14"/>
          <w:u w:val="single" w:color="auto"/>
          <w:color w:val="auto"/>
        </w:rPr>
        <w:t>Governing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w:t>
      </w:r>
      <w:r>
        <w:rPr>
          <w:rFonts w:ascii="Times New Roman" w:cs="Times New Roman" w:eastAsia="Times New Roman" w:hAnsi="Times New Roman"/>
          <w:sz w:val="14"/>
          <w:szCs w:val="14"/>
          <w:color w:val="auto"/>
        </w:rPr>
        <w:t>.” Each Trustee and Warrant Agent shall be referred to herein as a “</w:t>
      </w:r>
      <w:r>
        <w:rPr>
          <w:rFonts w:ascii="Times New Roman" w:cs="Times New Roman" w:eastAsia="Times New Roman" w:hAnsi="Times New Roman"/>
          <w:sz w:val="14"/>
          <w:szCs w:val="14"/>
          <w:u w:val="single" w:color="auto"/>
          <w:color w:val="auto"/>
        </w:rPr>
        <w:t>Governing Document Counterparty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80" w:right="199" w:firstLine="354"/>
        <w:spacing w:after="0" w:line="273" w:lineRule="auto"/>
        <w:rPr>
          <w:sz w:val="20"/>
          <w:szCs w:val="20"/>
          <w:color w:val="auto"/>
        </w:rPr>
      </w:pPr>
      <w:r>
        <w:rPr>
          <w:rFonts w:ascii="Times New Roman" w:cs="Times New Roman" w:eastAsia="Times New Roman" w:hAnsi="Times New Roman"/>
          <w:sz w:val="14"/>
          <w:szCs w:val="14"/>
          <w:color w:val="auto"/>
        </w:rPr>
        <w:t>In connection with the registration of the Securities, we have examined originals, or copies certified or otherwise identified to our satisfaction, of such documents, organizational records and other instruments as we have deemed necessary for the purposes of this opinion, including: (i) the organizational documents of the Company, (ii) minutes and records of the organizational proceedings of the Company and (iii) the Registration Statement and the exhibits thereto.</w:t>
      </w:r>
    </w:p>
    <w:p>
      <w:pPr>
        <w:spacing w:after="0" w:line="136"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have also assumed that:</w:t>
      </w:r>
    </w:p>
    <w:p>
      <w:pPr>
        <w:spacing w:after="0" w:line="187" w:lineRule="exact"/>
        <w:rPr>
          <w:sz w:val="20"/>
          <w:szCs w:val="20"/>
          <w:color w:val="auto"/>
        </w:rPr>
      </w:pPr>
    </w:p>
    <w:p>
      <w:pPr>
        <w:ind w:left="600" w:hanging="173"/>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will have become effective and comply with all applicable laws;</w:t>
      </w:r>
    </w:p>
    <w:p>
      <w:pPr>
        <w:spacing w:after="0" w:line="186" w:lineRule="exact"/>
        <w:rPr>
          <w:rFonts w:ascii="Times New Roman" w:cs="Times New Roman" w:eastAsia="Times New Roman" w:hAnsi="Times New Roman"/>
          <w:sz w:val="14"/>
          <w:szCs w:val="14"/>
          <w:color w:val="auto"/>
        </w:rPr>
      </w:pPr>
    </w:p>
    <w:p>
      <w:pPr>
        <w:ind w:left="80" w:right="639" w:firstLine="347"/>
        <w:spacing w:after="0" w:line="300" w:lineRule="auto"/>
        <w:tabs>
          <w:tab w:leader="none" w:pos="64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will be effective and will comply with all applicable laws at the time the Securities are offered or issued as contemplated by the Registration Statement;</w:t>
      </w:r>
    </w:p>
    <w:p>
      <w:pPr>
        <w:spacing w:after="0" w:line="118" w:lineRule="exact"/>
        <w:rPr>
          <w:rFonts w:ascii="Times New Roman" w:cs="Times New Roman" w:eastAsia="Times New Roman" w:hAnsi="Times New Roman"/>
          <w:sz w:val="14"/>
          <w:szCs w:val="14"/>
          <w:color w:val="auto"/>
        </w:rPr>
      </w:pPr>
    </w:p>
    <w:p>
      <w:pPr>
        <w:ind w:left="80" w:right="419" w:firstLine="347"/>
        <w:spacing w:after="0" w:line="300" w:lineRule="auto"/>
        <w:tabs>
          <w:tab w:leader="none" w:pos="68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supplement or term sheet (“</w:t>
      </w:r>
      <w:r>
        <w:rPr>
          <w:rFonts w:ascii="Times New Roman" w:cs="Times New Roman" w:eastAsia="Times New Roman" w:hAnsi="Times New Roman"/>
          <w:sz w:val="14"/>
          <w:szCs w:val="14"/>
          <w:u w:val="single" w:color="auto"/>
          <w:color w:val="auto"/>
        </w:rPr>
        <w:t>Prospectus Supplement</w:t>
      </w:r>
      <w:r>
        <w:rPr>
          <w:rFonts w:ascii="Times New Roman" w:cs="Times New Roman" w:eastAsia="Times New Roman" w:hAnsi="Times New Roman"/>
          <w:sz w:val="14"/>
          <w:szCs w:val="14"/>
          <w:color w:val="auto"/>
        </w:rPr>
        <w:t>”) will have been prepared and filed with the Commission describing the Securities offered thereby and will comply with all applicable laws;</w:t>
      </w:r>
    </w:p>
    <w:p>
      <w:pPr>
        <w:spacing w:after="0" w:line="118" w:lineRule="exact"/>
        <w:rPr>
          <w:rFonts w:ascii="Times New Roman" w:cs="Times New Roman" w:eastAsia="Times New Roman" w:hAnsi="Times New Roman"/>
          <w:sz w:val="14"/>
          <w:szCs w:val="14"/>
          <w:color w:val="auto"/>
        </w:rPr>
      </w:pPr>
    </w:p>
    <w:p>
      <w:pPr>
        <w:ind w:left="80" w:right="779" w:firstLine="347"/>
        <w:spacing w:after="0" w:line="300" w:lineRule="auto"/>
        <w:tabs>
          <w:tab w:leader="none" w:pos="67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compliance with applicable federal and state securities laws and in the manner stated in the Registration Statement and the appropriate Prospectus Supplement;</w:t>
      </w:r>
    </w:p>
    <w:p>
      <w:pPr>
        <w:sectPr>
          <w:pgSz w:w="11900" w:h="16838" w:orient="portrait"/>
          <w:cols w:equalWidth="0" w:num="1">
            <w:col w:w="9019"/>
          </w:cols>
          <w:pgMar w:left="1440" w:top="635"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164465</wp:posOffset>
            </wp:positionV>
            <wp:extent cx="1337945" cy="137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37795"/>
                    </a:xfrm>
                    <a:prstGeom prst="rect">
                      <a:avLst/>
                    </a:prstGeom>
                    <a:noFill/>
                  </pic:spPr>
                </pic:pic>
              </a:graphicData>
            </a:graphic>
          </wp:anchor>
        </w:drawing>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3</w:t>
      </w:r>
    </w:p>
    <w:p>
      <w:pPr>
        <w:spacing w:after="0" w:line="117" w:lineRule="exact"/>
        <w:rPr>
          <w:sz w:val="20"/>
          <w:szCs w:val="20"/>
          <w:color w:val="auto"/>
        </w:rPr>
      </w:pPr>
    </w:p>
    <w:p>
      <w:pPr>
        <w:ind w:left="80" w:right="259" w:firstLine="347"/>
        <w:spacing w:after="0" w:line="300" w:lineRule="auto"/>
        <w:tabs>
          <w:tab w:leader="none" w:pos="63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will be issued and sold in the form and containing the terms set forth in the Registration Statement, the appropriate Prospectus Supplement and the relevant Governing Document;</w:t>
      </w:r>
    </w:p>
    <w:p>
      <w:pPr>
        <w:spacing w:after="0" w:line="118" w:lineRule="exact"/>
        <w:rPr>
          <w:rFonts w:ascii="Times New Roman" w:cs="Times New Roman" w:eastAsia="Times New Roman" w:hAnsi="Times New Roman"/>
          <w:sz w:val="14"/>
          <w:szCs w:val="14"/>
          <w:color w:val="auto"/>
        </w:rPr>
      </w:pPr>
    </w:p>
    <w:p>
      <w:pPr>
        <w:ind w:left="80" w:right="99" w:firstLine="347"/>
        <w:spacing w:after="0" w:line="300"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offered as well as the terms of the applicable Governing Document, as executed and delivered, do not violate any law applicable to the Company or result in a default under or breach of any agreement or instrument binding upon the Company;</w:t>
      </w:r>
    </w:p>
    <w:p>
      <w:pPr>
        <w:spacing w:after="0" w:line="118" w:lineRule="exact"/>
        <w:rPr>
          <w:rFonts w:ascii="Times New Roman" w:cs="Times New Roman" w:eastAsia="Times New Roman" w:hAnsi="Times New Roman"/>
          <w:sz w:val="14"/>
          <w:szCs w:val="14"/>
          <w:color w:val="auto"/>
        </w:rPr>
      </w:pPr>
    </w:p>
    <w:p>
      <w:pPr>
        <w:ind w:left="80" w:right="239" w:firstLine="347"/>
        <w:spacing w:after="0" w:line="300" w:lineRule="auto"/>
        <w:tabs>
          <w:tab w:leader="none" w:pos="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have obtained any legally required consents, approvals, authorizations and other orders of the Commission and any other regulatory authorities necessary to issue and sell the Securities being offered and to execute and deliver the applicable Governing Document;</w:t>
      </w:r>
    </w:p>
    <w:p>
      <w:pPr>
        <w:spacing w:after="0" w:line="118" w:lineRule="exact"/>
        <w:rPr>
          <w:rFonts w:ascii="Times New Roman" w:cs="Times New Roman" w:eastAsia="Times New Roman" w:hAnsi="Times New Roman"/>
          <w:sz w:val="14"/>
          <w:szCs w:val="14"/>
          <w:color w:val="auto"/>
        </w:rPr>
      </w:pPr>
    </w:p>
    <w:p>
      <w:pPr>
        <w:ind w:left="80" w:right="199" w:firstLine="347"/>
        <w:spacing w:after="0" w:line="279"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offered as well as the terms of the applicable Governing Document, as executed and delivered, will comply with all requirements and restrictions, if any, applicable to the Company, whether imposed by any court or governmental or regulatory body having jurisdiction over the Company;</w:t>
      </w:r>
    </w:p>
    <w:p>
      <w:pPr>
        <w:spacing w:after="0" w:line="133" w:lineRule="exact"/>
        <w:rPr>
          <w:rFonts w:ascii="Times New Roman" w:cs="Times New Roman" w:eastAsia="Times New Roman" w:hAnsi="Times New Roman"/>
          <w:sz w:val="14"/>
          <w:szCs w:val="14"/>
          <w:color w:val="auto"/>
        </w:rPr>
      </w:pPr>
    </w:p>
    <w:p>
      <w:pPr>
        <w:ind w:left="80" w:right="619" w:firstLine="347"/>
        <w:spacing w:after="0" w:line="300"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distribution, purchase, underwriting, sales agent or similar agreement (each, a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with respect to any Securities offered or issued will have been duly authorized and validly executed and delivered by the Company and the other parties thereto;</w:t>
      </w:r>
    </w:p>
    <w:p>
      <w:pPr>
        <w:spacing w:after="0" w:line="118" w:lineRule="exact"/>
        <w:rPr>
          <w:rFonts w:ascii="Times New Roman" w:cs="Times New Roman" w:eastAsia="Times New Roman" w:hAnsi="Times New Roman"/>
          <w:sz w:val="14"/>
          <w:szCs w:val="14"/>
          <w:color w:val="auto"/>
        </w:rPr>
      </w:pPr>
    </w:p>
    <w:p>
      <w:pPr>
        <w:ind w:left="640" w:hanging="21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indenture and indenture trustee will have been qualified under the Trust Indenture Act of 1939, as amended; and</w:t>
      </w:r>
    </w:p>
    <w:p>
      <w:pPr>
        <w:spacing w:after="0" w:line="186" w:lineRule="exact"/>
        <w:rPr>
          <w:rFonts w:ascii="Times New Roman" w:cs="Times New Roman" w:eastAsia="Times New Roman" w:hAnsi="Times New Roman"/>
          <w:sz w:val="14"/>
          <w:szCs w:val="14"/>
          <w:color w:val="auto"/>
        </w:rPr>
      </w:pPr>
    </w:p>
    <w:p>
      <w:pPr>
        <w:ind w:left="80" w:right="119" w:firstLine="347"/>
        <w:spacing w:after="0" w:line="300"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issuable upon conversion, exchange, or exercise of any Security being offered or issued will be duly authorized, created, and, if appropriate, reserved for issuance upon such conversion, exchange, or exercise.</w:t>
      </w:r>
    </w:p>
    <w:p>
      <w:pPr>
        <w:spacing w:after="0" w:line="119" w:lineRule="exact"/>
        <w:rPr>
          <w:sz w:val="20"/>
          <w:szCs w:val="20"/>
          <w:color w:val="auto"/>
        </w:rPr>
      </w:pPr>
    </w:p>
    <w:p>
      <w:pPr>
        <w:ind w:left="80" w:right="479" w:firstLine="354"/>
        <w:spacing w:after="0" w:line="300" w:lineRule="auto"/>
        <w:rPr>
          <w:sz w:val="20"/>
          <w:szCs w:val="20"/>
          <w:color w:val="auto"/>
        </w:rPr>
      </w:pPr>
      <w:r>
        <w:rPr>
          <w:rFonts w:ascii="Times New Roman" w:cs="Times New Roman" w:eastAsia="Times New Roman" w:hAnsi="Times New Roman"/>
          <w:sz w:val="14"/>
          <w:szCs w:val="14"/>
          <w:color w:val="auto"/>
        </w:rPr>
        <w:t>Based upon and subject to the foregoing qualifications, assumptions and limitations and the further limitations set forth below, we are of the opinion that:</w:t>
      </w:r>
    </w:p>
    <w:p>
      <w:pPr>
        <w:spacing w:after="0" w:line="119" w:lineRule="exact"/>
        <w:rPr>
          <w:sz w:val="20"/>
          <w:szCs w:val="20"/>
          <w:color w:val="auto"/>
        </w:rPr>
      </w:pPr>
    </w:p>
    <w:p>
      <w:pPr>
        <w:ind w:left="80" w:right="99" w:firstLine="347"/>
        <w:spacing w:after="0" w:line="265" w:lineRule="auto"/>
        <w:tabs>
          <w:tab w:leader="none" w:pos="57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the terms of any particular series of Debt Securities have been duly authorized and duly established in accordance with the applicable Indenture and applicable law, (b) the appropriate corporate or organizational action has been taken to authorize the form, terms, execution and delivery of such Debt Securities (and any required amendment or supplement to the applicable Indenture), and (c) the applicable Debt Securities have been duly executed, attested, issued and delivered by duly authorized officers against payment in accordance with such authorization, the applicable Indenture, the applicable Purchase Agreement and applicable law and authenticated by the Trustee, such Debt Securities (including any Debt Securities duly executed and delivered (i) upon the exchange or conversion of Debt Securities that are exchangeable or convertible into another series of Debt Securities or (ii) upon the exercise of Warrants pursuant to the terms thereof that are exercisable for the purchase of Debt Securities) will constitute valid and binding obligations of the Company enforceable against the Company in accordance with their terms.</w:t>
      </w:r>
    </w:p>
    <w:p>
      <w:pPr>
        <w:sectPr>
          <w:pgSz w:w="11900" w:h="16838" w:orient="portrait"/>
          <w:cols w:equalWidth="0" w:num="1">
            <w:col w:w="9019"/>
          </w:cols>
          <w:pgMar w:left="1440" w:top="635"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164465</wp:posOffset>
            </wp:positionV>
            <wp:extent cx="1337945" cy="1377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37795"/>
                    </a:xfrm>
                    <a:prstGeom prst="rect">
                      <a:avLst/>
                    </a:prstGeom>
                    <a:noFill/>
                  </pic:spPr>
                </pic:pic>
              </a:graphicData>
            </a:graphic>
          </wp:anchor>
        </w:drawing>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4</w:t>
      </w:r>
    </w:p>
    <w:p>
      <w:pPr>
        <w:spacing w:after="0" w:line="117" w:lineRule="exact"/>
        <w:rPr>
          <w:sz w:val="20"/>
          <w:szCs w:val="20"/>
          <w:color w:val="auto"/>
        </w:rPr>
      </w:pPr>
    </w:p>
    <w:p>
      <w:pPr>
        <w:ind w:left="80" w:right="99" w:firstLine="347"/>
        <w:spacing w:after="0" w:line="266" w:lineRule="auto"/>
        <w:tabs>
          <w:tab w:leader="none" w:pos="57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the appropriate organizational action has been taken by the Company to authorize the form, terms, execution and delivery of the Warrant Agreement (including a form of certificate evidencing the Warrants), (b) Warrants with such terms have been duly executed, attested, issued and delivered by duly authorized officers of the Company against payment in accordance with such authorization, the applicable Purchase Agreement and applicable law, and (c) the Securities issuable upon exercise of such Warrants have been duly authorized and reserved for issuance by all necessary corporate or organizational action and, in the case of Warrants to purchase Debt Securities, when the terms of such Debt Securities have been duly authorized and duly established in accordance with the terms of the applicable indenture, applicable law and the appropriate corporate or organizational action, such Warrants will constitute valid and binding obligations of the Company, enforceable against the Company in accordance with their terms.</w:t>
      </w:r>
    </w:p>
    <w:p>
      <w:pPr>
        <w:spacing w:after="0" w:line="141" w:lineRule="exact"/>
        <w:rPr>
          <w:rFonts w:ascii="Times New Roman" w:cs="Times New Roman" w:eastAsia="Times New Roman" w:hAnsi="Times New Roman"/>
          <w:sz w:val="14"/>
          <w:szCs w:val="14"/>
          <w:color w:val="auto"/>
        </w:rPr>
      </w:pPr>
    </w:p>
    <w:p>
      <w:pPr>
        <w:ind w:left="80" w:right="99" w:firstLine="347"/>
        <w:spacing w:after="0" w:line="265" w:lineRule="auto"/>
        <w:tabs>
          <w:tab w:leader="none" w:pos="57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any Units have been duly authorized and duly established in accordance with applicable law, (b) the appropriate organizational action has been taken by the Company to authorize the form, terms, execution and delivery of the Units (including a form of certificate evidencing the Units) and the related Unit Agreement, (c) the Unit Agreement has been duly executed and delivered by the Company in accordance with such Company authorization, (d) the Units with such terms have been duly executed, attested, issued and delivered by any applicable Governing Document Counterparty and/or duly authorized officers of the Company against payment in accordance with such Company authorization, the applicable Purchase Agreement, applicable Unit Agreement and applicable law, and (e) the Securities issuable upon exercise of such Units and Unit Agreement have been duly authorized and reserved for issuance by all necessary corporate or organizational action, such Units and Unit Agreement will constitute valid and binding obligations of the Company, enforceable against the Company in accordance with their terms.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opinions expressed above are subject to the qualifications that we express no opinion as to the applicability of, compliance with, or effect of</w:t>
      </w:r>
    </w:p>
    <w:p>
      <w:pPr>
        <w:spacing w:after="0" w:line="28" w:lineRule="exact"/>
        <w:rPr>
          <w:sz w:val="20"/>
          <w:szCs w:val="20"/>
          <w:color w:val="auto"/>
        </w:rPr>
      </w:pPr>
    </w:p>
    <w:p>
      <w:pPr>
        <w:ind w:left="80" w:right="159" w:hanging="7"/>
        <w:spacing w:after="0" w:line="263" w:lineRule="auto"/>
        <w:tabs>
          <w:tab w:leader="none" w:pos="25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federal securities laws of the United States, the laws of the State of New York and the Delaware Limited Liability Company Act, including the applicable provisions of the Delaware constitution and reported judicial decisions interpreting these laws.</w:t>
      </w:r>
    </w:p>
    <w:p>
      <w:pPr>
        <w:sectPr>
          <w:pgSz w:w="11900" w:h="16838" w:orient="portrait"/>
          <w:cols w:equalWidth="0" w:num="1">
            <w:col w:w="9019"/>
          </w:cols>
          <w:pgMar w:left="1440" w:top="635"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164465</wp:posOffset>
            </wp:positionV>
            <wp:extent cx="1337945"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37795"/>
                    </a:xfrm>
                    <a:prstGeom prst="rect">
                      <a:avLst/>
                    </a:prstGeom>
                    <a:noFill/>
                  </pic:spPr>
                </pic:pic>
              </a:graphicData>
            </a:graphic>
          </wp:anchor>
        </w:drawing>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5</w:t>
      </w:r>
    </w:p>
    <w:p>
      <w:pPr>
        <w:spacing w:after="0" w:line="117" w:lineRule="exact"/>
        <w:rPr>
          <w:sz w:val="20"/>
          <w:szCs w:val="20"/>
          <w:color w:val="auto"/>
        </w:rPr>
      </w:pPr>
    </w:p>
    <w:p>
      <w:pPr>
        <w:ind w:left="80" w:right="119" w:firstLine="354"/>
        <w:spacing w:after="0" w:line="263" w:lineRule="auto"/>
        <w:rPr>
          <w:sz w:val="20"/>
          <w:szCs w:val="20"/>
          <w:color w:val="auto"/>
        </w:rPr>
      </w:pPr>
      <w:r>
        <w:rPr>
          <w:rFonts w:ascii="Times New Roman" w:cs="Times New Roman" w:eastAsia="Times New Roman" w:hAnsi="Times New Roman"/>
          <w:sz w:val="14"/>
          <w:szCs w:val="14"/>
          <w:color w:val="auto"/>
        </w:rPr>
        <w:t>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w:t>
      </w:r>
    </w:p>
    <w:p>
      <w:pPr>
        <w:spacing w:after="0" w:line="2" w:lineRule="exact"/>
        <w:rPr>
          <w:sz w:val="20"/>
          <w:szCs w:val="20"/>
          <w:color w:val="auto"/>
        </w:rPr>
      </w:pPr>
    </w:p>
    <w:p>
      <w:pPr>
        <w:ind w:left="80" w:right="159" w:hanging="7"/>
        <w:spacing w:after="0" w:line="259" w:lineRule="auto"/>
        <w:tabs>
          <w:tab w:leader="none" w:pos="32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make-whole premiums or other economic remedies to the extent such provisions are deemed to constitute a penalty. In addition, we express no opinion with respect to (i) whether acceleration of the Debt Securities may affect the collectibility of that portion of the stated principal amount thereof that might be determined to constitute unearned interest thereon, (ii) compliance with laws relating to permissible rates of interest or</w:t>
      </w:r>
    </w:p>
    <w:p>
      <w:pPr>
        <w:ind w:left="320" w:hanging="247"/>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creation, validity, perfection or priority of any security interest or lien.</w:t>
      </w:r>
    </w:p>
    <w:p>
      <w:pPr>
        <w:spacing w:after="0" w:line="171" w:lineRule="exact"/>
        <w:rPr>
          <w:sz w:val="20"/>
          <w:szCs w:val="20"/>
          <w:color w:val="auto"/>
        </w:rPr>
      </w:pPr>
    </w:p>
    <w:p>
      <w:pPr>
        <w:ind w:left="80" w:right="159" w:firstLine="354"/>
        <w:spacing w:after="0" w:line="264" w:lineRule="auto"/>
        <w:rPr>
          <w:sz w:val="20"/>
          <w:szCs w:val="20"/>
          <w:color w:val="auto"/>
        </w:rPr>
      </w:pPr>
      <w:r>
        <w:rPr>
          <w:rFonts w:ascii="Times New Roman" w:cs="Times New Roman" w:eastAsia="Times New Roman" w:hAnsi="Times New Roman"/>
          <w:sz w:val="14"/>
          <w:szCs w:val="14"/>
          <w:color w:val="auto"/>
        </w:rPr>
        <w:t>To the extent that the obligations of the Company under any Governing Document may be dependent on such matters, we assume for purposes of this opinion that the applicable Governing Document Counterparty is duly organized, validly existing and in good standing under the laws of its jurisdiction of organization; that the applicable Governing Document Counterparty is duly qualified to engage in the activities contemplated by the applicable Governing Document; that the applicable Governing Document has been duly authorized, executed and delivered by the applicable Governing Document Counterparty and constitutes the legally valid and binding obligations of such Governing Document Counterparty, enforceable against such Governing Document Counterparty in accordance with its terms; that the applicable Governing Document Counterparty is in compliance, generally and with respect to acting as trustee, warrant agent or other counterparty, as the case may be, under the applicable Governing Document, with all applicable laws and regulations; and that the applicable Governing Document Counterparty has the requisite organizational and legal power and authority to perform its obligations under the applicable Governing Document.</w:t>
      </w:r>
    </w:p>
    <w:p>
      <w:pPr>
        <w:spacing w:after="0" w:line="144" w:lineRule="exact"/>
        <w:rPr>
          <w:sz w:val="20"/>
          <w:szCs w:val="20"/>
          <w:color w:val="auto"/>
        </w:rPr>
      </w:pPr>
    </w:p>
    <w:p>
      <w:pPr>
        <w:jc w:val="both"/>
        <w:ind w:left="80" w:right="119" w:firstLine="354"/>
        <w:spacing w:after="0" w:line="279"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ectPr>
          <w:pgSz w:w="11900" w:h="16838" w:orient="portrait"/>
          <w:cols w:equalWidth="0" w:num="1">
            <w:col w:w="9019"/>
          </w:cols>
          <w:pgMar w:left="1440" w:top="635"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164465</wp:posOffset>
            </wp:positionV>
            <wp:extent cx="1337945"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37795"/>
                    </a:xfrm>
                    <a:prstGeom prst="rect">
                      <a:avLst/>
                    </a:prstGeom>
                    <a:noFill/>
                  </pic:spPr>
                </pic:pic>
              </a:graphicData>
            </a:graphic>
          </wp:anchor>
        </w:drawing>
        <w:t>Navient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6</w:t>
      </w:r>
    </w:p>
    <w:p>
      <w:pPr>
        <w:spacing w:after="0" w:line="117" w:lineRule="exact"/>
        <w:rPr>
          <w:sz w:val="20"/>
          <w:szCs w:val="20"/>
          <w:color w:val="auto"/>
        </w:rPr>
      </w:pPr>
    </w:p>
    <w:p>
      <w:pPr>
        <w:ind w:left="80" w:right="159" w:firstLine="354"/>
        <w:spacing w:after="0" w:line="300" w:lineRule="auto"/>
        <w:rPr>
          <w:sz w:val="20"/>
          <w:szCs w:val="20"/>
          <w:color w:val="auto"/>
        </w:rPr>
      </w:pPr>
      <w:r>
        <w:rPr>
          <w:rFonts w:ascii="Times New Roman" w:cs="Times New Roman" w:eastAsia="Times New Roman" w:hAnsi="Times New Roman"/>
          <w:sz w:val="14"/>
          <w:szCs w:val="14"/>
          <w:color w:val="auto"/>
        </w:rPr>
        <w:t>We do not find it necessary for the purposes of this opinion, and accordingly we do not purport to cover herein, the application of the securities or “Blue Sky” laws of the various states to the sale of the Securities.</w:t>
      </w:r>
    </w:p>
    <w:p>
      <w:pPr>
        <w:spacing w:after="0" w:line="119" w:lineRule="exact"/>
        <w:rPr>
          <w:sz w:val="20"/>
          <w:szCs w:val="20"/>
          <w:color w:val="auto"/>
        </w:rPr>
      </w:pPr>
    </w:p>
    <w:p>
      <w:pPr>
        <w:jc w:val="both"/>
        <w:ind w:left="80" w:right="179" w:firstLine="354"/>
        <w:spacing w:after="0" w:line="279" w:lineRule="auto"/>
        <w:rPr>
          <w:sz w:val="20"/>
          <w:szCs w:val="20"/>
          <w:color w:val="auto"/>
        </w:rPr>
      </w:pPr>
      <w:r>
        <w:rPr>
          <w:rFonts w:ascii="Times New Roman" w:cs="Times New Roman" w:eastAsia="Times New Roman" w:hAnsi="Times New Roman"/>
          <w:sz w:val="14"/>
          <w:szCs w:val="14"/>
          <w:color w:val="auto"/>
        </w:rPr>
        <w:t>This opinion is limited to the specific issues addressed herein, and no opinion may be inferred or implied beyond that expressly stated herein. We assume no obligation to revise or supplement this opinion should the present federal securities laws of the United States, laws of the State of New York or the Delaware Limited Liability Company Act be changed by legislative action, judicial decision or otherwise.</w:t>
      </w:r>
    </w:p>
    <w:p>
      <w:pPr>
        <w:spacing w:after="0" w:line="134" w:lineRule="exact"/>
        <w:rPr>
          <w:sz w:val="20"/>
          <w:szCs w:val="20"/>
          <w:color w:val="auto"/>
        </w:rPr>
      </w:pPr>
    </w:p>
    <w:p>
      <w:pPr>
        <w:ind w:left="80" w:right="219" w:firstLine="354"/>
        <w:spacing w:after="0" w:line="300" w:lineRule="auto"/>
        <w:rPr>
          <w:sz w:val="20"/>
          <w:szCs w:val="20"/>
          <w:color w:val="auto"/>
        </w:rPr>
      </w:pPr>
      <w:r>
        <w:rPr>
          <w:rFonts w:ascii="Times New Roman" w:cs="Times New Roman" w:eastAsia="Times New Roman" w:hAnsi="Times New Roman"/>
          <w:sz w:val="14"/>
          <w:szCs w:val="14"/>
          <w:color w:val="auto"/>
        </w:rPr>
        <w:t>This opinion is furnished to you in connection with the filing of the Registration Statement, and is not to be used, circulated, quoted or otherwise relied upon for any other purpose.</w:t>
      </w:r>
    </w:p>
    <w:p>
      <w:pPr>
        <w:spacing w:after="0" w:line="14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Sincerely,</w:t>
      </w:r>
    </w:p>
    <w:p>
      <w:pPr>
        <w:spacing w:after="0" w:line="1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/s/ Kirkland &amp; Ellis LLP</w:t>
      </w:r>
    </w:p>
    <w:p>
      <w:pPr>
        <w:spacing w:after="0" w:line="1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KIRKLAND &amp; ELLIS LLP</w:t>
      </w:r>
    </w:p>
    <w:p>
      <w:pPr>
        <w:sectPr>
          <w:pgSz w:w="11900" w:h="16838" w:orient="portrait"/>
          <w:cols w:equalWidth="0" w:num="1">
            <w:col w:w="9019"/>
          </w:cols>
          <w:pgMar w:left="1440" w:top="635" w:right="1440" w:bottom="1440" w:gutter="0" w:footer="0" w:header="0"/>
        </w:sectPr>
      </w:pPr>
    </w:p>
    <w:bookmarkStart w:id="32" w:name="page33"/>
    <w:bookmarkEnd w:id="32"/>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142875</wp:posOffset>
            </wp:positionV>
            <wp:extent cx="800100" cy="358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800100" cy="35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KPMG LLP</w:t>
      </w:r>
    </w:p>
    <w:p>
      <w:pPr>
        <w:spacing w:after="0" w:line="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Suite 900</w:t>
      </w:r>
    </w:p>
    <w:p>
      <w:pPr>
        <w:spacing w:after="0" w:line="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8350 Broad Street</w:t>
      </w:r>
    </w:p>
    <w:p>
      <w:pPr>
        <w:spacing w:after="0" w:line="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McLean, VA 22102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9" w:lineRule="exact"/>
        <w:rPr>
          <w:sz w:val="20"/>
          <w:szCs w:val="20"/>
          <w:color w:val="auto"/>
        </w:rPr>
      </w:pPr>
    </w:p>
    <w:p>
      <w:pPr>
        <w:ind w:left="80" w:right="199"/>
        <w:spacing w:after="0" w:line="279" w:lineRule="auto"/>
        <w:rPr>
          <w:sz w:val="20"/>
          <w:szCs w:val="20"/>
          <w:color w:val="auto"/>
        </w:rPr>
      </w:pPr>
      <w:r>
        <w:rPr>
          <w:rFonts w:ascii="Times New Roman" w:cs="Times New Roman" w:eastAsia="Times New Roman" w:hAnsi="Times New Roman"/>
          <w:sz w:val="14"/>
          <w:szCs w:val="14"/>
          <w:color w:val="auto"/>
        </w:rPr>
        <w:t>We consent to the use of our reports dated February 26, 2026, with respect to the consolidated financial statements of Navient Corporation, and the effectiveness of internal control over financial reporting, incorporated herein by reference, and to the reference to our firm under the heading “Experts” in the prospectus.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/s/ KPMG LLP</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McLean, Virginia</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93" w:lineRule="exact"/>
        <w:rPr>
          <w:sz w:val="20"/>
          <w:szCs w:val="20"/>
          <w:color w:val="auto"/>
        </w:rPr>
      </w:pPr>
    </w:p>
    <w:p>
      <w:pPr>
        <w:jc w:val="both"/>
        <w:ind w:left="1680" w:right="1759"/>
        <w:spacing w:after="0" w:line="279" w:lineRule="auto"/>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 the KPMG global organization of independent member firms affiliated with KPMG International Limited, a private English company limited by guarantee.</w:t>
      </w:r>
    </w:p>
    <w:p>
      <w:pPr>
        <w:sectPr>
          <w:pgSz w:w="11900" w:h="16838" w:orient="portrait"/>
          <w:cols w:equalWidth="0" w:num="1">
            <w:col w:w="9019"/>
          </w:cols>
          <w:pgMar w:left="1440" w:top="123" w:right="1440" w:bottom="1440" w:gutter="0" w:footer="0" w:header="0"/>
        </w:sectPr>
      </w:pPr>
    </w:p>
    <w:bookmarkStart w:id="33" w:name="page34"/>
    <w:bookmarkEnd w:id="33"/>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149860</wp:posOffset>
            </wp:positionV>
            <wp:extent cx="56280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184150</wp:posOffset>
            </wp:positionV>
            <wp:extent cx="562800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180975</wp:posOffset>
            </wp:positionV>
            <wp:extent cx="11861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200025</wp:posOffset>
            </wp:positionV>
            <wp:extent cx="11861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left="73" w:right="92"/>
        <w:spacing w:after="0" w:line="260"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7" w:lineRule="exact"/>
        <w:rPr>
          <w:sz w:val="20"/>
          <w:szCs w:val="20"/>
          <w:color w:val="auto"/>
        </w:rPr>
      </w:pPr>
    </w:p>
    <w:p>
      <w:pPr>
        <w:ind w:left="420" w:right="219" w:hanging="347"/>
        <w:spacing w:after="0" w:line="280" w:lineRule="auto"/>
        <w:tabs>
          <w:tab w:leader="none" w:pos="420" w:val="left"/>
        </w:tabs>
        <w:numPr>
          <w:ilvl w:val="0"/>
          <w:numId w:val="28"/>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160655</wp:posOffset>
            </wp:positionV>
            <wp:extent cx="11861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BANK OF NEW YORK MELLON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186690</wp:posOffset>
            </wp:positionV>
            <wp:extent cx="11861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2720" w:type="dxa"/>
            <w:vAlign w:val="bottom"/>
          </w:tcPr>
          <w:p>
            <w:pPr>
              <w:jc w:val="center"/>
              <w:ind w:right="1516"/>
              <w:spacing w:after="0"/>
              <w:rPr>
                <w:sz w:val="20"/>
                <w:szCs w:val="20"/>
                <w:color w:val="auto"/>
              </w:rPr>
            </w:pPr>
            <w:r>
              <w:rPr>
                <w:rFonts w:ascii="Times New Roman" w:cs="Times New Roman" w:eastAsia="Times New Roman" w:hAnsi="Times New Roman"/>
                <w:sz w:val="14"/>
                <w:szCs w:val="14"/>
                <w:b w:val="1"/>
                <w:bCs w:val="1"/>
                <w:color w:val="auto"/>
              </w:rPr>
              <w:t>13-5160382</w:t>
            </w:r>
          </w:p>
        </w:tc>
      </w:tr>
      <w:tr>
        <w:trPr>
          <w:trHeight w:val="119"/>
        </w:trPr>
        <w:tc>
          <w:tcPr>
            <w:tcW w:w="6140" w:type="dxa"/>
            <w:vAlign w:val="bottom"/>
            <w:gridSpan w:val="3"/>
          </w:tcPr>
          <w:p>
            <w:pPr>
              <w:jc w:val="center"/>
              <w:ind w:right="1680"/>
              <w:spacing w:after="0" w:line="120" w:lineRule="exact"/>
              <w:rPr>
                <w:sz w:val="20"/>
                <w:szCs w:val="20"/>
                <w:color w:val="auto"/>
              </w:rPr>
            </w:pPr>
            <w:r>
              <w:rPr>
                <w:rFonts w:ascii="Times New Roman" w:cs="Times New Roman" w:eastAsia="Times New Roman" w:hAnsi="Times New Roman"/>
                <w:sz w:val="12"/>
                <w:szCs w:val="12"/>
                <w:b w:val="1"/>
                <w:bCs w:val="1"/>
                <w:color w:val="auto"/>
                <w:w w:val="96"/>
              </w:rPr>
              <w:t>(Jurisdiction of incorporation</w:t>
            </w:r>
          </w:p>
        </w:tc>
        <w:tc>
          <w:tcPr>
            <w:tcW w:w="2720" w:type="dxa"/>
            <w:vAlign w:val="bottom"/>
          </w:tcPr>
          <w:p>
            <w:pPr>
              <w:jc w:val="center"/>
              <w:ind w:right="151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6"/>
              </w:rPr>
              <w:t>if not a U.S. national bank)</w:t>
            </w:r>
          </w:p>
        </w:tc>
        <w:tc>
          <w:tcPr>
            <w:tcW w:w="2720" w:type="dxa"/>
            <w:vAlign w:val="bottom"/>
          </w:tcPr>
          <w:p>
            <w:pPr>
              <w:jc w:val="center"/>
              <w:ind w:right="1536"/>
              <w:spacing w:after="0"/>
              <w:rPr>
                <w:sz w:val="20"/>
                <w:szCs w:val="20"/>
                <w:color w:val="auto"/>
              </w:rPr>
            </w:pPr>
            <w:r>
              <w:rPr>
                <w:rFonts w:ascii="Times New Roman" w:cs="Times New Roman" w:eastAsia="Times New Roman" w:hAnsi="Times New Roman"/>
                <w:sz w:val="12"/>
                <w:szCs w:val="12"/>
                <w:b w:val="1"/>
                <w:bCs w:val="1"/>
                <w:color w:val="auto"/>
                <w:w w:val="96"/>
              </w:rPr>
              <w:t>identification no.)</w:t>
            </w:r>
          </w:p>
        </w:tc>
      </w:tr>
      <w:tr>
        <w:trPr>
          <w:trHeight w:val="327"/>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240 Greenwich Street, New York, NY</w:t>
            </w:r>
          </w:p>
        </w:tc>
        <w:tc>
          <w:tcPr>
            <w:tcW w:w="2720" w:type="dxa"/>
            <w:vAlign w:val="bottom"/>
          </w:tcPr>
          <w:p>
            <w:pPr>
              <w:jc w:val="center"/>
              <w:ind w:right="1536"/>
              <w:spacing w:after="0"/>
              <w:rPr>
                <w:sz w:val="20"/>
                <w:szCs w:val="20"/>
                <w:color w:val="auto"/>
              </w:rPr>
            </w:pPr>
            <w:r>
              <w:rPr>
                <w:rFonts w:ascii="Times New Roman" w:cs="Times New Roman" w:eastAsia="Times New Roman" w:hAnsi="Times New Roman"/>
                <w:sz w:val="14"/>
                <w:szCs w:val="14"/>
                <w:b w:val="1"/>
                <w:bCs w:val="1"/>
                <w:color w:val="auto"/>
              </w:rPr>
              <w:t>10286</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720" w:type="dxa"/>
            <w:vAlign w:val="bottom"/>
          </w:tcPr>
          <w:p>
            <w:pPr>
              <w:jc w:val="center"/>
              <w:ind w:right="151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340"/>
        </w:trPr>
        <w:tc>
          <w:tcPr>
            <w:tcW w:w="3480" w:type="dxa"/>
            <w:vAlign w:val="bottom"/>
          </w:tcPr>
          <w:p>
            <w:pPr>
              <w:spacing w:after="0"/>
              <w:rPr>
                <w:sz w:val="24"/>
                <w:szCs w:val="24"/>
                <w:color w:val="auto"/>
              </w:rPr>
            </w:pPr>
          </w:p>
        </w:tc>
        <w:tc>
          <w:tcPr>
            <w:tcW w:w="26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Cheryl Santucci</w:t>
            </w:r>
          </w:p>
        </w:tc>
        <w:tc>
          <w:tcPr>
            <w:tcW w:w="2720" w:type="dxa"/>
            <w:vAlign w:val="bottom"/>
          </w:tcPr>
          <w:p>
            <w:pPr>
              <w:spacing w:after="0"/>
              <w:rPr>
                <w:sz w:val="24"/>
                <w:szCs w:val="24"/>
                <w:color w:val="auto"/>
              </w:rPr>
            </w:pPr>
          </w:p>
        </w:tc>
      </w:tr>
      <w:tr>
        <w:trPr>
          <w:trHeight w:val="174"/>
        </w:trPr>
        <w:tc>
          <w:tcPr>
            <w:tcW w:w="6140" w:type="dxa"/>
            <w:vAlign w:val="bottom"/>
            <w:gridSpan w:val="3"/>
          </w:tcPr>
          <w:p>
            <w:pPr>
              <w:jc w:val="center"/>
              <w:ind w:left="2635"/>
              <w:spacing w:after="0"/>
              <w:rPr>
                <w:sz w:val="20"/>
                <w:szCs w:val="20"/>
                <w:color w:val="auto"/>
              </w:rPr>
            </w:pPr>
            <w:r>
              <w:rPr>
                <w:rFonts w:ascii="Times New Roman" w:cs="Times New Roman" w:eastAsia="Times New Roman" w:hAnsi="Times New Roman"/>
                <w:sz w:val="14"/>
                <w:szCs w:val="14"/>
                <w:b w:val="1"/>
                <w:bCs w:val="1"/>
                <w:color w:val="auto"/>
              </w:rPr>
              <w:t>The Bank of New York Mellon</w:t>
            </w:r>
          </w:p>
        </w:tc>
        <w:tc>
          <w:tcPr>
            <w:tcW w:w="2720" w:type="dxa"/>
            <w:vAlign w:val="bottom"/>
          </w:tcPr>
          <w:p>
            <w:pPr>
              <w:spacing w:after="0"/>
              <w:rPr>
                <w:sz w:val="15"/>
                <w:szCs w:val="15"/>
                <w:color w:val="auto"/>
              </w:rPr>
            </w:pPr>
          </w:p>
        </w:tc>
      </w:tr>
      <w:tr>
        <w:trPr>
          <w:trHeight w:val="174"/>
        </w:trPr>
        <w:tc>
          <w:tcPr>
            <w:tcW w:w="3480" w:type="dxa"/>
            <w:vAlign w:val="bottom"/>
          </w:tcPr>
          <w:p>
            <w:pPr>
              <w:spacing w:after="0"/>
              <w:rPr>
                <w:sz w:val="15"/>
                <w:szCs w:val="15"/>
                <w:color w:val="auto"/>
              </w:rPr>
            </w:pPr>
          </w:p>
        </w:tc>
        <w:tc>
          <w:tcPr>
            <w:tcW w:w="26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240 Greenwich Street</w:t>
            </w:r>
          </w:p>
        </w:tc>
        <w:tc>
          <w:tcPr>
            <w:tcW w:w="2720" w:type="dxa"/>
            <w:vAlign w:val="bottom"/>
          </w:tcPr>
          <w:p>
            <w:pPr>
              <w:spacing w:after="0"/>
              <w:rPr>
                <w:sz w:val="15"/>
                <w:szCs w:val="15"/>
                <w:color w:val="auto"/>
              </w:rPr>
            </w:pPr>
          </w:p>
        </w:tc>
      </w:tr>
      <w:tr>
        <w:trPr>
          <w:trHeight w:val="174"/>
        </w:trPr>
        <w:tc>
          <w:tcPr>
            <w:tcW w:w="3480" w:type="dxa"/>
            <w:vAlign w:val="bottom"/>
          </w:tcPr>
          <w:p>
            <w:pPr>
              <w:spacing w:after="0"/>
              <w:rPr>
                <w:sz w:val="15"/>
                <w:szCs w:val="15"/>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New York, New York 10286</w:t>
            </w:r>
          </w:p>
        </w:tc>
        <w:tc>
          <w:tcPr>
            <w:tcW w:w="2720" w:type="dxa"/>
            <w:vAlign w:val="bottom"/>
          </w:tcPr>
          <w:p>
            <w:pPr>
              <w:spacing w:after="0"/>
              <w:rPr>
                <w:sz w:val="15"/>
                <w:szCs w:val="15"/>
                <w:color w:val="auto"/>
              </w:rPr>
            </w:pPr>
          </w:p>
        </w:tc>
      </w:tr>
      <w:tr>
        <w:trPr>
          <w:trHeight w:val="182"/>
        </w:trPr>
        <w:tc>
          <w:tcPr>
            <w:tcW w:w="5360" w:type="dxa"/>
            <w:vAlign w:val="bottom"/>
            <w:gridSpan w:val="2"/>
          </w:tcPr>
          <w:p>
            <w:pPr>
              <w:jc w:val="center"/>
              <w:ind w:left="3435"/>
              <w:spacing w:after="0"/>
              <w:rPr>
                <w:sz w:val="20"/>
                <w:szCs w:val="20"/>
                <w:color w:val="auto"/>
              </w:rPr>
            </w:pPr>
            <w:r>
              <w:rPr>
                <w:rFonts w:ascii="Times New Roman" w:cs="Times New Roman" w:eastAsia="Times New Roman" w:hAnsi="Times New Roman"/>
                <w:sz w:val="14"/>
                <w:szCs w:val="14"/>
                <w:b w:val="1"/>
                <w:bCs w:val="1"/>
                <w:color w:val="auto"/>
              </w:rPr>
              <w:t>(212) 635-1542</w:t>
            </w:r>
          </w:p>
        </w:tc>
        <w:tc>
          <w:tcPr>
            <w:tcW w:w="78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51"/>
        </w:trPr>
        <w:tc>
          <w:tcPr>
            <w:tcW w:w="6140" w:type="dxa"/>
            <w:vAlign w:val="bottom"/>
            <w:gridSpan w:val="3"/>
          </w:tcPr>
          <w:p>
            <w:pPr>
              <w:jc w:val="center"/>
              <w:ind w:left="2635"/>
              <w:spacing w:after="0"/>
              <w:rPr>
                <w:sz w:val="20"/>
                <w:szCs w:val="20"/>
                <w:color w:val="auto"/>
              </w:rPr>
            </w:pPr>
            <w:r>
              <w:rPr>
                <w:rFonts w:ascii="Times New Roman" w:cs="Times New Roman" w:eastAsia="Times New Roman" w:hAnsi="Times New Roman"/>
                <w:sz w:val="12"/>
                <w:szCs w:val="12"/>
                <w:b w:val="1"/>
                <w:bCs w:val="1"/>
                <w:color w:val="auto"/>
                <w:w w:val="96"/>
              </w:rPr>
              <w:t>(Name, address and telephone number of agent for service)</w:t>
            </w:r>
          </w:p>
        </w:tc>
        <w:tc>
          <w:tcPr>
            <w:tcW w:w="2720" w:type="dxa"/>
            <w:vAlign w:val="bottom"/>
          </w:tcPr>
          <w:p>
            <w:pPr>
              <w:spacing w:after="0"/>
              <w:rPr>
                <w:sz w:val="13"/>
                <w:szCs w:val="13"/>
                <w:color w:val="auto"/>
              </w:rPr>
            </w:pP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19"/>
        </w:trPr>
        <w:tc>
          <w:tcPr>
            <w:tcW w:w="3480" w:type="dxa"/>
            <w:vAlign w:val="bottom"/>
          </w:tcPr>
          <w:p>
            <w:pPr>
              <w:spacing w:after="0"/>
              <w:rPr>
                <w:sz w:val="24"/>
                <w:szCs w:val="24"/>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NAVIENT LLC</w:t>
            </w:r>
          </w:p>
        </w:tc>
        <w:tc>
          <w:tcPr>
            <w:tcW w:w="2720" w:type="dxa"/>
            <w:vAlign w:val="bottom"/>
          </w:tcPr>
          <w:p>
            <w:pPr>
              <w:spacing w:after="0"/>
              <w:rPr>
                <w:sz w:val="24"/>
                <w:szCs w:val="24"/>
                <w:color w:val="auto"/>
              </w:rPr>
            </w:pPr>
          </w:p>
        </w:tc>
      </w:tr>
      <w:tr>
        <w:trPr>
          <w:trHeight w:val="151"/>
        </w:trPr>
        <w:tc>
          <w:tcPr>
            <w:tcW w:w="6140" w:type="dxa"/>
            <w:vAlign w:val="bottom"/>
            <w:gridSpan w:val="3"/>
          </w:tcPr>
          <w:p>
            <w:pPr>
              <w:jc w:val="center"/>
              <w:ind w:left="2655"/>
              <w:spacing w:after="0"/>
              <w:rPr>
                <w:sz w:val="20"/>
                <w:szCs w:val="20"/>
                <w:color w:val="auto"/>
              </w:rPr>
            </w:pPr>
            <w:r>
              <w:rPr>
                <w:rFonts w:ascii="Times New Roman" w:cs="Times New Roman" w:eastAsia="Times New Roman" w:hAnsi="Times New Roman"/>
                <w:sz w:val="12"/>
                <w:szCs w:val="12"/>
                <w:b w:val="1"/>
                <w:bCs w:val="1"/>
                <w:color w:val="auto"/>
                <w:w w:val="96"/>
              </w:rPr>
              <w:t>(Exact name of obligor as specified in its charter)</w:t>
            </w:r>
          </w:p>
        </w:tc>
        <w:tc>
          <w:tcPr>
            <w:tcW w:w="2720" w:type="dxa"/>
            <w:vAlign w:val="bottom"/>
          </w:tcPr>
          <w:p>
            <w:pPr>
              <w:spacing w:after="0"/>
              <w:rPr>
                <w:sz w:val="13"/>
                <w:szCs w:val="13"/>
                <w:color w:val="auto"/>
              </w:rPr>
            </w:pP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73"/>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20" w:type="dxa"/>
            <w:vAlign w:val="bottom"/>
          </w:tcPr>
          <w:p>
            <w:pPr>
              <w:jc w:val="center"/>
              <w:ind w:right="1516"/>
              <w:spacing w:after="0"/>
              <w:rPr>
                <w:sz w:val="20"/>
                <w:szCs w:val="20"/>
                <w:color w:val="auto"/>
              </w:rPr>
            </w:pPr>
            <w:r>
              <w:rPr>
                <w:rFonts w:ascii="Times New Roman" w:cs="Times New Roman" w:eastAsia="Times New Roman" w:hAnsi="Times New Roman"/>
                <w:sz w:val="14"/>
                <w:szCs w:val="14"/>
                <w:b w:val="1"/>
                <w:bCs w:val="1"/>
                <w:color w:val="auto"/>
              </w:rPr>
              <w:t>46-4054283</w:t>
            </w:r>
          </w:p>
        </w:tc>
      </w:tr>
      <w:tr>
        <w:trPr>
          <w:trHeight w:val="119"/>
        </w:trPr>
        <w:tc>
          <w:tcPr>
            <w:tcW w:w="6140" w:type="dxa"/>
            <w:vAlign w:val="bottom"/>
            <w:gridSpan w:val="3"/>
          </w:tcPr>
          <w:p>
            <w:pPr>
              <w:jc w:val="center"/>
              <w:ind w:right="16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720" w:type="dxa"/>
            <w:vAlign w:val="bottom"/>
          </w:tcPr>
          <w:p>
            <w:pPr>
              <w:jc w:val="center"/>
              <w:ind w:right="151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5"/>
              </w:rPr>
              <w:t>incorporation or organization)</w:t>
            </w:r>
          </w:p>
        </w:tc>
        <w:tc>
          <w:tcPr>
            <w:tcW w:w="2720" w:type="dxa"/>
            <w:vAlign w:val="bottom"/>
          </w:tcPr>
          <w:p>
            <w:pPr>
              <w:jc w:val="center"/>
              <w:ind w:right="1536"/>
              <w:spacing w:after="0"/>
              <w:rPr>
                <w:sz w:val="20"/>
                <w:szCs w:val="20"/>
                <w:color w:val="auto"/>
              </w:rPr>
            </w:pPr>
            <w:r>
              <w:rPr>
                <w:rFonts w:ascii="Times New Roman" w:cs="Times New Roman" w:eastAsia="Times New Roman" w:hAnsi="Times New Roman"/>
                <w:sz w:val="12"/>
                <w:szCs w:val="12"/>
                <w:b w:val="1"/>
                <w:bCs w:val="1"/>
                <w:color w:val="auto"/>
                <w:w w:val="96"/>
              </w:rPr>
              <w:t>identification no.)</w:t>
            </w:r>
          </w:p>
        </w:tc>
      </w:tr>
      <w:tr>
        <w:trPr>
          <w:trHeight w:val="329"/>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13865 Sunrise Valley Drive</w:t>
            </w:r>
          </w:p>
        </w:tc>
        <w:tc>
          <w:tcPr>
            <w:tcW w:w="2720" w:type="dxa"/>
            <w:vAlign w:val="bottom"/>
          </w:tcPr>
          <w:p>
            <w:pPr>
              <w:spacing w:after="0"/>
              <w:rPr>
                <w:sz w:val="24"/>
                <w:szCs w:val="24"/>
                <w:color w:val="auto"/>
              </w:rPr>
            </w:pPr>
          </w:p>
        </w:tc>
      </w:tr>
      <w:tr>
        <w:trPr>
          <w:trHeight w:val="182"/>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Herndon, Virginia</w:t>
            </w:r>
          </w:p>
        </w:tc>
        <w:tc>
          <w:tcPr>
            <w:tcW w:w="2720" w:type="dxa"/>
            <w:vAlign w:val="bottom"/>
          </w:tcPr>
          <w:p>
            <w:pPr>
              <w:jc w:val="center"/>
              <w:ind w:right="1536"/>
              <w:spacing w:after="0"/>
              <w:rPr>
                <w:sz w:val="20"/>
                <w:szCs w:val="20"/>
                <w:color w:val="auto"/>
              </w:rPr>
            </w:pPr>
            <w:r>
              <w:rPr>
                <w:rFonts w:ascii="Times New Roman" w:cs="Times New Roman" w:eastAsia="Times New Roman" w:hAnsi="Times New Roman"/>
                <w:sz w:val="14"/>
                <w:szCs w:val="14"/>
                <w:b w:val="1"/>
                <w:bCs w:val="1"/>
                <w:color w:val="auto"/>
              </w:rPr>
              <w:t>20171</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720" w:type="dxa"/>
            <w:vAlign w:val="bottom"/>
          </w:tcPr>
          <w:p>
            <w:pPr>
              <w:jc w:val="center"/>
              <w:ind w:right="151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19"/>
        </w:trPr>
        <w:tc>
          <w:tcPr>
            <w:tcW w:w="6140" w:type="dxa"/>
            <w:vAlign w:val="bottom"/>
            <w:gridSpan w:val="3"/>
          </w:tcPr>
          <w:p>
            <w:pPr>
              <w:jc w:val="center"/>
              <w:ind w:left="2655"/>
              <w:spacing w:after="0"/>
              <w:rPr>
                <w:sz w:val="20"/>
                <w:szCs w:val="20"/>
                <w:color w:val="auto"/>
              </w:rPr>
            </w:pPr>
            <w:r>
              <w:rPr>
                <w:rFonts w:ascii="Times New Roman" w:cs="Times New Roman" w:eastAsia="Times New Roman" w:hAnsi="Times New Roman"/>
                <w:sz w:val="14"/>
                <w:szCs w:val="14"/>
                <w:b w:val="1"/>
                <w:bCs w:val="1"/>
                <w:color w:val="auto"/>
              </w:rPr>
              <w:t>Debt Securities Issued Under 2014 Senior Indenture</w:t>
            </w:r>
          </w:p>
        </w:tc>
        <w:tc>
          <w:tcPr>
            <w:tcW w:w="2720" w:type="dxa"/>
            <w:vAlign w:val="bottom"/>
          </w:tcPr>
          <w:p>
            <w:pPr>
              <w:spacing w:after="0"/>
              <w:rPr>
                <w:sz w:val="24"/>
                <w:szCs w:val="24"/>
                <w:color w:val="auto"/>
              </w:rPr>
            </w:pPr>
          </w:p>
        </w:tc>
      </w:tr>
      <w:tr>
        <w:trPr>
          <w:trHeight w:val="151"/>
        </w:trPr>
        <w:tc>
          <w:tcPr>
            <w:tcW w:w="3480" w:type="dxa"/>
            <w:vAlign w:val="bottom"/>
          </w:tcPr>
          <w:p>
            <w:pPr>
              <w:spacing w:after="0"/>
              <w:rPr>
                <w:sz w:val="13"/>
                <w:szCs w:val="13"/>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6"/>
              </w:rPr>
              <w:t>(Title of the indenture securities)</w:t>
            </w:r>
          </w:p>
        </w:tc>
        <w:tc>
          <w:tcPr>
            <w:tcW w:w="2720" w:type="dxa"/>
            <w:vAlign w:val="bottom"/>
          </w:tcPr>
          <w:p>
            <w:pPr>
              <w:spacing w:after="0"/>
              <w:rPr>
                <w:sz w:val="13"/>
                <w:szCs w:val="13"/>
                <w:color w:val="auto"/>
              </w:rPr>
            </w:pPr>
          </w:p>
        </w:tc>
      </w:tr>
      <w:tr>
        <w:trPr>
          <w:trHeight w:val="183"/>
        </w:trPr>
        <w:tc>
          <w:tcPr>
            <w:tcW w:w="34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34" w:name="page35"/>
    <w:bookmarkEnd w:id="34"/>
    <w:p>
      <w:pPr>
        <w:ind w:left="500" w:hanging="427"/>
        <w:spacing w:after="0"/>
        <w:tabs>
          <w:tab w:leader="none" w:pos="50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General information. Furnish the following information as to the trustee:</w:t>
      </w:r>
    </w:p>
    <w:p>
      <w:pPr>
        <w:spacing w:after="0" w:line="110" w:lineRule="exact"/>
        <w:rPr>
          <w:rFonts w:ascii="Times New Roman" w:cs="Times New Roman" w:eastAsia="Times New Roman" w:hAnsi="Times New Roman"/>
          <w:sz w:val="14"/>
          <w:szCs w:val="14"/>
          <w:b w:val="1"/>
          <w:bCs w:val="1"/>
          <w:color w:val="auto"/>
        </w:rPr>
      </w:pPr>
    </w:p>
    <w:p>
      <w:pPr>
        <w:ind w:left="1020" w:hanging="513"/>
        <w:spacing w:after="0"/>
        <w:tabs>
          <w:tab w:leader="none" w:pos="102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48"/>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w:t>
            </w:r>
          </w:p>
        </w:tc>
        <w:tc>
          <w:tcPr>
            <w:tcW w:w="80" w:type="dxa"/>
            <w:vAlign w:val="bottom"/>
          </w:tcPr>
          <w:p>
            <w:pPr>
              <w:spacing w:after="0"/>
              <w:rPr>
                <w:sz w:val="12"/>
                <w:szCs w:val="12"/>
                <w:color w:val="auto"/>
              </w:rPr>
            </w:pPr>
          </w:p>
        </w:tc>
        <w:tc>
          <w:tcPr>
            <w:tcW w:w="41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2"/>
                <w:szCs w:val="12"/>
                <w:color w:val="auto"/>
              </w:rPr>
              <w:t>Address</w:t>
            </w:r>
          </w:p>
        </w:tc>
      </w:tr>
      <w:tr>
        <w:trPr>
          <w:trHeight w:val="22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Superintendent of the Department of Financial Services of the State of</w:t>
            </w: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One State Street, New York, NY 10004-1511</w:t>
            </w:r>
          </w:p>
        </w:tc>
      </w:tr>
      <w:tr>
        <w:trPr>
          <w:trHeight w:val="18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w:t>
            </w:r>
          </w:p>
        </w:tc>
        <w:tc>
          <w:tcPr>
            <w:tcW w:w="4120" w:type="dxa"/>
            <w:vAlign w:val="bottom"/>
          </w:tcPr>
          <w:p>
            <w:pPr>
              <w:spacing w:after="0"/>
              <w:rPr>
                <w:sz w:val="16"/>
                <w:szCs w:val="16"/>
                <w:color w:val="auto"/>
              </w:rPr>
            </w:pPr>
          </w:p>
        </w:tc>
      </w:tr>
      <w:tr>
        <w:trPr>
          <w:trHeight w:val="24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 of New York</w:t>
            </w: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33 Liberty Street</w:t>
            </w:r>
          </w:p>
        </w:tc>
      </w:tr>
      <w:tr>
        <w:trPr>
          <w:trHeight w:val="189"/>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10045</w:t>
            </w:r>
          </w:p>
        </w:tc>
      </w:tr>
      <w:tr>
        <w:trPr>
          <w:trHeight w:val="24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550 17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Street, N.W.</w:t>
            </w:r>
          </w:p>
        </w:tc>
      </w:tr>
      <w:tr>
        <w:trPr>
          <w:trHeight w:val="189"/>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256"/>
        </w:trPr>
        <w:tc>
          <w:tcPr>
            <w:tcW w:w="4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3501 N. Fairfax Drive</w:t>
            </w:r>
          </w:p>
        </w:tc>
      </w:tr>
      <w:tr>
        <w:trPr>
          <w:trHeight w:val="189"/>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22226</w:t>
            </w:r>
          </w:p>
        </w:tc>
      </w:tr>
      <w:tr>
        <w:trPr>
          <w:trHeight w:val="25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Clearing House Association L.L.C.</w:t>
            </w: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1114 Avenue of the Americas</w:t>
            </w:r>
          </w:p>
        </w:tc>
      </w:tr>
      <w:tr>
        <w:trPr>
          <w:trHeight w:val="189"/>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10036</w:t>
            </w:r>
          </w:p>
        </w:tc>
      </w:tr>
    </w:tbl>
    <w:p>
      <w:pPr>
        <w:spacing w:after="0" w:line="189" w:lineRule="exact"/>
        <w:rPr>
          <w:sz w:val="20"/>
          <w:szCs w:val="20"/>
          <w:color w:val="auto"/>
        </w:rPr>
      </w:pPr>
    </w:p>
    <w:p>
      <w:pPr>
        <w:ind w:left="1020" w:hanging="513"/>
        <w:spacing w:after="0"/>
        <w:tabs>
          <w:tab w:leader="none" w:pos="10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Yes.</w:t>
      </w:r>
    </w:p>
    <w:p>
      <w:pPr>
        <w:spacing w:after="0" w:line="304" w:lineRule="exact"/>
        <w:rPr>
          <w:sz w:val="20"/>
          <w:szCs w:val="20"/>
          <w:color w:val="auto"/>
        </w:rPr>
      </w:pPr>
    </w:p>
    <w:p>
      <w:pPr>
        <w:ind w:left="500" w:hanging="427"/>
        <w:spacing w:after="0"/>
        <w:tabs>
          <w:tab w:leader="none" w:pos="5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99"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01" w:lineRule="exact"/>
        <w:rPr>
          <w:rFonts w:ascii="Times New Roman" w:cs="Times New Roman" w:eastAsia="Times New Roman" w:hAnsi="Times New Roman"/>
          <w:sz w:val="14"/>
          <w:szCs w:val="14"/>
          <w:b w:val="1"/>
          <w:bCs w:val="1"/>
          <w:color w:val="auto"/>
        </w:rPr>
      </w:pPr>
    </w:p>
    <w:p>
      <w:pPr>
        <w:ind w:left="520" w:right="219"/>
        <w:spacing w:after="0" w:line="30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upon an examination of the books and records of the trustee and upon information furnished by the obligor, the obligor is not an affiliate of the trustee.</w:t>
      </w:r>
    </w:p>
    <w:p>
      <w:pPr>
        <w:spacing w:after="0" w:line="236" w:lineRule="exact"/>
        <w:rPr>
          <w:sz w:val="20"/>
          <w:szCs w:val="20"/>
          <w:color w:val="auto"/>
        </w:rPr>
      </w:pPr>
    </w:p>
    <w:p>
      <w:pPr>
        <w:jc w:val="both"/>
        <w:ind w:left="500" w:right="119" w:hanging="433"/>
        <w:spacing w:after="0" w:line="281" w:lineRule="auto"/>
        <w:tabs>
          <w:tab w:leader="none" w:pos="480" w:val="left"/>
        </w:tabs>
        <w:rPr>
          <w:sz w:val="20"/>
          <w:szCs w:val="20"/>
          <w:color w:val="auto"/>
        </w:rPr>
      </w:pPr>
      <w:r>
        <w:rPr>
          <w:rFonts w:ascii="Times New Roman" w:cs="Times New Roman" w:eastAsia="Times New Roman" w:hAnsi="Times New Roman"/>
          <w:sz w:val="14"/>
          <w:szCs w:val="14"/>
          <w:b w:val="1"/>
          <w:bCs w:val="1"/>
          <w:color w:val="auto"/>
        </w:rPr>
        <w:t>3-15.</w:t>
        <w:tab/>
        <w:t>Pursuant to General Instruction B of the Form T-1, no responses are included for Items 3-15 of this Form T-1 because, to the best of The Bank of New York Mellon’s knowledge, the obligor is not in default on any securities issued under any indenture under which The Bank of New York Mellon acts as trustee and the trustee is not a foreign trustee as provided under Item 15.</w:t>
      </w:r>
    </w:p>
    <w:p>
      <w:pPr>
        <w:sectPr>
          <w:pgSz w:w="11900" w:h="16838" w:orient="portrait"/>
          <w:cols w:equalWidth="0" w:num="1">
            <w:col w:w="9019"/>
          </w:cols>
          <w:pgMar w:left="1440" w:top="242" w:right="1440" w:bottom="1440" w:gutter="0" w:footer="0" w:header="0"/>
        </w:sectPr>
      </w:pPr>
    </w:p>
    <w:bookmarkStart w:id="35" w:name="page36"/>
    <w:bookmarkEnd w:id="35"/>
    <w:p>
      <w:pPr>
        <w:ind w:left="500" w:hanging="427"/>
        <w:spacing w:after="0"/>
        <w:tabs>
          <w:tab w:leader="none" w:pos="5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List of Exhibits.</w:t>
      </w:r>
    </w:p>
    <w:p>
      <w:pPr>
        <w:spacing w:after="0" w:line="99" w:lineRule="exact"/>
        <w:rPr>
          <w:rFonts w:ascii="Times New Roman" w:cs="Times New Roman" w:eastAsia="Times New Roman" w:hAnsi="Times New Roman"/>
          <w:sz w:val="14"/>
          <w:szCs w:val="14"/>
          <w:b w:val="1"/>
          <w:bCs w:val="1"/>
          <w:color w:val="auto"/>
        </w:rPr>
      </w:pPr>
    </w:p>
    <w:p>
      <w:pPr>
        <w:ind w:left="520" w:right="119"/>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55" w:lineRule="exact"/>
        <w:rPr>
          <w:rFonts w:ascii="Times New Roman" w:cs="Times New Roman" w:eastAsia="Times New Roman" w:hAnsi="Times New Roman"/>
          <w:sz w:val="14"/>
          <w:szCs w:val="14"/>
          <w:b w:val="1"/>
          <w:bCs w:val="1"/>
          <w:color w:val="auto"/>
        </w:rPr>
      </w:pPr>
    </w:p>
    <w:p>
      <w:pPr>
        <w:ind w:left="1020" w:right="139" w:hanging="513"/>
        <w:spacing w:after="0" w:line="263"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w:t>
      </w:r>
    </w:p>
    <w:p>
      <w:pPr>
        <w:spacing w:after="0" w:line="2"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333-152735.)</w:t>
      </w:r>
    </w:p>
    <w:p>
      <w:pPr>
        <w:spacing w:after="0" w:line="95" w:lineRule="exact"/>
        <w:rPr>
          <w:sz w:val="20"/>
          <w:szCs w:val="20"/>
          <w:color w:val="auto"/>
        </w:rPr>
      </w:pPr>
    </w:p>
    <w:p>
      <w:pPr>
        <w:ind w:left="1020" w:hanging="513"/>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w:t>
      </w:r>
    </w:p>
    <w:p>
      <w:pPr>
        <w:spacing w:after="0" w:line="111" w:lineRule="exact"/>
        <w:rPr>
          <w:sz w:val="20"/>
          <w:szCs w:val="20"/>
          <w:color w:val="auto"/>
        </w:rPr>
      </w:pPr>
    </w:p>
    <w:p>
      <w:pPr>
        <w:ind w:left="1020" w:hanging="513"/>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w:t>
      </w:r>
    </w:p>
    <w:p>
      <w:pPr>
        <w:spacing w:after="0" w:line="110" w:lineRule="exact"/>
        <w:rPr>
          <w:rFonts w:ascii="Times New Roman" w:cs="Times New Roman" w:eastAsia="Times New Roman" w:hAnsi="Times New Roman"/>
          <w:sz w:val="14"/>
          <w:szCs w:val="14"/>
          <w:color w:val="auto"/>
        </w:rPr>
      </w:pPr>
    </w:p>
    <w:p>
      <w:pPr>
        <w:ind w:left="1020" w:right="259" w:hanging="513"/>
        <w:spacing w:after="0" w:line="300"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ectPr>
          <w:pgSz w:w="11900" w:h="16838" w:orient="portrait"/>
          <w:cols w:equalWidth="0" w:num="1">
            <w:col w:w="9019"/>
          </w:cols>
          <w:pgMar w:left="1440" w:top="242"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SIGNATURE</w:t>
      </w:r>
    </w:p>
    <w:p>
      <w:pPr>
        <w:spacing w:after="0" w:line="187" w:lineRule="exact"/>
        <w:rPr>
          <w:sz w:val="20"/>
          <w:szCs w:val="20"/>
          <w:color w:val="auto"/>
        </w:rPr>
      </w:pPr>
    </w:p>
    <w:p>
      <w:pPr>
        <w:ind w:left="80" w:right="79" w:firstLine="354"/>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Jacksonville, and State of Florida, on the 2nd day of November 2026.</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18415</wp:posOffset>
            </wp:positionV>
            <wp:extent cx="20624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2062480" cy="6985"/>
                    </a:xfrm>
                    <a:prstGeom prst="rect">
                      <a:avLst/>
                    </a:prstGeom>
                    <a:noFill/>
                  </pic:spPr>
                </pic:pic>
              </a:graphicData>
            </a:graphic>
          </wp:anchor>
        </w:drawing>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Terence Rawlins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019"/>
          </w:cols>
          <w:pgMar w:left="1440" w:top="244" w:right="1440" w:bottom="1440" w:gutter="0" w:footer="0" w:header="0"/>
        </w:sectPr>
      </w:pPr>
    </w:p>
    <w:bookmarkStart w:id="37" w:name="page38"/>
    <w:bookmarkEnd w:id="37"/>
    <w:p>
      <w:pPr>
        <w:jc w:val="right"/>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4</w:t>
      </w: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758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BY-LAWS</w:t>
            </w:r>
          </w:p>
        </w:tc>
        <w:tc>
          <w:tcPr>
            <w:tcW w:w="1240" w:type="dxa"/>
            <w:vAlign w:val="bottom"/>
          </w:tcPr>
          <w:p>
            <w:pPr>
              <w:spacing w:after="0"/>
              <w:rPr>
                <w:sz w:val="15"/>
                <w:szCs w:val="15"/>
                <w:color w:val="auto"/>
              </w:rPr>
            </w:pPr>
          </w:p>
        </w:tc>
      </w:tr>
      <w:tr>
        <w:trPr>
          <w:trHeight w:val="174"/>
        </w:trPr>
        <w:tc>
          <w:tcPr>
            <w:tcW w:w="758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of</w:t>
            </w:r>
          </w:p>
        </w:tc>
        <w:tc>
          <w:tcPr>
            <w:tcW w:w="1240" w:type="dxa"/>
            <w:vAlign w:val="bottom"/>
          </w:tcPr>
          <w:p>
            <w:pPr>
              <w:spacing w:after="0"/>
              <w:rPr>
                <w:sz w:val="15"/>
                <w:szCs w:val="15"/>
                <w:color w:val="auto"/>
              </w:rPr>
            </w:pPr>
          </w:p>
        </w:tc>
      </w:tr>
      <w:tr>
        <w:trPr>
          <w:trHeight w:val="174"/>
        </w:trPr>
        <w:tc>
          <w:tcPr>
            <w:tcW w:w="758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The Bank of New York Mellon</w:t>
            </w:r>
          </w:p>
        </w:tc>
        <w:tc>
          <w:tcPr>
            <w:tcW w:w="1240" w:type="dxa"/>
            <w:vAlign w:val="bottom"/>
          </w:tcPr>
          <w:p>
            <w:pPr>
              <w:spacing w:after="0"/>
              <w:rPr>
                <w:sz w:val="15"/>
                <w:szCs w:val="15"/>
                <w:color w:val="auto"/>
              </w:rPr>
            </w:pPr>
          </w:p>
        </w:tc>
      </w:tr>
      <w:tr>
        <w:trPr>
          <w:trHeight w:val="174"/>
        </w:trPr>
        <w:tc>
          <w:tcPr>
            <w:tcW w:w="758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As Amended and Restated through September 9, 2021</w:t>
            </w:r>
          </w:p>
        </w:tc>
        <w:tc>
          <w:tcPr>
            <w:tcW w:w="1240" w:type="dxa"/>
            <w:vAlign w:val="bottom"/>
          </w:tcPr>
          <w:p>
            <w:pPr>
              <w:spacing w:after="0"/>
              <w:rPr>
                <w:sz w:val="15"/>
                <w:szCs w:val="15"/>
                <w:color w:val="auto"/>
              </w:rPr>
            </w:pPr>
          </w:p>
        </w:tc>
      </w:tr>
      <w:tr>
        <w:trPr>
          <w:trHeight w:val="189"/>
        </w:trPr>
        <w:tc>
          <w:tcPr>
            <w:tcW w:w="7580" w:type="dxa"/>
            <w:vAlign w:val="bottom"/>
          </w:tcPr>
          <w:p>
            <w:pPr>
              <w:jc w:val="center"/>
              <w:ind w:left="1208"/>
              <w:spacing w:after="0"/>
              <w:rPr>
                <w:sz w:val="20"/>
                <w:szCs w:val="20"/>
                <w:color w:val="auto"/>
              </w:rPr>
            </w:pPr>
            <w:r>
              <w:rPr>
                <w:rFonts w:ascii="Times New Roman" w:cs="Times New Roman" w:eastAsia="Times New Roman" w:hAnsi="Times New Roman"/>
                <w:sz w:val="14"/>
                <w:szCs w:val="14"/>
                <w:color w:val="auto"/>
              </w:rPr>
              <w:t>Table of Contents</w:t>
            </w:r>
          </w:p>
        </w:tc>
        <w:tc>
          <w:tcPr>
            <w:tcW w:w="1240" w:type="dxa"/>
            <w:vAlign w:val="bottom"/>
          </w:tcPr>
          <w:p>
            <w:pPr>
              <w:spacing w:after="0"/>
              <w:rPr>
                <w:sz w:val="16"/>
                <w:szCs w:val="16"/>
                <w:color w:val="auto"/>
              </w:rPr>
            </w:pPr>
          </w:p>
        </w:tc>
      </w:tr>
      <w:tr>
        <w:trPr>
          <w:trHeight w:val="300"/>
        </w:trPr>
        <w:tc>
          <w:tcPr>
            <w:tcW w:w="7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Page No.</w:t>
            </w:r>
          </w:p>
        </w:tc>
      </w:tr>
      <w:tr>
        <w:trPr>
          <w:trHeight w:val="174"/>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ARTICLE I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 Annual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 Special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 Notice of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 Adjournments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 Quorum of Stockholders and Action by the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1.6 Action without a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5"/>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ARTICLE II Board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 Number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 [Reserved]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 Meetings of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 Quorum of Directors and Action by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 Removal or Resignation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 Vacancies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 Minutes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 Reports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9"/>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 Action without a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61"/>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ARTICLE III [Reserved]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5"/>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ARTICLE IV Committees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 Committees of Directors Officers and/ or Other Persons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9"/>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 Manner of Acting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5"/>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ARTICLE V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 Principal 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 Senior 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 Other Senior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5.4. Appointed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5.5. Bonds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5.6. General Supervisory Powers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5.7. 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5.9. Secretary</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5.10. Treasurer</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5.11. Comptroller</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5.12. Chief Auditor</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5.13. Other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9019"/>
          </w:cols>
          <w:pgMar w:left="1440" w:top="242" w:right="1440"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4"/>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 Signing Authorities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 [Reserved]</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 Senior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 Limited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 Rescission of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 Powers of Attorney</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 Chief Auditor</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 Signatures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VII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 Other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 Insurace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VIII Capital Stock</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 Certificates of Stock</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 Transfer of Certificates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 New Certificates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 Holders of Record</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IX Corporate Seal</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 The Seal</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X By-Laws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 Amendments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10.2. Inspection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93"/>
        </w:trPr>
        <w:tc>
          <w:tcPr>
            <w:tcW w:w="3640" w:type="dxa"/>
            <w:vAlign w:val="bottom"/>
          </w:tcPr>
          <w:p>
            <w:pPr>
              <w:spacing w:after="0"/>
              <w:rPr>
                <w:sz w:val="24"/>
                <w:szCs w:val="24"/>
                <w:color w:val="auto"/>
              </w:rPr>
            </w:pPr>
          </w:p>
        </w:tc>
        <w:tc>
          <w:tcPr>
            <w:tcW w:w="5180" w:type="dxa"/>
            <w:vAlign w:val="bottom"/>
          </w:tcPr>
          <w:p>
            <w:pPr>
              <w:jc w:val="right"/>
              <w:ind w:right="4288"/>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9019"/>
          </w:cols>
          <w:pgMar w:left="1440" w:top="244"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BY-LAWS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amended and restated through September 9, 2021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STOCKHOLDERS</w:t>
      </w:r>
    </w:p>
    <w:p>
      <w:pPr>
        <w:spacing w:after="0" w:line="171" w:lineRule="exact"/>
        <w:rPr>
          <w:sz w:val="20"/>
          <w:szCs w:val="20"/>
          <w:color w:val="auto"/>
        </w:rPr>
      </w:pPr>
    </w:p>
    <w:p>
      <w:pPr>
        <w:ind w:left="80" w:right="139" w:firstLine="354"/>
        <w:spacing w:after="0" w:line="265" w:lineRule="auto"/>
        <w:rPr>
          <w:sz w:val="20"/>
          <w:szCs w:val="20"/>
          <w:color w:val="auto"/>
        </w:rPr>
      </w:pPr>
      <w:r>
        <w:rPr>
          <w:rFonts w:ascii="Times New Roman" w:cs="Times New Roman" w:eastAsia="Times New Roman" w:hAnsi="Times New Roman"/>
          <w:sz w:val="14"/>
          <w:szCs w:val="14"/>
          <w:color w:val="auto"/>
        </w:rPr>
        <w:t>SECTION 1.1. Annual Meeting. The annual meeting of stockholders of The Bank of New York Mellon (the “Bank”) for the election of directors and the transaction of such other business as properly may be brought before such meeting shall be held within the first four months of the Bank’s fiscal year, unless otherwise permitted under the New York Banking Law (the “Banking Law”) or applicable regulation, at the principal office of the Bank, or such other place in the city in which such principal office is located as shall be specified in the notice of such meeting, on such day and at such hour as may be fixed by the Board of Directors (the “Board”); provided, however, that so long as The Bank of New York Mellon Corporation owns 100 percent of the outstanding common stock of the Bank, directly or indirectly through one or more wholly-owned subsidiaries, action to elect directors may be taken by written consent in lieu of an annual meeting and the Board will not be required to fix a date and time for an annual meeting of the Bank’s stockholders.</w:t>
      </w:r>
    </w:p>
    <w:p>
      <w:pPr>
        <w:spacing w:after="0" w:line="320" w:lineRule="exact"/>
        <w:rPr>
          <w:sz w:val="20"/>
          <w:szCs w:val="20"/>
          <w:color w:val="auto"/>
        </w:rPr>
      </w:pPr>
    </w:p>
    <w:p>
      <w:pPr>
        <w:ind w:left="80" w:right="99" w:firstLine="354"/>
        <w:spacing w:after="0" w:line="269" w:lineRule="auto"/>
        <w:rPr>
          <w:sz w:val="20"/>
          <w:szCs w:val="20"/>
          <w:color w:val="auto"/>
        </w:rPr>
      </w:pPr>
      <w:r>
        <w:rPr>
          <w:rFonts w:ascii="Times New Roman" w:cs="Times New Roman" w:eastAsia="Times New Roman" w:hAnsi="Times New Roman"/>
          <w:sz w:val="14"/>
          <w:szCs w:val="14"/>
          <w:color w:val="auto"/>
        </w:rPr>
        <w:t>SECTION 1.2. Special Meetings. Special meetings of the stockholders of the Bank (the “stockholders”) may be called by the Board, the Executive Chairman (as defined below),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(or may not be held at any place, but may instead be held solely by means of remote communication), as may be fixed by the Board.</w:t>
      </w:r>
    </w:p>
    <w:p>
      <w:pPr>
        <w:spacing w:after="0" w:line="141" w:lineRule="exact"/>
        <w:rPr>
          <w:sz w:val="20"/>
          <w:szCs w:val="20"/>
          <w:color w:val="auto"/>
        </w:rPr>
      </w:pPr>
    </w:p>
    <w:p>
      <w:pPr>
        <w:ind w:left="80" w:right="239" w:firstLine="354"/>
        <w:spacing w:after="0" w:line="269" w:lineRule="auto"/>
        <w:rPr>
          <w:sz w:val="20"/>
          <w:szCs w:val="20"/>
          <w:color w:val="auto"/>
        </w:rPr>
      </w:pPr>
      <w:r>
        <w:rPr>
          <w:rFonts w:ascii="Times New Roman" w:cs="Times New Roman" w:eastAsia="Times New Roman" w:hAnsi="Times New Roman"/>
          <w:sz w:val="14"/>
          <w:szCs w:val="14"/>
          <w:color w:val="auto"/>
        </w:rPr>
        <w:t>SECTION 1.3. Notice of Meetings. Notice of each meeting of stockholders shall be given in writing, personally or by mail, not less than ten nor more than fifty days before the date of the meeting, to each stockholder entitled to vote at such meeting, and shall state the place, date and hour of the meeting and, in the case of a special meeting, the purpose or purposes for which the meeting is called. If mailed, such notice shall be deemed to have been given when deposited in the United States mail, postage prepaid, directed to the stockholder at such stockholder’s address as it appears on the records of the Bank.</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40" w:name="page41"/>
    <w:bookmarkEnd w:id="40"/>
    <w:p>
      <w:pPr>
        <w:ind w:left="80" w:right="359" w:firstLine="354"/>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41" w:name="page42"/>
    <w:bookmarkEnd w:id="41"/>
    <w:p>
      <w:pPr>
        <w:ind w:left="80" w:right="139" w:firstLine="35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1.4. Adjournments. Any meeting of stockholders, annual or special, may be adjourned from time to time to reconvene at the same or some other place, and notice need not be given of any such adjourned meeting if the time, place, if any, thereof, and the means of remote communications, if any, thereof are announced at the meeting at which the adjournment is taken. At the adjourned meeting the Bank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318" w:lineRule="exact"/>
        <w:rPr>
          <w:sz w:val="20"/>
          <w:szCs w:val="20"/>
          <w:color w:val="auto"/>
        </w:rPr>
      </w:pPr>
    </w:p>
    <w:p>
      <w:pPr>
        <w:ind w:left="80" w:right="299" w:firstLine="354"/>
        <w:spacing w:after="0" w:line="269" w:lineRule="auto"/>
        <w:rPr>
          <w:sz w:val="20"/>
          <w:szCs w:val="20"/>
          <w:color w:val="auto"/>
        </w:rPr>
      </w:pPr>
      <w:r>
        <w:rPr>
          <w:rFonts w:ascii="Times New Roman" w:cs="Times New Roman" w:eastAsia="Times New Roman" w:hAnsi="Times New Roman"/>
          <w:sz w:val="14"/>
          <w:szCs w:val="14"/>
          <w:color w:val="auto"/>
        </w:rPr>
        <w:t>SECTION 1.5. Quorum of Stockholders and Action by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w:t>
      </w:r>
    </w:p>
    <w:p>
      <w:pPr>
        <w:spacing w:after="0" w:line="141"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1.6 Action without a Meeting. Any action that may be taken by the stockholders at a duly convened meeting may also betaken pursuant to waiver of notice thereof and upon the unanimous written consent of all stockholders of the Bank; such consent shall set forth the action so taken and shall be filed with the Secretary.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71" w:lineRule="exact"/>
        <w:rPr>
          <w:sz w:val="20"/>
          <w:szCs w:val="20"/>
          <w:color w:val="auto"/>
        </w:rPr>
      </w:pPr>
    </w:p>
    <w:p>
      <w:pPr>
        <w:ind w:left="80" w:right="159" w:firstLine="354"/>
        <w:spacing w:after="0" w:line="266" w:lineRule="auto"/>
        <w:rPr>
          <w:sz w:val="20"/>
          <w:szCs w:val="20"/>
          <w:color w:val="auto"/>
        </w:rPr>
      </w:pPr>
      <w:r>
        <w:rPr>
          <w:rFonts w:ascii="Times New Roman" w:cs="Times New Roman" w:eastAsia="Times New Roman" w:hAnsi="Times New Roman"/>
          <w:sz w:val="14"/>
          <w:szCs w:val="14"/>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2.2. [Reserved]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42" w:name="page43"/>
    <w:bookmarkEnd w:id="42"/>
    <w:p>
      <w:pPr>
        <w:ind w:left="80" w:right="119" w:firstLine="354"/>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41" w:lineRule="exact"/>
        <w:rPr>
          <w:sz w:val="20"/>
          <w:szCs w:val="20"/>
          <w:color w:val="auto"/>
        </w:rPr>
      </w:pPr>
    </w:p>
    <w:p>
      <w:pPr>
        <w:ind w:left="80" w:right="259" w:firstLine="354"/>
        <w:spacing w:after="0" w:line="279" w:lineRule="auto"/>
        <w:rPr>
          <w:sz w:val="20"/>
          <w:szCs w:val="20"/>
          <w:color w:val="auto"/>
        </w:rPr>
      </w:pPr>
      <w:r>
        <w:rPr>
          <w:rFonts w:ascii="Times New Roman" w:cs="Times New Roman" w:eastAsia="Times New Roman" w:hAnsi="Times New Roman"/>
          <w:sz w:val="14"/>
          <w:szCs w:val="14"/>
          <w:color w:val="auto"/>
        </w:rPr>
        <w:t>Meetings of the Board shall be held at such places within or without the State of New York (or may not be held at any place, but may instead be held solely by means of remote communication) as may be fixed by the Board. If no place is so fixed, meetings of the Board shall be held at the principal office of the Bank in the City of New York.</w:t>
      </w:r>
    </w:p>
    <w:p>
      <w:pPr>
        <w:spacing w:after="0" w:line="134" w:lineRule="exact"/>
        <w:rPr>
          <w:sz w:val="20"/>
          <w:szCs w:val="20"/>
          <w:color w:val="auto"/>
        </w:rPr>
      </w:pPr>
    </w:p>
    <w:p>
      <w:pPr>
        <w:jc w:val="both"/>
        <w:ind w:left="80" w:right="99" w:firstLine="354"/>
        <w:spacing w:after="0" w:line="273" w:lineRule="auto"/>
        <w:rPr>
          <w:sz w:val="20"/>
          <w:szCs w:val="20"/>
          <w:color w:val="auto"/>
        </w:rPr>
      </w:pPr>
      <w:r>
        <w:rPr>
          <w:rFonts w:ascii="Times New Roman" w:cs="Times New Roman" w:eastAsia="Times New Roman" w:hAnsi="Times New Roman"/>
          <w:sz w:val="14"/>
          <w:szCs w:val="14"/>
          <w:color w:val="auto"/>
        </w:rPr>
        <w:t>Notices of the annual and special meetings of the Board shall be given by delivery, mail, facsimile, e-mail or other form of electronic transmission or by oral notice given in person or by telephone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36" w:lineRule="exact"/>
        <w:rPr>
          <w:sz w:val="20"/>
          <w:szCs w:val="20"/>
          <w:color w:val="auto"/>
        </w:rPr>
      </w:pPr>
    </w:p>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19" w:lineRule="exact"/>
        <w:rPr>
          <w:sz w:val="20"/>
          <w:szCs w:val="20"/>
          <w:color w:val="auto"/>
        </w:rPr>
      </w:pPr>
    </w:p>
    <w:p>
      <w:pPr>
        <w:ind w:left="80" w:right="779" w:firstLine="354"/>
        <w:spacing w:after="0" w:line="300" w:lineRule="auto"/>
        <w:rPr>
          <w:sz w:val="20"/>
          <w:szCs w:val="20"/>
          <w:color w:val="auto"/>
        </w:rPr>
      </w:pPr>
      <w:r>
        <w:rPr>
          <w:rFonts w:ascii="Times New Roman" w:cs="Times New Roman" w:eastAsia="Times New Roman" w:hAnsi="Times New Roman"/>
          <w:sz w:val="14"/>
          <w:szCs w:val="14"/>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19" w:lineRule="exact"/>
        <w:rPr>
          <w:sz w:val="20"/>
          <w:szCs w:val="20"/>
          <w:color w:val="auto"/>
        </w:rPr>
      </w:pPr>
    </w:p>
    <w:p>
      <w:pPr>
        <w:ind w:left="80" w:right="139" w:firstLine="354"/>
        <w:spacing w:after="0" w:line="293" w:lineRule="auto"/>
        <w:rPr>
          <w:sz w:val="20"/>
          <w:szCs w:val="20"/>
          <w:color w:val="auto"/>
        </w:rPr>
      </w:pPr>
      <w:r>
        <w:rPr>
          <w:rFonts w:ascii="Times New Roman" w:cs="Times New Roman" w:eastAsia="Times New Roman" w:hAnsi="Times New Roman"/>
          <w:sz w:val="14"/>
          <w:szCs w:val="14"/>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302"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43" w:name="page44"/>
    <w:bookmarkEnd w:id="43"/>
    <w:p>
      <w:pPr>
        <w:ind w:left="80" w:right="21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2.5. Removal or Resignation of Directors. Any one or more of the directors may be removed for cause by action of the Board. Any or all of the directors may be removed with or without cause by vote of the stockholders.</w:t>
      </w:r>
    </w:p>
    <w:p>
      <w:pPr>
        <w:spacing w:after="0" w:line="119" w:lineRule="exact"/>
        <w:rPr>
          <w:sz w:val="20"/>
          <w:szCs w:val="20"/>
          <w:color w:val="auto"/>
        </w:rPr>
      </w:pPr>
    </w:p>
    <w:p>
      <w:pPr>
        <w:ind w:left="80" w:right="199" w:firstLine="354"/>
        <w:spacing w:after="0" w:line="279" w:lineRule="auto"/>
        <w:rPr>
          <w:sz w:val="20"/>
          <w:szCs w:val="20"/>
          <w:color w:val="auto"/>
        </w:rPr>
      </w:pPr>
      <w:r>
        <w:rPr>
          <w:rFonts w:ascii="Times New Roman" w:cs="Times New Roman" w:eastAsia="Times New Roman" w:hAnsi="Times New Roman"/>
          <w:sz w:val="14"/>
          <w:szCs w:val="14"/>
          <w:color w:val="auto"/>
        </w:rPr>
        <w:t>Any director may resign at any time upon written notice to the Board or to the Executive Chairman, the Chief Executive Officer or the Secretary. Such resignation shall take effect at the time specified therein, and unless otherwise specified therein no acceptance of such resignation shall be necessary to make it effective.</w:t>
      </w:r>
    </w:p>
    <w:p>
      <w:pPr>
        <w:spacing w:after="0" w:line="134" w:lineRule="exact"/>
        <w:rPr>
          <w:sz w:val="20"/>
          <w:szCs w:val="20"/>
          <w:color w:val="auto"/>
        </w:rPr>
      </w:pPr>
    </w:p>
    <w:p>
      <w:pPr>
        <w:ind w:left="80" w:right="379" w:firstLine="354"/>
        <w:spacing w:after="0" w:line="279" w:lineRule="auto"/>
        <w:rPr>
          <w:sz w:val="20"/>
          <w:szCs w:val="20"/>
          <w:color w:val="auto"/>
        </w:rPr>
      </w:pPr>
      <w:r>
        <w:rPr>
          <w:rFonts w:ascii="Times New Roman" w:cs="Times New Roman" w:eastAsia="Times New Roman" w:hAnsi="Times New Roman"/>
          <w:sz w:val="14"/>
          <w:szCs w:val="14"/>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34" w:lineRule="exact"/>
        <w:rPr>
          <w:sz w:val="20"/>
          <w:szCs w:val="20"/>
          <w:color w:val="auto"/>
        </w:rPr>
      </w:pPr>
    </w:p>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44" w:name="page45"/>
    <w:bookmarkEnd w:id="44"/>
    <w:p>
      <w:pPr>
        <w:ind w:left="80" w:right="49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2.8. Minutes. Regular minutes of the proceedings of the Board shall be kept in books to be provided for that purpose which shall always be open for the inspection of any director.</w:t>
      </w:r>
    </w:p>
    <w:p>
      <w:pPr>
        <w:spacing w:after="0" w:line="119" w:lineRule="exact"/>
        <w:rPr>
          <w:sz w:val="20"/>
          <w:szCs w:val="20"/>
          <w:color w:val="auto"/>
        </w:rPr>
      </w:pPr>
    </w:p>
    <w:p>
      <w:pPr>
        <w:ind w:left="80" w:right="99" w:firstLine="354"/>
        <w:spacing w:after="0" w:line="300" w:lineRule="auto"/>
        <w:rPr>
          <w:sz w:val="20"/>
          <w:szCs w:val="20"/>
          <w:color w:val="auto"/>
        </w:rPr>
      </w:pPr>
      <w:r>
        <w:rPr>
          <w:rFonts w:ascii="Times New Roman" w:cs="Times New Roman" w:eastAsia="Times New Roman" w:hAnsi="Times New Roman"/>
          <w:sz w:val="14"/>
          <w:szCs w:val="14"/>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19"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[Reserved]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COMMITTEES</w:t>
      </w:r>
    </w:p>
    <w:p>
      <w:pPr>
        <w:spacing w:after="0" w:line="171" w:lineRule="exact"/>
        <w:rPr>
          <w:sz w:val="20"/>
          <w:szCs w:val="20"/>
          <w:color w:val="auto"/>
        </w:rPr>
      </w:pPr>
    </w:p>
    <w:p>
      <w:pPr>
        <w:ind w:left="80" w:right="159" w:firstLine="354"/>
        <w:spacing w:after="0" w:line="265" w:lineRule="auto"/>
        <w:rPr>
          <w:sz w:val="20"/>
          <w:szCs w:val="20"/>
          <w:color w:val="auto"/>
        </w:rPr>
      </w:pPr>
      <w:r>
        <w:rPr>
          <w:rFonts w:ascii="Times New Roman" w:cs="Times New Roman" w:eastAsia="Times New Roman" w:hAnsi="Times New Roman"/>
          <w:sz w:val="14"/>
          <w:szCs w:val="14"/>
          <w:color w:val="auto"/>
        </w:rPr>
        <w:t>SECTION 4.1. Committees of Directors, Officers and/ or Other Persons. The Board may appoint, or authorize the Executive Chairman or the Chief Executive Officer or, in their absence, another principal executive officer to appoint, from time-to-time, such other committees consisting of directors, officers and/ or other persons and having such powers, duties and functions in or relating to the business and affairs of the Bank as the Board may determine. Each such committee and each member thereof shall serve at the pleasure of the Board and, in the case of any committee appointed by the Executive Chairman, the Chief Executive Officer or another principal executive officer, at the pleasure of such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such officer shall otherwise provide.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45" w:name="page46"/>
    <w:bookmarkEnd w:id="45"/>
    <w:p>
      <w:pPr>
        <w:jc w:val="both"/>
        <w:ind w:left="80" w:right="77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119" w:lineRule="exact"/>
        <w:rPr>
          <w:sz w:val="20"/>
          <w:szCs w:val="20"/>
          <w:color w:val="auto"/>
        </w:rPr>
      </w:pPr>
    </w:p>
    <w:p>
      <w:pPr>
        <w:ind w:left="80" w:right="119" w:firstLine="354"/>
        <w:spacing w:after="0" w:line="279" w:lineRule="auto"/>
        <w:rPr>
          <w:sz w:val="20"/>
          <w:szCs w:val="20"/>
          <w:color w:val="auto"/>
        </w:rPr>
      </w:pPr>
      <w:r>
        <w:rPr>
          <w:rFonts w:ascii="Times New Roman" w:cs="Times New Roman" w:eastAsia="Times New Roman" w:hAnsi="Times New Roman"/>
          <w:sz w:val="14"/>
          <w:szCs w:val="14"/>
          <w:color w:val="auto"/>
        </w:rPr>
        <w:t>SECTION 4.3. Manner of Acting. Members of committees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ARTICLE V</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OFFICERS</w:t>
      </w:r>
    </w:p>
    <w:p>
      <w:pPr>
        <w:spacing w:after="0" w:line="171"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SECTION 5.1. Principal Executive Officers. The Board at its annual meeting shall elect from its number an Executive Chairman of the Board (the “Executive Chairman”), a Chief Executive Officer, and a President (each such officer, a “principal executive officer”).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5.1 may be removed with or without cause by the Board.</w:t>
      </w:r>
    </w:p>
    <w:p>
      <w:pPr>
        <w:spacing w:after="0" w:line="142" w:lineRule="exact"/>
        <w:rPr>
          <w:sz w:val="20"/>
          <w:szCs w:val="20"/>
          <w:color w:val="auto"/>
        </w:rPr>
      </w:pPr>
    </w:p>
    <w:p>
      <w:pPr>
        <w:ind w:left="80" w:right="139" w:firstLine="354"/>
        <w:spacing w:after="0" w:line="273" w:lineRule="auto"/>
        <w:rPr>
          <w:sz w:val="20"/>
          <w:szCs w:val="20"/>
          <w:color w:val="auto"/>
        </w:rPr>
      </w:pPr>
      <w:r>
        <w:rPr>
          <w:rFonts w:ascii="Times New Roman" w:cs="Times New Roman" w:eastAsia="Times New Roman" w:hAnsi="Times New Roman"/>
          <w:sz w:val="14"/>
          <w:szCs w:val="14"/>
          <w:color w:val="auto"/>
        </w:rPr>
        <w:t>SECTION 5.2. Senior Executive Officers. The Board shall elect, or the Chief Executive Officer may appoint, subject to confirmation by the Board, one or more senior executive officers, any of whom may be designated Vice Chairman of the Board, Senior Executive Vice President or Executive Vice President, and any such other officers with such titles as may be specified upon election (each such officer, a “senior executive officer”). Senior executive officers elected or appointed under this Section 5.2 may be removed with or without cause by the Board.</w:t>
      </w:r>
    </w:p>
    <w:p>
      <w:pPr>
        <w:spacing w:after="0" w:line="136" w:lineRule="exact"/>
        <w:rPr>
          <w:sz w:val="20"/>
          <w:szCs w:val="20"/>
          <w:color w:val="auto"/>
        </w:rPr>
      </w:pPr>
    </w:p>
    <w:p>
      <w:pPr>
        <w:jc w:val="both"/>
        <w:ind w:left="80" w:right="139" w:firstLine="354"/>
        <w:spacing w:after="0" w:line="273" w:lineRule="auto"/>
        <w:rPr>
          <w:sz w:val="20"/>
          <w:szCs w:val="20"/>
          <w:color w:val="auto"/>
        </w:rPr>
      </w:pPr>
      <w:r>
        <w:rPr>
          <w:rFonts w:ascii="Times New Roman" w:cs="Times New Roman" w:eastAsia="Times New Roman" w:hAnsi="Times New Roman"/>
          <w:sz w:val="14"/>
          <w:szCs w:val="14"/>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Chief Executive Officer or, in his or her absence, another principal executive officer, may remove any of the officers elected under this Section 5.3 with or without cause with the approval of the Board.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46" w:name="page47"/>
    <w:bookmarkEnd w:id="46"/>
    <w:p>
      <w:pPr>
        <w:ind w:left="80" w:right="99" w:firstLine="354"/>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5.4. Appointed Officers. Officers of the Bank carrying titles set forth in this Section 5.4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5.5. Bonds. The Board may require any or all officers or employees to give bonds from time-to-time.</w:t>
      </w:r>
    </w:p>
    <w:p>
      <w:pPr>
        <w:spacing w:after="0" w:line="187" w:lineRule="exact"/>
        <w:rPr>
          <w:sz w:val="20"/>
          <w:szCs w:val="20"/>
          <w:color w:val="auto"/>
        </w:rPr>
      </w:pPr>
    </w:p>
    <w:p>
      <w:pPr>
        <w:ind w:left="80" w:right="179" w:firstLine="354"/>
        <w:spacing w:after="0" w:line="300" w:lineRule="auto"/>
        <w:rPr>
          <w:sz w:val="20"/>
          <w:szCs w:val="20"/>
          <w:color w:val="auto"/>
        </w:rPr>
      </w:pPr>
      <w:r>
        <w:rPr>
          <w:rFonts w:ascii="Times New Roman" w:cs="Times New Roman" w:eastAsia="Times New Roman" w:hAnsi="Times New Roman"/>
          <w:sz w:val="14"/>
          <w:szCs w:val="14"/>
          <w:color w:val="auto"/>
        </w:rPr>
        <w:t>SECTION 5.6. General Supervisory Powers. The Chief Executive Officer or, in his or her absence, another principal executive officer, shall have general supervision of the policies and operations of the Bank which shall in every case be subject to the oversight of the Board.</w:t>
      </w:r>
    </w:p>
    <w:p>
      <w:pPr>
        <w:spacing w:after="0" w:line="119" w:lineRule="exact"/>
        <w:rPr>
          <w:sz w:val="20"/>
          <w:szCs w:val="20"/>
          <w:color w:val="auto"/>
        </w:rPr>
      </w:pPr>
    </w:p>
    <w:p>
      <w:pPr>
        <w:ind w:left="80" w:right="299" w:firstLine="354"/>
        <w:spacing w:after="0" w:line="279" w:lineRule="auto"/>
        <w:rPr>
          <w:sz w:val="20"/>
          <w:szCs w:val="20"/>
          <w:color w:val="auto"/>
        </w:rPr>
      </w:pPr>
      <w:r>
        <w:rPr>
          <w:rFonts w:ascii="Times New Roman" w:cs="Times New Roman" w:eastAsia="Times New Roman" w:hAnsi="Times New Roman"/>
          <w:sz w:val="14"/>
          <w:szCs w:val="14"/>
          <w:color w:val="auto"/>
        </w:rPr>
        <w:t>SECTION 5.7. Executive Officers. The principal executive officers and the senior executive officers shall participate in the supervision of the policies and operations of the Bank as directed by the Chief Executive Officer, or, in his or her absence another principal executive officer or a senior executive officer designated by the Chief Executive Officer or the Board, shall direct the general supervision of such policies and operations.</w:t>
      </w:r>
    </w:p>
    <w:p>
      <w:pPr>
        <w:spacing w:after="0" w:line="134" w:lineRule="exact"/>
        <w:rPr>
          <w:sz w:val="20"/>
          <w:szCs w:val="20"/>
          <w:color w:val="auto"/>
        </w:rPr>
      </w:pPr>
    </w:p>
    <w:p>
      <w:pPr>
        <w:ind w:left="80" w:right="119" w:firstLine="354"/>
        <w:spacing w:after="0" w:line="271" w:lineRule="auto"/>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or, in his or her absence another principal executive officer or a senior executive officer designated by the Chief Executive Officer or the Board. They shall perform such other duties as shall be assigned to them by the Board, the Chief Executive Officer or a principal or senior executive officer.</w:t>
      </w:r>
    </w:p>
    <w:p>
      <w:pPr>
        <w:spacing w:after="0" w:line="316" w:lineRule="exact"/>
        <w:rPr>
          <w:sz w:val="20"/>
          <w:szCs w:val="20"/>
          <w:color w:val="auto"/>
        </w:rPr>
      </w:pPr>
    </w:p>
    <w:p>
      <w:pPr>
        <w:ind w:left="80" w:right="159" w:firstLine="354"/>
        <w:spacing w:after="0" w:line="268" w:lineRule="auto"/>
        <w:rPr>
          <w:sz w:val="20"/>
          <w:szCs w:val="20"/>
          <w:color w:val="auto"/>
        </w:rPr>
      </w:pPr>
      <w:r>
        <w:rPr>
          <w:rFonts w:ascii="Times New Roman" w:cs="Times New Roman" w:eastAsia="Times New Roman" w:hAnsi="Times New Roman"/>
          <w:sz w:val="14"/>
          <w:szCs w:val="14"/>
          <w:color w:val="auto"/>
        </w:rPr>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The Board or the Chief Executive Officer, or his or her designee, may appoint one or more Assistant Secretaries who shall assist the Secretary in the performance of his or her duties. In the absence of the Secretary, an Assistant Secretary shall act in his or her stead.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4" w:right="1440" w:bottom="1440" w:gutter="0" w:footer="0" w:header="0"/>
        </w:sectPr>
      </w:pPr>
    </w:p>
    <w:bookmarkStart w:id="47" w:name="page48"/>
    <w:bookmarkEnd w:id="47"/>
    <w:p>
      <w:pPr>
        <w:ind w:left="80" w:right="299" w:firstLine="354"/>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302" w:lineRule="exact"/>
        <w:rPr>
          <w:sz w:val="20"/>
          <w:szCs w:val="20"/>
          <w:color w:val="auto"/>
        </w:rPr>
      </w:pPr>
    </w:p>
    <w:p>
      <w:pPr>
        <w:ind w:left="80" w:right="79" w:firstLine="354"/>
        <w:spacing w:after="0" w:line="269" w:lineRule="auto"/>
        <w:rPr>
          <w:sz w:val="20"/>
          <w:szCs w:val="20"/>
          <w:color w:val="auto"/>
        </w:rPr>
      </w:pPr>
      <w:r>
        <w:rPr>
          <w:rFonts w:ascii="Times New Roman" w:cs="Times New Roman" w:eastAsia="Times New Roman" w:hAnsi="Times New Roman"/>
          <w:sz w:val="14"/>
          <w:szCs w:val="14"/>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141" w:lineRule="exact"/>
        <w:rPr>
          <w:sz w:val="20"/>
          <w:szCs w:val="20"/>
          <w:color w:val="auto"/>
        </w:rPr>
      </w:pPr>
    </w:p>
    <w:p>
      <w:pPr>
        <w:jc w:val="both"/>
        <w:ind w:left="80" w:right="239" w:firstLine="354"/>
        <w:spacing w:after="0" w:line="279" w:lineRule="auto"/>
        <w:rPr>
          <w:sz w:val="20"/>
          <w:szCs w:val="20"/>
          <w:color w:val="auto"/>
        </w:rPr>
      </w:pPr>
      <w:r>
        <w:rPr>
          <w:rFonts w:ascii="Times New Roman" w:cs="Times New Roman" w:eastAsia="Times New Roman" w:hAnsi="Times New Roman"/>
          <w:sz w:val="14"/>
          <w:szCs w:val="14"/>
          <w:color w:val="auto"/>
        </w:rPr>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34" w:lineRule="exact"/>
        <w:rPr>
          <w:sz w:val="20"/>
          <w:szCs w:val="20"/>
          <w:color w:val="auto"/>
        </w:rPr>
      </w:pPr>
    </w:p>
    <w:p>
      <w:pPr>
        <w:jc w:val="both"/>
        <w:ind w:left="80" w:right="259" w:firstLine="354"/>
        <w:spacing w:after="0" w:line="300" w:lineRule="auto"/>
        <w:rPr>
          <w:sz w:val="20"/>
          <w:szCs w:val="20"/>
          <w:color w:val="auto"/>
        </w:rPr>
      </w:pPr>
      <w:r>
        <w:rPr>
          <w:rFonts w:ascii="Times New Roman" w:cs="Times New Roman" w:eastAsia="Times New Roman" w:hAnsi="Times New Roman"/>
          <w:sz w:val="14"/>
          <w:szCs w:val="14"/>
          <w:color w:val="auto"/>
        </w:rPr>
        <w:t>SECTION 5.13. Other Officers. All officers whose duties are not described by these By-laws shall perform such duties as may be designated by the Chief Executive Officer or any officer authorized by the Chief Executive Officer to do so.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SIGNING AUTHORITIES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6.1. [Reserved]</w:t>
      </w:r>
    </w:p>
    <w:p>
      <w:pPr>
        <w:spacing w:after="0" w:line="187" w:lineRule="exact"/>
        <w:rPr>
          <w:sz w:val="20"/>
          <w:szCs w:val="20"/>
          <w:color w:val="auto"/>
        </w:rPr>
      </w:pPr>
    </w:p>
    <w:p>
      <w:pPr>
        <w:jc w:val="both"/>
        <w:ind w:left="80" w:right="99" w:firstLine="354"/>
        <w:spacing w:after="0" w:line="267" w:lineRule="auto"/>
        <w:rPr>
          <w:sz w:val="20"/>
          <w:szCs w:val="20"/>
          <w:color w:val="auto"/>
        </w:rPr>
      </w:pPr>
      <w:r>
        <w:rPr>
          <w:rFonts w:ascii="Times New Roman" w:cs="Times New Roman" w:eastAsia="Times New Roman" w:hAnsi="Times New Roman"/>
          <w:sz w:val="14"/>
          <w:szCs w:val="14"/>
          <w:color w:val="auto"/>
        </w:rPr>
        <w:t>SECTION 6.2. Senior Signing Powers. The Chief Executive Officer, the President, any Vice Chairman, any Senior Executive Vice President, any Executive Vice President or any other senior officer appointed by the Board pursuant to Section 5.3 (any such officer, an “Authorized Senior Signer”)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any Authorized Senior Signer may be proper and desirable, any one of said officers may authorize in writing, including email and other forms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4" w:right="1440" w:bottom="1440" w:gutter="0" w:footer="0" w:header="0"/>
        </w:sectPr>
      </w:pPr>
    </w:p>
    <w:bookmarkStart w:id="48" w:name="page49"/>
    <w:bookmarkEnd w:id="48"/>
    <w:p>
      <w:pPr>
        <w:ind w:left="80" w:right="13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of electronic communication or approval, from time-to-time any other officer to have the powers set forth in this Section 6.2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36"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SECTION 6.3. Limited Signing Powers. In such instances as may be proper and desirable in the judgment of any Authorized Senior Signer or any delegate authorized in writing by any such Authorized Senior Signer, any such Authorized Senior Signer or delegate (to the extent relating to the performance or discharge of the duties of such delegate within his or her particular division or function)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142" w:lineRule="exact"/>
        <w:rPr>
          <w:sz w:val="20"/>
          <w:szCs w:val="20"/>
          <w:color w:val="auto"/>
        </w:rPr>
      </w:pPr>
    </w:p>
    <w:p>
      <w:pPr>
        <w:jc w:val="both"/>
        <w:ind w:left="80" w:right="239" w:firstLine="354"/>
        <w:spacing w:after="0" w:line="273" w:lineRule="auto"/>
        <w:rPr>
          <w:sz w:val="20"/>
          <w:szCs w:val="20"/>
          <w:color w:val="auto"/>
        </w:rPr>
      </w:pPr>
      <w:r>
        <w:rPr>
          <w:rFonts w:ascii="Times New Roman" w:cs="Times New Roman" w:eastAsia="Times New Roman" w:hAnsi="Times New Roman"/>
          <w:sz w:val="14"/>
          <w:szCs w:val="14"/>
          <w:color w:val="auto"/>
        </w:rPr>
        <w:t>SECTION 6.4. Rescission of Signing Powers. Any signing authority authorized by an Authorized Senior Signer or delegate may be rescinded at any time by any one of said persons, and any signing power authorized in or pursuant to Section 6.3 shall terminate without necessity of further action when the officer or employee having such power leaves the employ of the Bank, but any document, instrument or certificate executed by an officer or employee having signing authority prior to such termination shall be valid and binding on the Bank.</w:t>
      </w:r>
    </w:p>
    <w:p>
      <w:pPr>
        <w:spacing w:after="0" w:line="136" w:lineRule="exact"/>
        <w:rPr>
          <w:sz w:val="20"/>
          <w:szCs w:val="20"/>
          <w:color w:val="auto"/>
        </w:rPr>
      </w:pPr>
    </w:p>
    <w:p>
      <w:pPr>
        <w:ind w:left="80" w:right="99" w:firstLine="354"/>
        <w:spacing w:after="0" w:line="267" w:lineRule="auto"/>
        <w:rPr>
          <w:sz w:val="20"/>
          <w:szCs w:val="20"/>
          <w:color w:val="auto"/>
        </w:rPr>
      </w:pPr>
      <w:r>
        <w:rPr>
          <w:rFonts w:ascii="Times New Roman" w:cs="Times New Roman" w:eastAsia="Times New Roman" w:hAnsi="Times New Roman"/>
          <w:sz w:val="14"/>
          <w:szCs w:val="14"/>
          <w:color w:val="auto"/>
        </w:rPr>
        <w:t>SECTION 6.5.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 division or function. Any such power of attorney may, however, be executed by any officer or officers or person or persons who may be specifically authorized to execute the same by the Board and, at foreign branches only, by any two officers provided one of such officers is the Branch Manager.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4" w:right="1440" w:bottom="1440" w:gutter="0" w:footer="0" w:header="0"/>
        </w:sectPr>
      </w:pPr>
    </w:p>
    <w:bookmarkStart w:id="49" w:name="page50"/>
    <w:bookmarkEnd w:id="49"/>
    <w:p>
      <w:pPr>
        <w:ind w:left="80" w:right="79" w:firstLine="354"/>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6.6.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134" w:lineRule="exact"/>
        <w:rPr>
          <w:sz w:val="20"/>
          <w:szCs w:val="20"/>
          <w:color w:val="auto"/>
        </w:rPr>
      </w:pPr>
    </w:p>
    <w:p>
      <w:pPr>
        <w:ind w:left="80" w:right="659" w:firstLine="354"/>
        <w:spacing w:after="0" w:line="300" w:lineRule="auto"/>
        <w:rPr>
          <w:sz w:val="20"/>
          <w:szCs w:val="20"/>
          <w:color w:val="auto"/>
        </w:rPr>
      </w:pPr>
      <w:r>
        <w:rPr>
          <w:rFonts w:ascii="Times New Roman" w:cs="Times New Roman" w:eastAsia="Times New Roman" w:hAnsi="Times New Roman"/>
          <w:sz w:val="14"/>
          <w:szCs w:val="14"/>
          <w:color w:val="auto"/>
        </w:rPr>
        <w:t>SECTION 6.7. Signatures. The signature authorized by or pursuant to these Bylaws of any signatory authorized by these By-laws on any document may be manual, facsimile or electronic, to the extent permitted by law.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INDEMNIFICATION</w:t>
      </w:r>
    </w:p>
    <w:p>
      <w:pPr>
        <w:spacing w:after="0" w:line="171" w:lineRule="exact"/>
        <w:rPr>
          <w:sz w:val="20"/>
          <w:szCs w:val="20"/>
          <w:color w:val="auto"/>
        </w:rPr>
      </w:pPr>
    </w:p>
    <w:p>
      <w:pPr>
        <w:ind w:left="80" w:right="99" w:firstLine="354"/>
        <w:spacing w:after="0" w:line="265" w:lineRule="auto"/>
        <w:rPr>
          <w:sz w:val="20"/>
          <w:szCs w:val="20"/>
          <w:color w:val="auto"/>
        </w:rPr>
      </w:pPr>
      <w:r>
        <w:rPr>
          <w:rFonts w:ascii="Times New Roman" w:cs="Times New Roman" w:eastAsia="Times New Roman" w:hAnsi="Times New Roman"/>
          <w:sz w:val="14"/>
          <w:szCs w:val="14"/>
          <w:color w:val="auto"/>
        </w:rPr>
        <w:t>SECTION 7.1. Indemnification. Any person made, or threatened to be made, a party to any action or proceeding, whether civil or criminal, by reason of the fact that he, 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 may be similarly indemnified in respect of service to the Bank or to another such entity at the request of the Bank to the extent the Board at any time denominates any of such persons as entitled to indemnification and/ 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320" w:lineRule="exact"/>
        <w:rPr>
          <w:sz w:val="20"/>
          <w:szCs w:val="20"/>
          <w:color w:val="auto"/>
        </w:rPr>
      </w:pPr>
    </w:p>
    <w:p>
      <w:pPr>
        <w:jc w:val="both"/>
        <w:ind w:left="80" w:right="239" w:firstLine="354"/>
        <w:spacing w:after="0" w:line="273" w:lineRule="auto"/>
        <w:rPr>
          <w:sz w:val="20"/>
          <w:szCs w:val="20"/>
          <w:color w:val="auto"/>
        </w:rPr>
      </w:pPr>
      <w:r>
        <w:rPr>
          <w:rFonts w:ascii="Times New Roman" w:cs="Times New Roman" w:eastAsia="Times New Roman" w:hAnsi="Times New Roman"/>
          <w:sz w:val="14"/>
          <w:szCs w:val="14"/>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136" w:lineRule="exact"/>
        <w:rPr>
          <w:sz w:val="20"/>
          <w:szCs w:val="20"/>
          <w:color w:val="auto"/>
        </w:rPr>
      </w:pPr>
    </w:p>
    <w:p>
      <w:pPr>
        <w:ind w:left="80" w:right="139" w:firstLine="354"/>
        <w:spacing w:after="0" w:line="279" w:lineRule="auto"/>
        <w:rPr>
          <w:sz w:val="20"/>
          <w:szCs w:val="20"/>
          <w:color w:val="auto"/>
        </w:rPr>
      </w:pPr>
      <w:r>
        <w:rPr>
          <w:rFonts w:ascii="Times New Roman" w:cs="Times New Roman" w:eastAsia="Times New Roman" w:hAnsi="Times New Roman"/>
          <w:sz w:val="14"/>
          <w:szCs w:val="14"/>
          <w:color w:val="auto"/>
        </w:rPr>
        <w:t>SECTION 7.3. Insurance. The Bank may purchase and maintain insurance to indemnify it against payments it is permitted to make under this Article VII and to indemnify directors, officers and employees against legal or professional expenses incurred in connection with actions or proceedings to the extent permitted by law.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4"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CAPITAL STOCK</w:t>
      </w:r>
    </w:p>
    <w:p>
      <w:pPr>
        <w:spacing w:after="0" w:line="171" w:lineRule="exact"/>
        <w:rPr>
          <w:sz w:val="20"/>
          <w:szCs w:val="20"/>
          <w:color w:val="auto"/>
        </w:rPr>
      </w:pPr>
    </w:p>
    <w:p>
      <w:pPr>
        <w:jc w:val="both"/>
        <w:ind w:left="80" w:right="319" w:firstLine="354"/>
        <w:spacing w:after="0" w:line="273" w:lineRule="auto"/>
        <w:rPr>
          <w:sz w:val="20"/>
          <w:szCs w:val="20"/>
          <w:color w:val="auto"/>
        </w:rPr>
      </w:pPr>
      <w:r>
        <w:rPr>
          <w:rFonts w:ascii="Times New Roman" w:cs="Times New Roman" w:eastAsia="Times New Roman" w:hAnsi="Times New Roman"/>
          <w:sz w:val="14"/>
          <w:szCs w:val="14"/>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36" w:lineRule="exact"/>
        <w:rPr>
          <w:sz w:val="20"/>
          <w:szCs w:val="20"/>
          <w:color w:val="auto"/>
        </w:rPr>
      </w:pPr>
    </w:p>
    <w:p>
      <w:pPr>
        <w:ind w:left="80" w:right="99" w:firstLine="354"/>
        <w:spacing w:after="0" w:line="269" w:lineRule="auto"/>
        <w:rPr>
          <w:sz w:val="20"/>
          <w:szCs w:val="20"/>
          <w:color w:val="auto"/>
        </w:rPr>
      </w:pPr>
      <w:r>
        <w:rPr>
          <w:rFonts w:ascii="Times New Roman" w:cs="Times New Roman" w:eastAsia="Times New Roman" w:hAnsi="Times New Roman"/>
          <w:sz w:val="14"/>
          <w:szCs w:val="14"/>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141" w:lineRule="exact"/>
        <w:rPr>
          <w:sz w:val="20"/>
          <w:szCs w:val="20"/>
          <w:color w:val="auto"/>
        </w:rPr>
      </w:pPr>
    </w:p>
    <w:p>
      <w:pPr>
        <w:ind w:left="80" w:right="79" w:firstLine="354"/>
        <w:spacing w:after="0" w:line="271" w:lineRule="auto"/>
        <w:rPr>
          <w:sz w:val="20"/>
          <w:szCs w:val="20"/>
          <w:color w:val="auto"/>
        </w:rPr>
      </w:pPr>
      <w:r>
        <w:rPr>
          <w:rFonts w:ascii="Times New Roman" w:cs="Times New Roman" w:eastAsia="Times New Roman" w:hAnsi="Times New Roman"/>
          <w:sz w:val="14"/>
          <w:szCs w:val="14"/>
          <w:color w:val="auto"/>
        </w:rPr>
        <w:t>SECTION 8.3. New Certificates. No new certificate shall be issued until the former certificate is cancelled except in the circumstances provided in this Section 8.3.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the Chief Executive Officer or any person designated by either of them may from time to time determine.</w:t>
      </w:r>
    </w:p>
    <w:p>
      <w:pPr>
        <w:spacing w:after="0" w:line="316" w:lineRule="exact"/>
        <w:rPr>
          <w:sz w:val="20"/>
          <w:szCs w:val="20"/>
          <w:color w:val="auto"/>
        </w:rPr>
      </w:pPr>
    </w:p>
    <w:p>
      <w:pPr>
        <w:jc w:val="both"/>
        <w:ind w:left="80" w:right="179" w:firstLine="354"/>
        <w:spacing w:after="0" w:line="279" w:lineRule="auto"/>
        <w:rPr>
          <w:sz w:val="20"/>
          <w:szCs w:val="20"/>
          <w:color w:val="auto"/>
        </w:rPr>
      </w:pPr>
      <w:r>
        <w:rPr>
          <w:rFonts w:ascii="Times New Roman" w:cs="Times New Roman" w:eastAsia="Times New Roman" w:hAnsi="Times New Roman"/>
          <w:sz w:val="14"/>
          <w:szCs w:val="14"/>
          <w:color w:val="auto"/>
        </w:rPr>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4"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ARTICLE 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CORPORATE SEAL</w:t>
      </w:r>
    </w:p>
    <w:p>
      <w:pPr>
        <w:spacing w:after="0" w:line="171" w:lineRule="exact"/>
        <w:rPr>
          <w:sz w:val="20"/>
          <w:szCs w:val="20"/>
          <w:color w:val="auto"/>
        </w:rPr>
      </w:pPr>
    </w:p>
    <w:p>
      <w:pPr>
        <w:ind w:left="80" w:right="299" w:firstLine="354"/>
        <w:spacing w:after="0" w:line="300" w:lineRule="auto"/>
        <w:rPr>
          <w:sz w:val="20"/>
          <w:szCs w:val="20"/>
          <w:color w:val="auto"/>
        </w:rPr>
      </w:pPr>
      <w:r>
        <w:rPr>
          <w:rFonts w:ascii="Times New Roman" w:cs="Times New Roman" w:eastAsia="Times New Roman" w:hAnsi="Times New Roman"/>
          <w:sz w:val="14"/>
          <w:szCs w:val="14"/>
          <w:color w:val="auto"/>
        </w:rPr>
        <w:t>SECTION 9.1. The Seal. The Board shall provide a corporate seal for the Bank which may be affixed to any document, certificate or paper and attested by such individuals as provided by these By-laws or as the Board may from time-to- time determine.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BY-LAWS</w:t>
      </w:r>
    </w:p>
    <w:p>
      <w:pPr>
        <w:spacing w:after="0" w:line="171" w:lineRule="exact"/>
        <w:rPr>
          <w:sz w:val="20"/>
          <w:szCs w:val="20"/>
          <w:color w:val="auto"/>
        </w:rPr>
      </w:pPr>
    </w:p>
    <w:p>
      <w:pPr>
        <w:ind w:left="80" w:right="399" w:firstLine="354"/>
        <w:spacing w:after="0" w:line="269" w:lineRule="auto"/>
        <w:rPr>
          <w:sz w:val="20"/>
          <w:szCs w:val="20"/>
          <w:color w:val="auto"/>
        </w:rPr>
      </w:pPr>
      <w:r>
        <w:rPr>
          <w:rFonts w:ascii="Times New Roman" w:cs="Times New Roman" w:eastAsia="Times New Roman" w:hAnsi="Times New Roman"/>
          <w:sz w:val="14"/>
          <w:szCs w:val="14"/>
          <w:color w:val="auto"/>
        </w:rPr>
        <w:t>SECTION 10.1.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41" w:lineRule="exact"/>
        <w:rPr>
          <w:sz w:val="20"/>
          <w:szCs w:val="20"/>
          <w:color w:val="auto"/>
        </w:rPr>
      </w:pPr>
    </w:p>
    <w:p>
      <w:pPr>
        <w:ind w:left="80" w:right="159" w:firstLine="354"/>
        <w:spacing w:after="0" w:line="300" w:lineRule="auto"/>
        <w:rPr>
          <w:sz w:val="20"/>
          <w:szCs w:val="20"/>
          <w:color w:val="auto"/>
        </w:rPr>
      </w:pPr>
      <w:r>
        <w:rPr>
          <w:rFonts w:ascii="Times New Roman" w:cs="Times New Roman" w:eastAsia="Times New Roman" w:hAnsi="Times New Roman"/>
          <w:sz w:val="14"/>
          <w:szCs w:val="14"/>
          <w:color w:val="auto"/>
        </w:rPr>
        <w:t>SECTION 10.2. Inspection. A copy of these By-laws, with all amendments thereto, shall at all times be kept in a convenient place at the principal office of the Bank and shall be open for inspection to all stockholders during regular business hours.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4" w:right="1440" w:bottom="1440" w:gutter="0" w:footer="0" w:header="0"/>
        </w:sectPr>
      </w:pPr>
    </w:p>
    <w:bookmarkStart w:id="52" w:name="page53"/>
    <w:bookmarkEnd w:id="52"/>
    <w:p>
      <w:pPr>
        <w:jc w:val="right"/>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89" w:lineRule="exact"/>
        <w:rPr>
          <w:sz w:val="20"/>
          <w:szCs w:val="20"/>
          <w:color w:val="auto"/>
        </w:rPr>
      </w:pPr>
    </w:p>
    <w:p>
      <w:pPr>
        <w:ind w:left="80" w:right="139"/>
        <w:spacing w:after="0" w:line="279" w:lineRule="auto"/>
        <w:rPr>
          <w:sz w:val="20"/>
          <w:szCs w:val="20"/>
          <w:color w:val="auto"/>
        </w:rPr>
      </w:pPr>
      <w:r>
        <w:rPr>
          <w:rFonts w:ascii="Times New Roman" w:cs="Times New Roman" w:eastAsia="Times New Roman" w:hAnsi="Times New Roman"/>
          <w:sz w:val="14"/>
          <w:szCs w:val="14"/>
          <w:color w:val="auto"/>
        </w:rPr>
        <w:t>Pursuant to the requirements of Section 321(b) of the Trust Indenture Act of 1939, The Bank of New York Mellon hereby consents that reports of examinations by Federal, State, Territorial or District authorities may be furnished by such authorities to the Securities and Exchange Commission upon request therefor.</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18415</wp:posOffset>
            </wp:positionV>
            <wp:extent cx="20624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2062480" cy="6985"/>
                    </a:xfrm>
                    <a:prstGeom prst="rect">
                      <a:avLst/>
                    </a:prstGeom>
                    <a:noFill/>
                  </pic:spPr>
                </pic:pic>
              </a:graphicData>
            </a:graphic>
          </wp:anchor>
        </w:drawing>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Terence Rawlins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1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November 2, 2026</w:t>
      </w:r>
    </w:p>
    <w:p>
      <w:pPr>
        <w:sectPr>
          <w:pgSz w:w="11900" w:h="16838" w:orient="portrait"/>
          <w:cols w:equalWidth="0" w:num="1">
            <w:col w:w="9019"/>
          </w:cols>
          <w:pgMar w:left="1440" w:top="242" w:right="1440" w:bottom="1440" w:gutter="0" w:footer="0" w:header="0"/>
        </w:sectPr>
      </w:pPr>
    </w:p>
    <w:bookmarkStart w:id="53" w:name="page54"/>
    <w:bookmarkEnd w:id="53"/>
    <w:p>
      <w:pPr>
        <w:jc w:val="right"/>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149860</wp:posOffset>
            </wp:positionV>
            <wp:extent cx="562800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240 Greenwich Street, New York, N.Y. 10286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 Foreign and Domestic Subsidiaries,</w:t>
      </w:r>
    </w:p>
    <w:p>
      <w:pPr>
        <w:spacing w:after="0" w:line="13" w:lineRule="exact"/>
        <w:rPr>
          <w:sz w:val="20"/>
          <w:szCs w:val="20"/>
          <w:color w:val="auto"/>
        </w:rPr>
      </w:pPr>
    </w:p>
    <w:p>
      <w:pPr>
        <w:ind w:left="80" w:right="139"/>
        <w:spacing w:after="0" w:line="278" w:lineRule="auto"/>
        <w:rPr>
          <w:sz w:val="20"/>
          <w:szCs w:val="20"/>
          <w:color w:val="auto"/>
        </w:rPr>
      </w:pPr>
      <w:r>
        <w:rPr>
          <w:rFonts w:ascii="Times New Roman" w:cs="Times New Roman" w:eastAsia="Times New Roman" w:hAnsi="Times New Roman"/>
          <w:sz w:val="14"/>
          <w:szCs w:val="14"/>
          <w:color w:val="auto"/>
        </w:rPr>
        <w:t>a member of the Federal Reserve System, at the close of business June 30, 2026, published in accordance with a call made by the Federal Reserve Bank of this District pursuant to the provisions of the Federal Reserve Act.</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7480" w:type="dxa"/>
            <w:vAlign w:val="bottom"/>
          </w:tcPr>
          <w:p>
            <w:pPr>
              <w:spacing w:after="0"/>
              <w:rPr>
                <w:sz w:val="12"/>
                <w:szCs w:val="12"/>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Dollar amounts in thousands</w:t>
            </w: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146,331,000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48,256,000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107,264,000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27,537,000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46,659,000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46,459,000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21,190,000</w:t>
            </w:r>
          </w:p>
        </w:tc>
        <w:tc>
          <w:tcPr>
            <w:tcW w:w="20" w:type="dxa"/>
            <w:vAlign w:val="bottom"/>
            <w:shd w:val="clear" w:color="auto" w:fill="CCEEFF"/>
          </w:tcPr>
          <w:p>
            <w:pPr>
              <w:spacing w:after="0"/>
              <w:rPr>
                <w:sz w:val="15"/>
                <w:szCs w:val="15"/>
                <w:color w:val="auto"/>
              </w:rPr>
            </w:pPr>
          </w:p>
        </w:tc>
      </w:tr>
      <w:tr>
        <w:trPr>
          <w:trHeight w:val="176"/>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425,115,000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019"/>
          </w:cols>
          <w:pgMar w:left="1440" w:top="242" w:right="1440"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 domestic offices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255,943,000</w:t>
            </w: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84,330,000</w:t>
            </w: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171,613,000</w:t>
            </w: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 foreign offices, Edge and Agreement subsidiaries, and IBFs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116,619,000</w:t>
            </w: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9,678,000</w:t>
            </w: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106,941,000</w:t>
            </w:r>
          </w:p>
        </w:tc>
        <w:tc>
          <w:tcPr>
            <w:tcW w:w="40" w:type="dxa"/>
            <w:vAlign w:val="bottom"/>
          </w:tcPr>
          <w:p>
            <w:pPr>
              <w:spacing w:after="0"/>
              <w:rPr>
                <w:sz w:val="15"/>
                <w:szCs w:val="15"/>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5,787,000</w:t>
            </w: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2,988,000</w:t>
            </w:r>
          </w:p>
        </w:tc>
        <w:tc>
          <w:tcPr>
            <w:tcW w:w="40" w:type="dxa"/>
            <w:vAlign w:val="bottom"/>
          </w:tcPr>
          <w:p>
            <w:pPr>
              <w:spacing w:after="0"/>
              <w:rPr>
                <w:sz w:val="15"/>
                <w:szCs w:val="15"/>
                <w:color w:val="auto"/>
              </w:rPr>
            </w:pPr>
          </w:p>
        </w:tc>
      </w:tr>
      <w:tr>
        <w:trPr>
          <w:trHeight w:val="159"/>
        </w:trPr>
        <w:tc>
          <w:tcPr>
            <w:tcW w:w="80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 borrowed money:</w:t>
            </w: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8"/>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6,395,000</w:t>
            </w:r>
          </w:p>
        </w:tc>
        <w:tc>
          <w:tcPr>
            <w:tcW w:w="40" w:type="dxa"/>
            <w:vAlign w:val="bottom"/>
            <w:shd w:val="clear" w:color="auto" w:fill="CCEEFF"/>
          </w:tcPr>
          <w:p>
            <w:pPr>
              <w:spacing w:after="0"/>
              <w:rPr>
                <w:sz w:val="16"/>
                <w:szCs w:val="16"/>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7,942,000</w:t>
            </w:r>
          </w:p>
        </w:tc>
        <w:tc>
          <w:tcPr>
            <w:tcW w:w="40" w:type="dxa"/>
            <w:vAlign w:val="bottom"/>
            <w:shd w:val="clear" w:color="auto" w:fill="CCEEFF"/>
          </w:tcPr>
          <w:p>
            <w:pPr>
              <w:spacing w:after="0"/>
              <w:rPr>
                <w:sz w:val="15"/>
                <w:szCs w:val="15"/>
                <w:color w:val="auto"/>
              </w:rPr>
            </w:pPr>
          </w:p>
        </w:tc>
      </w:tr>
      <w:tr>
        <w:trPr>
          <w:trHeight w:val="176"/>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395,674,000</w:t>
            </w:r>
          </w:p>
        </w:tc>
        <w:tc>
          <w:tcPr>
            <w:tcW w:w="40" w:type="dxa"/>
            <w:vAlign w:val="bottom"/>
          </w:tcPr>
          <w:p>
            <w:pPr>
              <w:spacing w:after="0"/>
              <w:rPr>
                <w:sz w:val="15"/>
                <w:szCs w:val="15"/>
                <w:color w:val="auto"/>
              </w:rPr>
            </w:pPr>
          </w:p>
        </w:tc>
      </w:tr>
      <w:tr>
        <w:trPr>
          <w:trHeight w:val="20"/>
        </w:trPr>
        <w:tc>
          <w:tcPr>
            <w:tcW w:w="8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80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EQUITY CAPITAL</w:t>
            </w: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1,135,000</w:t>
            </w:r>
          </w:p>
        </w:tc>
        <w:tc>
          <w:tcPr>
            <w:tcW w:w="40" w:type="dxa"/>
            <w:vAlign w:val="bottom"/>
            <w:shd w:val="clear" w:color="auto" w:fill="CCEEFF"/>
          </w:tcPr>
          <w:p>
            <w:pPr>
              <w:spacing w:after="0"/>
              <w:rPr>
                <w:sz w:val="15"/>
                <w:szCs w:val="15"/>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13,277,000</w:t>
            </w: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17,014,000</w:t>
            </w: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-1,985,000</w:t>
            </w:r>
          </w:p>
        </w:tc>
        <w:tc>
          <w:tcPr>
            <w:tcW w:w="40" w:type="dxa"/>
            <w:vAlign w:val="bottom"/>
          </w:tcPr>
          <w:p>
            <w:pPr>
              <w:spacing w:after="0"/>
              <w:rPr>
                <w:sz w:val="15"/>
                <w:szCs w:val="15"/>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29,441,000</w:t>
            </w: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6"/>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29,441,000</w:t>
            </w:r>
          </w:p>
        </w:tc>
        <w:tc>
          <w:tcPr>
            <w:tcW w:w="40" w:type="dxa"/>
            <w:vAlign w:val="bottom"/>
          </w:tcPr>
          <w:p>
            <w:pPr>
              <w:spacing w:after="0"/>
              <w:rPr>
                <w:sz w:val="15"/>
                <w:szCs w:val="15"/>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425,115,000</w:t>
            </w:r>
          </w:p>
        </w:tc>
      </w:tr>
      <w:tr>
        <w:trPr>
          <w:trHeight w:val="20"/>
        </w:trPr>
        <w:tc>
          <w:tcPr>
            <w:tcW w:w="8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9019"/>
          </w:cols>
          <w:pgMar w:left="1440" w:top="259" w:right="1440" w:bottom="1440" w:gutter="0" w:footer="0" w:header="0"/>
        </w:sectPr>
      </w:pPr>
    </w:p>
    <w:bookmarkStart w:id="55" w:name="page56"/>
    <w:bookmarkEnd w:id="55"/>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1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 xml:space="preserve">Dermot McDonogh      </w:t>
      </w:r>
    </w:p>
    <w:p>
      <w:pPr>
        <w:spacing w:after="0" w:line="28"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 xml:space="preserve">Chief Financial Officer      </w:t>
      </w:r>
    </w:p>
    <w:p>
      <w:pPr>
        <w:spacing w:after="0" w:line="171" w:lineRule="exact"/>
        <w:rPr>
          <w:sz w:val="20"/>
          <w:szCs w:val="20"/>
          <w:color w:val="auto"/>
        </w:rPr>
      </w:pPr>
    </w:p>
    <w:p>
      <w:pPr>
        <w:ind w:left="80" w:right="279" w:firstLine="354"/>
        <w:spacing w:after="0" w:line="300" w:lineRule="auto"/>
        <w:rPr>
          <w:sz w:val="20"/>
          <w:szCs w:val="20"/>
          <w:color w:val="auto"/>
        </w:rPr>
      </w:pPr>
      <w:r>
        <w:rPr>
          <w:rFonts w:ascii="Times New Roman" w:cs="Times New Roman" w:eastAsia="Times New Roman" w:hAnsi="Times New Roman"/>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19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Robin A. Vince</w:t>
            </w:r>
          </w:p>
        </w:tc>
        <w:tc>
          <w:tcPr>
            <w:tcW w:w="300" w:type="dxa"/>
            <w:vAlign w:val="bottom"/>
            <w:tcBorders>
              <w:top w:val="single" w:sz="8" w:color="auto"/>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6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Jeffrey A. Goldstein</w:t>
            </w:r>
          </w:p>
        </w:tc>
        <w:tc>
          <w:tcPr>
            <w:tcW w:w="300" w:type="dxa"/>
            <w:vAlign w:val="bottom"/>
            <w:tcBorders>
              <w:right w:val="single" w:sz="8" w:color="auto"/>
            </w:tcBorders>
          </w:tcPr>
          <w:p>
            <w:pPr>
              <w:spacing w:after="0"/>
              <w:rPr>
                <w:sz w:val="15"/>
                <w:szCs w:val="15"/>
                <w:color w:val="auto"/>
              </w:rPr>
            </w:pPr>
          </w:p>
        </w:tc>
        <w:tc>
          <w:tcPr>
            <w:tcW w:w="66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color w:val="auto"/>
              </w:rPr>
              <w:t xml:space="preserve">Directors                                     </w:t>
            </w:r>
          </w:p>
        </w:tc>
        <w:tc>
          <w:tcPr>
            <w:tcW w:w="0" w:type="dxa"/>
            <w:vAlign w:val="bottom"/>
          </w:tcPr>
          <w:p>
            <w:pPr>
              <w:spacing w:after="0"/>
              <w:rPr>
                <w:sz w:val="1"/>
                <w:szCs w:val="1"/>
                <w:color w:val="auto"/>
              </w:rPr>
            </w:pPr>
          </w:p>
        </w:tc>
      </w:tr>
      <w:tr>
        <w:trPr>
          <w:trHeight w:val="102"/>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Joseph J. Echevarria</w:t>
            </w:r>
          </w:p>
        </w:tc>
        <w:tc>
          <w:tcPr>
            <w:tcW w:w="300" w:type="dxa"/>
            <w:vAlign w:val="bottom"/>
            <w:tcBorders>
              <w:right w:val="single" w:sz="8" w:color="auto"/>
            </w:tcBorders>
          </w:tcPr>
          <w:p>
            <w:pPr>
              <w:spacing w:after="0"/>
              <w:rPr>
                <w:sz w:val="8"/>
                <w:szCs w:val="8"/>
                <w:color w:val="auto"/>
              </w:rPr>
            </w:pPr>
          </w:p>
        </w:tc>
        <w:tc>
          <w:tcPr>
            <w:tcW w:w="6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940" w:type="dxa"/>
            <w:vAlign w:val="bottom"/>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6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4" w:right="1440" w:bottom="1440" w:gutter="0" w:footer="0" w:header="0"/>
        </w:sectPr>
      </w:pPr>
    </w:p>
    <w:bookmarkStart w:id="56" w:name="page57"/>
    <w:bookmarkEnd w:id="56"/>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191135</wp:posOffset>
            </wp:positionV>
            <wp:extent cx="562800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225425</wp:posOffset>
            </wp:positionV>
            <wp:extent cx="562800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180975</wp:posOffset>
            </wp:positionV>
            <wp:extent cx="118618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200025</wp:posOffset>
            </wp:positionV>
            <wp:extent cx="11861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left="73" w:right="92"/>
        <w:spacing w:after="0" w:line="260"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7" w:lineRule="exact"/>
        <w:rPr>
          <w:sz w:val="20"/>
          <w:szCs w:val="20"/>
          <w:color w:val="auto"/>
        </w:rPr>
      </w:pPr>
    </w:p>
    <w:p>
      <w:pPr>
        <w:ind w:left="420" w:right="219" w:hanging="347"/>
        <w:spacing w:after="0" w:line="280" w:lineRule="auto"/>
        <w:tabs>
          <w:tab w:leader="none" w:pos="420" w:val="left"/>
        </w:tabs>
        <w:numPr>
          <w:ilvl w:val="0"/>
          <w:numId w:val="3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160655</wp:posOffset>
            </wp:positionV>
            <wp:extent cx="118618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BANK OF NEW YORK MELLON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186690</wp:posOffset>
            </wp:positionV>
            <wp:extent cx="118618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2720" w:type="dxa"/>
            <w:vAlign w:val="bottom"/>
          </w:tcPr>
          <w:p>
            <w:pPr>
              <w:jc w:val="right"/>
              <w:ind w:right="1736"/>
              <w:spacing w:after="0"/>
              <w:rPr>
                <w:sz w:val="20"/>
                <w:szCs w:val="20"/>
                <w:color w:val="auto"/>
              </w:rPr>
            </w:pPr>
            <w:r>
              <w:rPr>
                <w:rFonts w:ascii="Times New Roman" w:cs="Times New Roman" w:eastAsia="Times New Roman" w:hAnsi="Times New Roman"/>
                <w:sz w:val="14"/>
                <w:szCs w:val="14"/>
                <w:b w:val="1"/>
                <w:bCs w:val="1"/>
                <w:color w:val="auto"/>
              </w:rPr>
              <w:t>13-5160382</w:t>
            </w:r>
          </w:p>
        </w:tc>
      </w:tr>
      <w:tr>
        <w:trPr>
          <w:trHeight w:val="119"/>
        </w:trPr>
        <w:tc>
          <w:tcPr>
            <w:tcW w:w="6140" w:type="dxa"/>
            <w:vAlign w:val="bottom"/>
            <w:gridSpan w:val="3"/>
          </w:tcPr>
          <w:p>
            <w:pPr>
              <w:jc w:val="center"/>
              <w:ind w:right="1680"/>
              <w:spacing w:after="0" w:line="120" w:lineRule="exact"/>
              <w:rPr>
                <w:sz w:val="20"/>
                <w:szCs w:val="20"/>
                <w:color w:val="auto"/>
              </w:rPr>
            </w:pPr>
            <w:r>
              <w:rPr>
                <w:rFonts w:ascii="Times New Roman" w:cs="Times New Roman" w:eastAsia="Times New Roman" w:hAnsi="Times New Roman"/>
                <w:sz w:val="12"/>
                <w:szCs w:val="12"/>
                <w:b w:val="1"/>
                <w:bCs w:val="1"/>
                <w:color w:val="auto"/>
                <w:w w:val="96"/>
              </w:rPr>
              <w:t>(Jurisdiction of incorporation</w:t>
            </w:r>
          </w:p>
        </w:tc>
        <w:tc>
          <w:tcPr>
            <w:tcW w:w="2720" w:type="dxa"/>
            <w:vAlign w:val="bottom"/>
          </w:tcPr>
          <w:p>
            <w:pPr>
              <w:jc w:val="center"/>
              <w:ind w:right="151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6"/>
              </w:rPr>
              <w:t>if not a U.S. national bank)</w:t>
            </w:r>
          </w:p>
        </w:tc>
        <w:tc>
          <w:tcPr>
            <w:tcW w:w="2720" w:type="dxa"/>
            <w:vAlign w:val="bottom"/>
          </w:tcPr>
          <w:p>
            <w:pPr>
              <w:jc w:val="center"/>
              <w:ind w:right="1536"/>
              <w:spacing w:after="0"/>
              <w:rPr>
                <w:sz w:val="20"/>
                <w:szCs w:val="20"/>
                <w:color w:val="auto"/>
              </w:rPr>
            </w:pPr>
            <w:r>
              <w:rPr>
                <w:rFonts w:ascii="Times New Roman" w:cs="Times New Roman" w:eastAsia="Times New Roman" w:hAnsi="Times New Roman"/>
                <w:sz w:val="12"/>
                <w:szCs w:val="12"/>
                <w:b w:val="1"/>
                <w:bCs w:val="1"/>
                <w:color w:val="auto"/>
                <w:w w:val="96"/>
              </w:rPr>
              <w:t>identification no.)</w:t>
            </w:r>
          </w:p>
        </w:tc>
      </w:tr>
      <w:tr>
        <w:trPr>
          <w:trHeight w:val="327"/>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240 Greenwich Street, New York, NY</w:t>
            </w:r>
          </w:p>
        </w:tc>
        <w:tc>
          <w:tcPr>
            <w:tcW w:w="2720" w:type="dxa"/>
            <w:vAlign w:val="bottom"/>
          </w:tcPr>
          <w:p>
            <w:pPr>
              <w:jc w:val="right"/>
              <w:ind w:right="1916"/>
              <w:spacing w:after="0"/>
              <w:rPr>
                <w:sz w:val="20"/>
                <w:szCs w:val="20"/>
                <w:color w:val="auto"/>
              </w:rPr>
            </w:pPr>
            <w:r>
              <w:rPr>
                <w:rFonts w:ascii="Times New Roman" w:cs="Times New Roman" w:eastAsia="Times New Roman" w:hAnsi="Times New Roman"/>
                <w:sz w:val="14"/>
                <w:szCs w:val="14"/>
                <w:b w:val="1"/>
                <w:bCs w:val="1"/>
                <w:color w:val="auto"/>
              </w:rPr>
              <w:t>10286</w:t>
            </w:r>
          </w:p>
        </w:tc>
      </w:tr>
      <w:tr>
        <w:trPr>
          <w:trHeight w:val="151"/>
        </w:trPr>
        <w:tc>
          <w:tcPr>
            <w:tcW w:w="6140" w:type="dxa"/>
            <w:vAlign w:val="bottom"/>
            <w:gridSpan w:val="3"/>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720" w:type="dxa"/>
            <w:vAlign w:val="bottom"/>
          </w:tcPr>
          <w:p>
            <w:pPr>
              <w:jc w:val="center"/>
              <w:ind w:right="151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319"/>
        </w:trPr>
        <w:tc>
          <w:tcPr>
            <w:tcW w:w="3480" w:type="dxa"/>
            <w:vAlign w:val="bottom"/>
          </w:tcPr>
          <w:p>
            <w:pPr>
              <w:spacing w:after="0"/>
              <w:rPr>
                <w:sz w:val="24"/>
                <w:szCs w:val="24"/>
                <w:color w:val="auto"/>
              </w:rPr>
            </w:pPr>
          </w:p>
        </w:tc>
        <w:tc>
          <w:tcPr>
            <w:tcW w:w="26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Cheryl Santucci</w:t>
            </w:r>
          </w:p>
        </w:tc>
        <w:tc>
          <w:tcPr>
            <w:tcW w:w="2720" w:type="dxa"/>
            <w:vAlign w:val="bottom"/>
          </w:tcPr>
          <w:p>
            <w:pPr>
              <w:spacing w:after="0"/>
              <w:rPr>
                <w:sz w:val="24"/>
                <w:szCs w:val="24"/>
                <w:color w:val="auto"/>
              </w:rPr>
            </w:pPr>
          </w:p>
        </w:tc>
      </w:tr>
      <w:tr>
        <w:trPr>
          <w:trHeight w:val="174"/>
        </w:trPr>
        <w:tc>
          <w:tcPr>
            <w:tcW w:w="6140" w:type="dxa"/>
            <w:vAlign w:val="bottom"/>
            <w:gridSpan w:val="3"/>
          </w:tcPr>
          <w:p>
            <w:pPr>
              <w:jc w:val="center"/>
              <w:ind w:left="2635"/>
              <w:spacing w:after="0"/>
              <w:rPr>
                <w:sz w:val="20"/>
                <w:szCs w:val="20"/>
                <w:color w:val="auto"/>
              </w:rPr>
            </w:pPr>
            <w:r>
              <w:rPr>
                <w:rFonts w:ascii="Times New Roman" w:cs="Times New Roman" w:eastAsia="Times New Roman" w:hAnsi="Times New Roman"/>
                <w:sz w:val="14"/>
                <w:szCs w:val="14"/>
                <w:b w:val="1"/>
                <w:bCs w:val="1"/>
                <w:color w:val="auto"/>
              </w:rPr>
              <w:t>The Bank of New York Mellon</w:t>
            </w:r>
          </w:p>
        </w:tc>
        <w:tc>
          <w:tcPr>
            <w:tcW w:w="2720" w:type="dxa"/>
            <w:vAlign w:val="bottom"/>
          </w:tcPr>
          <w:p>
            <w:pPr>
              <w:spacing w:after="0"/>
              <w:rPr>
                <w:sz w:val="15"/>
                <w:szCs w:val="15"/>
                <w:color w:val="auto"/>
              </w:rPr>
            </w:pPr>
          </w:p>
        </w:tc>
      </w:tr>
      <w:tr>
        <w:trPr>
          <w:trHeight w:val="174"/>
        </w:trPr>
        <w:tc>
          <w:tcPr>
            <w:tcW w:w="3480" w:type="dxa"/>
            <w:vAlign w:val="bottom"/>
          </w:tcPr>
          <w:p>
            <w:pPr>
              <w:spacing w:after="0"/>
              <w:rPr>
                <w:sz w:val="15"/>
                <w:szCs w:val="15"/>
                <w:color w:val="auto"/>
              </w:rPr>
            </w:pPr>
          </w:p>
        </w:tc>
        <w:tc>
          <w:tcPr>
            <w:tcW w:w="26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240 Greenwich Street</w:t>
            </w:r>
          </w:p>
        </w:tc>
        <w:tc>
          <w:tcPr>
            <w:tcW w:w="2720" w:type="dxa"/>
            <w:vAlign w:val="bottom"/>
          </w:tcPr>
          <w:p>
            <w:pPr>
              <w:spacing w:after="0"/>
              <w:rPr>
                <w:sz w:val="15"/>
                <w:szCs w:val="15"/>
                <w:color w:val="auto"/>
              </w:rPr>
            </w:pPr>
          </w:p>
        </w:tc>
      </w:tr>
      <w:tr>
        <w:trPr>
          <w:trHeight w:val="174"/>
        </w:trPr>
        <w:tc>
          <w:tcPr>
            <w:tcW w:w="3480" w:type="dxa"/>
            <w:vAlign w:val="bottom"/>
          </w:tcPr>
          <w:p>
            <w:pPr>
              <w:spacing w:after="0"/>
              <w:rPr>
                <w:sz w:val="15"/>
                <w:szCs w:val="15"/>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New York, New York 10286</w:t>
            </w:r>
          </w:p>
        </w:tc>
        <w:tc>
          <w:tcPr>
            <w:tcW w:w="2720" w:type="dxa"/>
            <w:vAlign w:val="bottom"/>
          </w:tcPr>
          <w:p>
            <w:pPr>
              <w:spacing w:after="0"/>
              <w:rPr>
                <w:sz w:val="15"/>
                <w:szCs w:val="15"/>
                <w:color w:val="auto"/>
              </w:rPr>
            </w:pPr>
          </w:p>
        </w:tc>
      </w:tr>
      <w:tr>
        <w:trPr>
          <w:trHeight w:val="171"/>
        </w:trPr>
        <w:tc>
          <w:tcPr>
            <w:tcW w:w="5360" w:type="dxa"/>
            <w:vAlign w:val="bottom"/>
            <w:gridSpan w:val="2"/>
          </w:tcPr>
          <w:p>
            <w:pPr>
              <w:jc w:val="center"/>
              <w:ind w:left="3435"/>
              <w:spacing w:after="0"/>
              <w:rPr>
                <w:sz w:val="20"/>
                <w:szCs w:val="20"/>
                <w:color w:val="auto"/>
              </w:rPr>
            </w:pPr>
            <w:r>
              <w:rPr>
                <w:rFonts w:ascii="Times New Roman" w:cs="Times New Roman" w:eastAsia="Times New Roman" w:hAnsi="Times New Roman"/>
                <w:sz w:val="14"/>
                <w:szCs w:val="14"/>
                <w:b w:val="1"/>
                <w:bCs w:val="1"/>
                <w:color w:val="auto"/>
              </w:rPr>
              <w:t>(212) 635-1542</w:t>
            </w:r>
          </w:p>
        </w:tc>
        <w:tc>
          <w:tcPr>
            <w:tcW w:w="78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51"/>
        </w:trPr>
        <w:tc>
          <w:tcPr>
            <w:tcW w:w="6140" w:type="dxa"/>
            <w:vAlign w:val="bottom"/>
            <w:gridSpan w:val="3"/>
          </w:tcPr>
          <w:p>
            <w:pPr>
              <w:jc w:val="center"/>
              <w:ind w:left="2635"/>
              <w:spacing w:after="0"/>
              <w:rPr>
                <w:sz w:val="20"/>
                <w:szCs w:val="20"/>
                <w:color w:val="auto"/>
              </w:rPr>
            </w:pPr>
            <w:r>
              <w:rPr>
                <w:rFonts w:ascii="Times New Roman" w:cs="Times New Roman" w:eastAsia="Times New Roman" w:hAnsi="Times New Roman"/>
                <w:sz w:val="12"/>
                <w:szCs w:val="12"/>
                <w:b w:val="1"/>
                <w:bCs w:val="1"/>
                <w:color w:val="auto"/>
                <w:w w:val="96"/>
              </w:rPr>
              <w:t>(Name, address and telephone number of agent for service)</w:t>
            </w:r>
          </w:p>
        </w:tc>
        <w:tc>
          <w:tcPr>
            <w:tcW w:w="2720" w:type="dxa"/>
            <w:vAlign w:val="bottom"/>
          </w:tcPr>
          <w:p>
            <w:pPr>
              <w:spacing w:after="0"/>
              <w:rPr>
                <w:sz w:val="13"/>
                <w:szCs w:val="13"/>
                <w:color w:val="auto"/>
              </w:rPr>
            </w:pP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19"/>
        </w:trPr>
        <w:tc>
          <w:tcPr>
            <w:tcW w:w="3480" w:type="dxa"/>
            <w:vAlign w:val="bottom"/>
          </w:tcPr>
          <w:p>
            <w:pPr>
              <w:spacing w:after="0"/>
              <w:rPr>
                <w:sz w:val="24"/>
                <w:szCs w:val="24"/>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NAVIENT LLC</w:t>
            </w:r>
          </w:p>
        </w:tc>
        <w:tc>
          <w:tcPr>
            <w:tcW w:w="2720" w:type="dxa"/>
            <w:vAlign w:val="bottom"/>
          </w:tcPr>
          <w:p>
            <w:pPr>
              <w:spacing w:after="0"/>
              <w:rPr>
                <w:sz w:val="24"/>
                <w:szCs w:val="24"/>
                <w:color w:val="auto"/>
              </w:rPr>
            </w:pPr>
          </w:p>
        </w:tc>
      </w:tr>
      <w:tr>
        <w:trPr>
          <w:trHeight w:val="151"/>
        </w:trPr>
        <w:tc>
          <w:tcPr>
            <w:tcW w:w="6140" w:type="dxa"/>
            <w:vAlign w:val="bottom"/>
            <w:gridSpan w:val="3"/>
          </w:tcPr>
          <w:p>
            <w:pPr>
              <w:jc w:val="center"/>
              <w:ind w:left="2655"/>
              <w:spacing w:after="0"/>
              <w:rPr>
                <w:sz w:val="20"/>
                <w:szCs w:val="20"/>
                <w:color w:val="auto"/>
              </w:rPr>
            </w:pPr>
            <w:r>
              <w:rPr>
                <w:rFonts w:ascii="Times New Roman" w:cs="Times New Roman" w:eastAsia="Times New Roman" w:hAnsi="Times New Roman"/>
                <w:sz w:val="12"/>
                <w:szCs w:val="12"/>
                <w:b w:val="1"/>
                <w:bCs w:val="1"/>
                <w:color w:val="auto"/>
                <w:w w:val="96"/>
              </w:rPr>
              <w:t>(Exact name of obligor as specified in its charter)</w:t>
            </w:r>
          </w:p>
        </w:tc>
        <w:tc>
          <w:tcPr>
            <w:tcW w:w="2720" w:type="dxa"/>
            <w:vAlign w:val="bottom"/>
          </w:tcPr>
          <w:p>
            <w:pPr>
              <w:spacing w:after="0"/>
              <w:rPr>
                <w:sz w:val="13"/>
                <w:szCs w:val="13"/>
                <w:color w:val="auto"/>
              </w:rPr>
            </w:pP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73"/>
        </w:trPr>
        <w:tc>
          <w:tcPr>
            <w:tcW w:w="614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20" w:type="dxa"/>
            <w:vAlign w:val="bottom"/>
          </w:tcPr>
          <w:p>
            <w:pPr>
              <w:jc w:val="right"/>
              <w:ind w:right="1716"/>
              <w:spacing w:after="0"/>
              <w:rPr>
                <w:sz w:val="20"/>
                <w:szCs w:val="20"/>
                <w:color w:val="auto"/>
              </w:rPr>
            </w:pPr>
            <w:r>
              <w:rPr>
                <w:rFonts w:ascii="Times New Roman" w:cs="Times New Roman" w:eastAsia="Times New Roman" w:hAnsi="Times New Roman"/>
                <w:sz w:val="14"/>
                <w:szCs w:val="14"/>
                <w:b w:val="1"/>
                <w:bCs w:val="1"/>
                <w:color w:val="auto"/>
              </w:rPr>
              <w:t>46-4054283</w:t>
            </w:r>
          </w:p>
        </w:tc>
      </w:tr>
      <w:tr>
        <w:trPr>
          <w:trHeight w:val="119"/>
        </w:trPr>
        <w:tc>
          <w:tcPr>
            <w:tcW w:w="6140" w:type="dxa"/>
            <w:vAlign w:val="bottom"/>
            <w:gridSpan w:val="3"/>
          </w:tcPr>
          <w:p>
            <w:pPr>
              <w:jc w:val="center"/>
              <w:ind w:right="1620"/>
              <w:spacing w:after="0" w:line="120" w:lineRule="exact"/>
              <w:rPr>
                <w:sz w:val="20"/>
                <w:szCs w:val="20"/>
                <w:color w:val="auto"/>
              </w:rPr>
            </w:pPr>
            <w:r>
              <w:rPr>
                <w:rFonts w:ascii="Times New Roman" w:cs="Times New Roman" w:eastAsia="Times New Roman" w:hAnsi="Times New Roman"/>
                <w:sz w:val="12"/>
                <w:szCs w:val="12"/>
                <w:b w:val="1"/>
                <w:bCs w:val="1"/>
                <w:color w:val="auto"/>
                <w:w w:val="95"/>
              </w:rPr>
              <w:t>(State or other jurisdiction of</w:t>
            </w:r>
          </w:p>
        </w:tc>
        <w:tc>
          <w:tcPr>
            <w:tcW w:w="2720" w:type="dxa"/>
            <w:vAlign w:val="bottom"/>
          </w:tcPr>
          <w:p>
            <w:pPr>
              <w:jc w:val="center"/>
              <w:ind w:right="147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6140" w:type="dxa"/>
            <w:vAlign w:val="bottom"/>
            <w:gridSpan w:val="3"/>
          </w:tcPr>
          <w:p>
            <w:pPr>
              <w:jc w:val="center"/>
              <w:ind w:right="1620"/>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2720" w:type="dxa"/>
            <w:vAlign w:val="bottom"/>
          </w:tcPr>
          <w:p>
            <w:pPr>
              <w:jc w:val="center"/>
              <w:ind w:right="1476"/>
              <w:spacing w:after="0"/>
              <w:rPr>
                <w:sz w:val="20"/>
                <w:szCs w:val="20"/>
                <w:color w:val="auto"/>
              </w:rPr>
            </w:pPr>
            <w:r>
              <w:rPr>
                <w:rFonts w:ascii="Times New Roman" w:cs="Times New Roman" w:eastAsia="Times New Roman" w:hAnsi="Times New Roman"/>
                <w:sz w:val="12"/>
                <w:szCs w:val="12"/>
                <w:b w:val="1"/>
                <w:bCs w:val="1"/>
                <w:color w:val="auto"/>
                <w:w w:val="94"/>
              </w:rPr>
              <w:t>identification no.)</w:t>
            </w:r>
          </w:p>
        </w:tc>
      </w:tr>
      <w:tr>
        <w:trPr>
          <w:trHeight w:val="329"/>
        </w:trPr>
        <w:tc>
          <w:tcPr>
            <w:tcW w:w="614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13865 Sunrise Valley Drive</w:t>
            </w:r>
          </w:p>
        </w:tc>
        <w:tc>
          <w:tcPr>
            <w:tcW w:w="2720" w:type="dxa"/>
            <w:vAlign w:val="bottom"/>
          </w:tcPr>
          <w:p>
            <w:pPr>
              <w:spacing w:after="0"/>
              <w:rPr>
                <w:sz w:val="24"/>
                <w:szCs w:val="24"/>
                <w:color w:val="auto"/>
              </w:rPr>
            </w:pPr>
          </w:p>
        </w:tc>
      </w:tr>
      <w:tr>
        <w:trPr>
          <w:trHeight w:val="182"/>
        </w:trPr>
        <w:tc>
          <w:tcPr>
            <w:tcW w:w="614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Herndon, Virginia</w:t>
            </w:r>
          </w:p>
        </w:tc>
        <w:tc>
          <w:tcPr>
            <w:tcW w:w="2720" w:type="dxa"/>
            <w:vAlign w:val="bottom"/>
          </w:tcPr>
          <w:p>
            <w:pPr>
              <w:jc w:val="right"/>
              <w:ind w:right="1876"/>
              <w:spacing w:after="0"/>
              <w:rPr>
                <w:sz w:val="20"/>
                <w:szCs w:val="20"/>
                <w:color w:val="auto"/>
              </w:rPr>
            </w:pPr>
            <w:r>
              <w:rPr>
                <w:rFonts w:ascii="Times New Roman" w:cs="Times New Roman" w:eastAsia="Times New Roman" w:hAnsi="Times New Roman"/>
                <w:sz w:val="14"/>
                <w:szCs w:val="14"/>
                <w:b w:val="1"/>
                <w:bCs w:val="1"/>
                <w:color w:val="auto"/>
              </w:rPr>
              <w:t>20171</w:t>
            </w:r>
          </w:p>
        </w:tc>
      </w:tr>
      <w:tr>
        <w:trPr>
          <w:trHeight w:val="151"/>
        </w:trPr>
        <w:tc>
          <w:tcPr>
            <w:tcW w:w="6140" w:type="dxa"/>
            <w:vAlign w:val="bottom"/>
            <w:gridSpan w:val="3"/>
          </w:tcPr>
          <w:p>
            <w:pPr>
              <w:jc w:val="center"/>
              <w:ind w:right="1620"/>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2720" w:type="dxa"/>
            <w:vAlign w:val="bottom"/>
          </w:tcPr>
          <w:p>
            <w:pPr>
              <w:jc w:val="center"/>
              <w:ind w:right="147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19"/>
        </w:trPr>
        <w:tc>
          <w:tcPr>
            <w:tcW w:w="6140" w:type="dxa"/>
            <w:vAlign w:val="bottom"/>
            <w:gridSpan w:val="3"/>
          </w:tcPr>
          <w:p>
            <w:pPr>
              <w:jc w:val="center"/>
              <w:ind w:left="2655"/>
              <w:spacing w:after="0"/>
              <w:rPr>
                <w:sz w:val="20"/>
                <w:szCs w:val="20"/>
                <w:color w:val="auto"/>
              </w:rPr>
            </w:pPr>
            <w:r>
              <w:rPr>
                <w:rFonts w:ascii="Times New Roman" w:cs="Times New Roman" w:eastAsia="Times New Roman" w:hAnsi="Times New Roman"/>
                <w:sz w:val="14"/>
                <w:szCs w:val="14"/>
                <w:b w:val="1"/>
                <w:bCs w:val="1"/>
                <w:color w:val="auto"/>
              </w:rPr>
              <w:t>Debt Securities Issued Under 2000 Senior Indenture</w:t>
            </w:r>
          </w:p>
        </w:tc>
        <w:tc>
          <w:tcPr>
            <w:tcW w:w="2720" w:type="dxa"/>
            <w:vAlign w:val="bottom"/>
          </w:tcPr>
          <w:p>
            <w:pPr>
              <w:spacing w:after="0"/>
              <w:rPr>
                <w:sz w:val="24"/>
                <w:szCs w:val="24"/>
                <w:color w:val="auto"/>
              </w:rPr>
            </w:pPr>
          </w:p>
        </w:tc>
      </w:tr>
      <w:tr>
        <w:trPr>
          <w:trHeight w:val="151"/>
        </w:trPr>
        <w:tc>
          <w:tcPr>
            <w:tcW w:w="3480" w:type="dxa"/>
            <w:vAlign w:val="bottom"/>
          </w:tcPr>
          <w:p>
            <w:pPr>
              <w:spacing w:after="0"/>
              <w:rPr>
                <w:sz w:val="13"/>
                <w:szCs w:val="13"/>
                <w:color w:val="auto"/>
              </w:rPr>
            </w:pPr>
          </w:p>
        </w:tc>
        <w:tc>
          <w:tcPr>
            <w:tcW w:w="266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6"/>
              </w:rPr>
              <w:t>(Title of the indenture securities)</w:t>
            </w:r>
          </w:p>
        </w:tc>
        <w:tc>
          <w:tcPr>
            <w:tcW w:w="2720" w:type="dxa"/>
            <w:vAlign w:val="bottom"/>
          </w:tcPr>
          <w:p>
            <w:pPr>
              <w:spacing w:after="0"/>
              <w:rPr>
                <w:sz w:val="13"/>
                <w:szCs w:val="13"/>
                <w:color w:val="auto"/>
              </w:rPr>
            </w:pPr>
          </w:p>
        </w:tc>
      </w:tr>
      <w:tr>
        <w:trPr>
          <w:trHeight w:val="183"/>
        </w:trPr>
        <w:tc>
          <w:tcPr>
            <w:tcW w:w="34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57" w:name="page58"/>
    <w:bookmarkEnd w:id="57"/>
    <w:p>
      <w:pPr>
        <w:ind w:left="420" w:hanging="347"/>
        <w:spacing w:after="0"/>
        <w:tabs>
          <w:tab w:leader="none" w:pos="4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General information. Furnish the following information as to the trustee:</w:t>
      </w:r>
    </w:p>
    <w:p>
      <w:pPr>
        <w:spacing w:after="0" w:line="110" w:lineRule="exact"/>
        <w:rPr>
          <w:rFonts w:ascii="Times New Roman" w:cs="Times New Roman" w:eastAsia="Times New Roman" w:hAnsi="Times New Roman"/>
          <w:sz w:val="14"/>
          <w:szCs w:val="14"/>
          <w:b w:val="1"/>
          <w:bCs w:val="1"/>
          <w:color w:val="auto"/>
        </w:rPr>
      </w:pPr>
    </w:p>
    <w:p>
      <w:pPr>
        <w:ind w:left="860" w:hanging="440"/>
        <w:spacing w:after="0"/>
        <w:tabs>
          <w:tab w:leader="none" w:pos="860" w:val="left"/>
        </w:tabs>
        <w:numPr>
          <w:ilvl w:val="1"/>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4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w:t>
            </w:r>
          </w:p>
        </w:tc>
        <w:tc>
          <w:tcPr>
            <w:tcW w:w="80" w:type="dxa"/>
            <w:vAlign w:val="bottom"/>
          </w:tcPr>
          <w:p>
            <w:pPr>
              <w:spacing w:after="0"/>
              <w:rPr>
                <w:sz w:val="12"/>
                <w:szCs w:val="12"/>
                <w:color w:val="auto"/>
              </w:rPr>
            </w:pPr>
          </w:p>
        </w:tc>
        <w:tc>
          <w:tcPr>
            <w:tcW w:w="40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2"/>
                <w:szCs w:val="12"/>
                <w:color w:val="auto"/>
              </w:rPr>
              <w:t>Address</w:t>
            </w:r>
          </w:p>
        </w:tc>
      </w:tr>
      <w:tr>
        <w:trPr>
          <w:trHeight w:val="150"/>
        </w:trPr>
        <w:tc>
          <w:tcPr>
            <w:tcW w:w="43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Superintendent of the Department of Financial Services of the State of</w:t>
            </w:r>
          </w:p>
        </w:tc>
        <w:tc>
          <w:tcPr>
            <w:tcW w:w="80" w:type="dxa"/>
            <w:vAlign w:val="bottom"/>
          </w:tcPr>
          <w:p>
            <w:pPr>
              <w:spacing w:after="0"/>
              <w:rPr>
                <w:sz w:val="13"/>
                <w:szCs w:val="13"/>
                <w:color w:val="auto"/>
              </w:rPr>
            </w:pPr>
          </w:p>
        </w:tc>
        <w:tc>
          <w:tcPr>
            <w:tcW w:w="40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One State Street, New York, NY 10004-1511</w:t>
            </w:r>
          </w:p>
        </w:tc>
      </w:tr>
      <w:tr>
        <w:trPr>
          <w:trHeight w:val="18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Federal Reserve Bank of New York</w:t>
            </w: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 Liberty Street</w:t>
            </w:r>
          </w:p>
        </w:tc>
      </w:tr>
      <w:tr>
        <w:trPr>
          <w:trHeight w:val="189"/>
        </w:trPr>
        <w:tc>
          <w:tcPr>
            <w:tcW w:w="434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New York, NY 10045</w:t>
            </w:r>
          </w:p>
        </w:tc>
      </w:tr>
      <w:tr>
        <w:trPr>
          <w:trHeight w:val="25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550 17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Street, N.W.</w:t>
            </w:r>
          </w:p>
        </w:tc>
      </w:tr>
      <w:tr>
        <w:trPr>
          <w:trHeight w:val="189"/>
        </w:trPr>
        <w:tc>
          <w:tcPr>
            <w:tcW w:w="434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256"/>
        </w:trPr>
        <w:tc>
          <w:tcPr>
            <w:tcW w:w="4340" w:type="dxa"/>
            <w:vAlign w:val="bottom"/>
          </w:tcPr>
          <w:p>
            <w:pPr>
              <w:spacing w:after="0"/>
              <w:rPr>
                <w:sz w:val="22"/>
                <w:szCs w:val="22"/>
                <w:color w:val="auto"/>
              </w:rPr>
            </w:pP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3501 N. Fairfax Drive</w:t>
            </w:r>
          </w:p>
        </w:tc>
      </w:tr>
      <w:tr>
        <w:trPr>
          <w:trHeight w:val="189"/>
        </w:trPr>
        <w:tc>
          <w:tcPr>
            <w:tcW w:w="434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Arlington, VA 22226</w:t>
            </w:r>
          </w:p>
        </w:tc>
      </w:tr>
      <w:tr>
        <w:trPr>
          <w:trHeight w:val="25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The Clearing House Association L.L.C.</w:t>
            </w: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1114 Avenue of the Americas</w:t>
            </w:r>
          </w:p>
        </w:tc>
      </w:tr>
      <w:tr>
        <w:trPr>
          <w:trHeight w:val="189"/>
        </w:trPr>
        <w:tc>
          <w:tcPr>
            <w:tcW w:w="434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New York, NY 10036</w:t>
            </w:r>
          </w:p>
        </w:tc>
      </w:tr>
    </w:tbl>
    <w:p>
      <w:pPr>
        <w:spacing w:after="0" w:line="91" w:lineRule="exact"/>
        <w:rPr>
          <w:sz w:val="20"/>
          <w:szCs w:val="20"/>
          <w:color w:val="auto"/>
        </w:rPr>
      </w:pPr>
    </w:p>
    <w:p>
      <w:pPr>
        <w:ind w:left="860" w:hanging="440"/>
        <w:spacing w:after="0"/>
        <w:tabs>
          <w:tab w:leader="none" w:pos="8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Yes.</w:t>
      </w:r>
    </w:p>
    <w:p>
      <w:pPr>
        <w:spacing w:after="0" w:line="304" w:lineRule="exact"/>
        <w:rPr>
          <w:sz w:val="20"/>
          <w:szCs w:val="20"/>
          <w:color w:val="auto"/>
        </w:rPr>
      </w:pPr>
    </w:p>
    <w:p>
      <w:pPr>
        <w:ind w:left="420" w:hanging="347"/>
        <w:spacing w:after="0"/>
        <w:tabs>
          <w:tab w:leader="none" w:pos="4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99" w:lineRule="exact"/>
        <w:rPr>
          <w:rFonts w:ascii="Times New Roman" w:cs="Times New Roman" w:eastAsia="Times New Roman" w:hAnsi="Times New Roman"/>
          <w:sz w:val="14"/>
          <w:szCs w:val="14"/>
          <w:b w:val="1"/>
          <w:bCs w:val="1"/>
          <w:color w:val="auto"/>
        </w:rPr>
      </w:pPr>
    </w:p>
    <w:p>
      <w:pPr>
        <w:ind w:left="4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01" w:lineRule="exact"/>
        <w:rPr>
          <w:rFonts w:ascii="Times New Roman" w:cs="Times New Roman" w:eastAsia="Times New Roman" w:hAnsi="Times New Roman"/>
          <w:sz w:val="14"/>
          <w:szCs w:val="14"/>
          <w:b w:val="1"/>
          <w:bCs w:val="1"/>
          <w:color w:val="auto"/>
        </w:rPr>
      </w:pPr>
    </w:p>
    <w:p>
      <w:pPr>
        <w:ind w:left="420" w:right="159"/>
        <w:spacing w:after="0" w:line="30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upon an examination of the books and records of the trustee and upon information furnished by the obligor, the obligor is not an affiliate of the trustee.</w:t>
      </w:r>
    </w:p>
    <w:p>
      <w:pPr>
        <w:spacing w:after="0" w:line="41" w:lineRule="exact"/>
        <w:rPr>
          <w:sz w:val="20"/>
          <w:szCs w:val="20"/>
          <w:color w:val="auto"/>
        </w:rPr>
      </w:pPr>
    </w:p>
    <w:p>
      <w:pPr>
        <w:jc w:val="both"/>
        <w:ind w:left="420" w:right="199" w:hanging="346"/>
        <w:spacing w:after="0" w:line="281" w:lineRule="auto"/>
        <w:rPr>
          <w:sz w:val="20"/>
          <w:szCs w:val="20"/>
          <w:color w:val="auto"/>
        </w:rPr>
      </w:pPr>
      <w:r>
        <w:rPr>
          <w:rFonts w:ascii="Times New Roman" w:cs="Times New Roman" w:eastAsia="Times New Roman" w:hAnsi="Times New Roman"/>
          <w:sz w:val="14"/>
          <w:szCs w:val="14"/>
          <w:b w:val="1"/>
          <w:bCs w:val="1"/>
          <w:color w:val="auto"/>
        </w:rPr>
        <w:t>3-15. Pursuant to General Instruction B of the Form T-1, no responses are included for Items 3-15 of this Form T-1 because, to the best of The Bank of New York Mellon’s knowledge, the obligor is not in default on any securities issued under any indenture under which The Bank of New York Mellon acts as trustee and the trustee is not a foreign trustee as provided under Item 15.</w:t>
      </w:r>
    </w:p>
    <w:p>
      <w:pPr>
        <w:sectPr>
          <w:pgSz w:w="11900" w:h="16838" w:orient="portrait"/>
          <w:cols w:equalWidth="0" w:num="1">
            <w:col w:w="9019"/>
          </w:cols>
          <w:pgMar w:left="1440" w:top="242" w:right="1440" w:bottom="1440" w:gutter="0" w:footer="0" w:header="0"/>
        </w:sectPr>
      </w:pPr>
    </w:p>
    <w:bookmarkStart w:id="58" w:name="page59"/>
    <w:bookmarkEnd w:id="58"/>
    <w:p>
      <w:pPr>
        <w:ind w:left="420" w:hanging="347"/>
        <w:spacing w:after="0"/>
        <w:tabs>
          <w:tab w:leader="none" w:pos="42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List of Exhibits.</w:t>
      </w:r>
    </w:p>
    <w:p>
      <w:pPr>
        <w:spacing w:after="0" w:line="99" w:lineRule="exact"/>
        <w:rPr>
          <w:rFonts w:ascii="Times New Roman" w:cs="Times New Roman" w:eastAsia="Times New Roman" w:hAnsi="Times New Roman"/>
          <w:sz w:val="14"/>
          <w:szCs w:val="14"/>
          <w:b w:val="1"/>
          <w:bCs w:val="1"/>
          <w:color w:val="auto"/>
        </w:rPr>
      </w:pPr>
    </w:p>
    <w:p>
      <w:pPr>
        <w:ind w:left="420" w:right="199"/>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55" w:lineRule="exact"/>
        <w:rPr>
          <w:rFonts w:ascii="Times New Roman" w:cs="Times New Roman" w:eastAsia="Times New Roman" w:hAnsi="Times New Roman"/>
          <w:sz w:val="14"/>
          <w:szCs w:val="14"/>
          <w:b w:val="1"/>
          <w:bCs w:val="1"/>
          <w:color w:val="auto"/>
        </w:rPr>
      </w:pPr>
    </w:p>
    <w:p>
      <w:pPr>
        <w:ind w:left="860" w:right="219" w:hanging="440"/>
        <w:spacing w:after="0" w:line="269" w:lineRule="auto"/>
        <w:tabs>
          <w:tab w:leader="none" w:pos="8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64" w:lineRule="exact"/>
        <w:rPr>
          <w:sz w:val="20"/>
          <w:szCs w:val="20"/>
          <w:color w:val="auto"/>
        </w:rPr>
      </w:pPr>
    </w:p>
    <w:p>
      <w:pPr>
        <w:ind w:left="860" w:hanging="440"/>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w:t>
      </w:r>
    </w:p>
    <w:p>
      <w:pPr>
        <w:spacing w:after="0" w:line="111" w:lineRule="exact"/>
        <w:rPr>
          <w:sz w:val="20"/>
          <w:szCs w:val="20"/>
          <w:color w:val="auto"/>
        </w:rPr>
      </w:pPr>
    </w:p>
    <w:p>
      <w:pPr>
        <w:ind w:left="860" w:hanging="440"/>
        <w:spacing w:after="0"/>
        <w:tabs>
          <w:tab w:leader="none" w:pos="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w:t>
      </w:r>
    </w:p>
    <w:p>
      <w:pPr>
        <w:spacing w:after="0" w:line="110" w:lineRule="exact"/>
        <w:rPr>
          <w:rFonts w:ascii="Times New Roman" w:cs="Times New Roman" w:eastAsia="Times New Roman" w:hAnsi="Times New Roman"/>
          <w:sz w:val="14"/>
          <w:szCs w:val="14"/>
          <w:color w:val="auto"/>
        </w:rPr>
      </w:pPr>
    </w:p>
    <w:p>
      <w:pPr>
        <w:ind w:left="860" w:right="439" w:hanging="440"/>
        <w:spacing w:after="0" w:line="300" w:lineRule="auto"/>
        <w:tabs>
          <w:tab w:leader="none" w:pos="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ectPr>
          <w:pgSz w:w="11900" w:h="16838" w:orient="portrait"/>
          <w:cols w:equalWidth="0" w:num="1">
            <w:col w:w="9019"/>
          </w:cols>
          <w:pgMar w:left="1440" w:top="242"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SIGNATURE</w:t>
      </w:r>
    </w:p>
    <w:p>
      <w:pPr>
        <w:spacing w:after="0" w:line="187" w:lineRule="exact"/>
        <w:rPr>
          <w:sz w:val="20"/>
          <w:szCs w:val="20"/>
          <w:color w:val="auto"/>
        </w:rPr>
      </w:pPr>
    </w:p>
    <w:p>
      <w:pPr>
        <w:ind w:left="80" w:right="79" w:firstLine="354"/>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Jacksonville, and State of Florida, on the 2nd day of November 2026.</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 xml:space="preserve">By: /s/ </w:t>
      </w:r>
      <w:r>
        <w:rPr>
          <w:rFonts w:ascii="Times New Roman" w:cs="Times New Roman" w:eastAsia="Times New Roman" w:hAnsi="Times New Roman"/>
          <w:sz w:val="14"/>
          <w:szCs w:val="14"/>
          <w:i w:val="1"/>
          <w:iCs w:val="1"/>
          <w:color w:val="auto"/>
        </w:rPr>
        <w:t>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18415</wp:posOffset>
            </wp:positionV>
            <wp:extent cx="206248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2062480" cy="6985"/>
                    </a:xfrm>
                    <a:prstGeom prst="rect">
                      <a:avLst/>
                    </a:prstGeom>
                    <a:noFill/>
                  </pic:spPr>
                </pic:pic>
              </a:graphicData>
            </a:graphic>
          </wp:anchor>
        </w:drawing>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Terence Rawlins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019"/>
          </w:cols>
          <w:pgMar w:left="1440" w:top="244" w:right="1440" w:bottom="1440" w:gutter="0" w:footer="0" w:header="0"/>
        </w:sectPr>
      </w:pPr>
    </w:p>
    <w:bookmarkStart w:id="60" w:name="page61"/>
    <w:bookmarkEnd w:id="60"/>
    <w:tbl>
      <w:tblPr>
        <w:tblLayout w:type="fixed"/>
        <w:tblInd w:w="8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4</w:t>
            </w:r>
          </w:p>
        </w:tc>
      </w:tr>
      <w:tr>
        <w:trPr>
          <w:trHeight w:val="345"/>
        </w:trPr>
        <w:tc>
          <w:tcPr>
            <w:tcW w:w="81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BY-LAWS</w:t>
            </w:r>
          </w:p>
        </w:tc>
        <w:tc>
          <w:tcPr>
            <w:tcW w:w="740" w:type="dxa"/>
            <w:vAlign w:val="bottom"/>
          </w:tcPr>
          <w:p>
            <w:pPr>
              <w:spacing w:after="0"/>
              <w:rPr>
                <w:sz w:val="24"/>
                <w:szCs w:val="24"/>
                <w:color w:val="auto"/>
              </w:rPr>
            </w:pPr>
          </w:p>
        </w:tc>
      </w:tr>
      <w:tr>
        <w:trPr>
          <w:trHeight w:val="174"/>
        </w:trPr>
        <w:tc>
          <w:tcPr>
            <w:tcW w:w="81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of</w:t>
            </w:r>
          </w:p>
        </w:tc>
        <w:tc>
          <w:tcPr>
            <w:tcW w:w="740" w:type="dxa"/>
            <w:vAlign w:val="bottom"/>
          </w:tcPr>
          <w:p>
            <w:pPr>
              <w:spacing w:after="0"/>
              <w:rPr>
                <w:sz w:val="15"/>
                <w:szCs w:val="15"/>
                <w:color w:val="auto"/>
              </w:rPr>
            </w:pPr>
          </w:p>
        </w:tc>
      </w:tr>
      <w:tr>
        <w:trPr>
          <w:trHeight w:val="174"/>
        </w:trPr>
        <w:tc>
          <w:tcPr>
            <w:tcW w:w="81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The Bank of New York Mellon</w:t>
            </w:r>
          </w:p>
        </w:tc>
        <w:tc>
          <w:tcPr>
            <w:tcW w:w="740" w:type="dxa"/>
            <w:vAlign w:val="bottom"/>
          </w:tcPr>
          <w:p>
            <w:pPr>
              <w:spacing w:after="0"/>
              <w:rPr>
                <w:sz w:val="15"/>
                <w:szCs w:val="15"/>
                <w:color w:val="auto"/>
              </w:rPr>
            </w:pPr>
          </w:p>
        </w:tc>
      </w:tr>
      <w:tr>
        <w:trPr>
          <w:trHeight w:val="174"/>
        </w:trPr>
        <w:tc>
          <w:tcPr>
            <w:tcW w:w="81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As Amended and Restated through September 9, 2021</w:t>
            </w:r>
          </w:p>
        </w:tc>
        <w:tc>
          <w:tcPr>
            <w:tcW w:w="740" w:type="dxa"/>
            <w:vAlign w:val="bottom"/>
          </w:tcPr>
          <w:p>
            <w:pPr>
              <w:spacing w:after="0"/>
              <w:rPr>
                <w:sz w:val="15"/>
                <w:szCs w:val="15"/>
                <w:color w:val="auto"/>
              </w:rPr>
            </w:pPr>
          </w:p>
        </w:tc>
      </w:tr>
      <w:tr>
        <w:trPr>
          <w:trHeight w:val="189"/>
        </w:trPr>
        <w:tc>
          <w:tcPr>
            <w:tcW w:w="812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Table of Contents</w:t>
            </w:r>
          </w:p>
        </w:tc>
        <w:tc>
          <w:tcPr>
            <w:tcW w:w="740" w:type="dxa"/>
            <w:vAlign w:val="bottom"/>
          </w:tcPr>
          <w:p>
            <w:pPr>
              <w:spacing w:after="0"/>
              <w:rPr>
                <w:sz w:val="16"/>
                <w:szCs w:val="16"/>
                <w:color w:val="auto"/>
              </w:rPr>
            </w:pPr>
          </w:p>
        </w:tc>
      </w:tr>
      <w:tr>
        <w:trPr>
          <w:trHeight w:val="354"/>
        </w:trPr>
        <w:tc>
          <w:tcPr>
            <w:tcW w:w="8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 No.</w:t>
            </w:r>
          </w:p>
        </w:tc>
      </w:tr>
      <w:tr>
        <w:trPr>
          <w:trHeight w:val="174"/>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ARTICLE I Stockholders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 Annual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 Special Meetings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 Notice of Meetings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 Adjournments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 Quorum of Stockholders and Action by the Stockholders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1.6 Action without a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ARTICLE II Board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 Number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 [Reserved]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 Meetings of the Board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 Quorum of Directors and Action by the Board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 Removal or Resignation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 Vacancies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 Minutes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 Reports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9"/>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 Action without a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61"/>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ARTICLE III [Reserved]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ARTICLE IV Committees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 Committees of Directors Officers and/ or Other Persons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9"/>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 Manner of Acting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ARTICLE V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 Principal Executive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 Senior Executive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 Other Senior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5.4. Appointed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5.5. Bonds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5.6. General Supervisory Powers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5.7. Executive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5.9. Secretary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5.10. Treasurer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5.11. Comptroller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5.12. Chief Auditor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5.13. Other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jc w:val="right"/>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bookmarkStart w:id="61" w:name="page62"/>
    <w:bookmarkEnd w:id="61"/>
    <w:tbl>
      <w:tblPr>
        <w:tblLayout w:type="fixed"/>
        <w:tblInd w:w="80" w:type="dxa"/>
        <w:tblCellMar>
          <w:top w:w="0" w:type="dxa"/>
          <w:left w:w="0" w:type="dxa"/>
          <w:bottom w:w="0" w:type="dxa"/>
          <w:right w:w="0" w:type="dxa"/>
        </w:tblCellMar>
      </w:tblPr>
      <w:tr>
        <w:trPr>
          <w:trHeight w:val="174"/>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 Signing Authorities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 [Reserved]</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 Senior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 Limited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 Rescission of Signing Powers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 Powers of Attorney</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 Chief Auditor</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 Signatures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VII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 Other Indemnification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 Insurace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VIII Capital Stock</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 Certificates of Stock</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 Transfer of Certificates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 New Certificates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 Holders of Record</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IX Corporate Seal</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 The Seal</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ARTICLE X By-Laws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4"/>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 Amendments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10.2. Inspection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93"/>
        </w:trPr>
        <w:tc>
          <w:tcPr>
            <w:tcW w:w="3640" w:type="dxa"/>
            <w:vAlign w:val="bottom"/>
          </w:tcPr>
          <w:p>
            <w:pPr>
              <w:spacing w:after="0"/>
              <w:rPr>
                <w:sz w:val="24"/>
                <w:szCs w:val="24"/>
                <w:color w:val="auto"/>
              </w:rPr>
            </w:pPr>
          </w:p>
        </w:tc>
        <w:tc>
          <w:tcPr>
            <w:tcW w:w="5180" w:type="dxa"/>
            <w:vAlign w:val="bottom"/>
          </w:tcPr>
          <w:p>
            <w:pPr>
              <w:jc w:val="right"/>
              <w:ind w:right="4288"/>
              <w:spacing w:after="0"/>
              <w:rPr>
                <w:sz w:val="20"/>
                <w:szCs w:val="20"/>
                <w:color w:val="auto"/>
              </w:rPr>
            </w:pPr>
            <w:r>
              <w:rPr>
                <w:rFonts w:ascii="Times New Roman" w:cs="Times New Roman" w:eastAsia="Times New Roman" w:hAnsi="Times New Roman"/>
                <w:sz w:val="14"/>
                <w:szCs w:val="14"/>
                <w:color w:val="auto"/>
              </w:rPr>
              <w:t>2</w:t>
            </w:r>
          </w:p>
        </w:tc>
      </w:tr>
    </w:tbl>
    <w:p>
      <w:pPr>
        <w:jc w:val="right"/>
        <w:ind w:right="4288"/>
        <w:spacing w:after="0"/>
        <w:rPr>
          <w:sz w:val="20"/>
          <w:szCs w:val="20"/>
          <w:color w:val="auto"/>
        </w:rPr>
        <w:sectPr>
          <w:pgSz w:w="11900" w:h="16838" w:orient="portrait"/>
          <w:cols w:equalWidth="0" w:num="1">
            <w:col w:w="9019"/>
          </w:cols>
          <w:pgMar w:left="1440" w:top="331" w:right="1440" w:bottom="1440" w:gutter="0" w:footer="0" w:header="0"/>
        </w:sect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BY-LAWS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amended and restated through September 9, 2021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STOCKHOLDERS</w:t>
      </w:r>
    </w:p>
    <w:p>
      <w:pPr>
        <w:spacing w:after="0" w:line="171" w:lineRule="exact"/>
        <w:rPr>
          <w:sz w:val="20"/>
          <w:szCs w:val="20"/>
          <w:color w:val="auto"/>
        </w:rPr>
      </w:pPr>
    </w:p>
    <w:p>
      <w:pPr>
        <w:ind w:left="80" w:right="139" w:firstLine="354"/>
        <w:spacing w:after="0" w:line="265" w:lineRule="auto"/>
        <w:rPr>
          <w:sz w:val="20"/>
          <w:szCs w:val="20"/>
          <w:color w:val="auto"/>
        </w:rPr>
      </w:pPr>
      <w:r>
        <w:rPr>
          <w:rFonts w:ascii="Times New Roman" w:cs="Times New Roman" w:eastAsia="Times New Roman" w:hAnsi="Times New Roman"/>
          <w:sz w:val="14"/>
          <w:szCs w:val="14"/>
          <w:color w:val="auto"/>
        </w:rPr>
        <w:t>SECTION 1.1. Annual Meeting. The annual meeting of stockholders of The Bank of New York Mellon (the “Bank”) for the election of directors and the transaction of such other business as properly may be brought before such meeting shall be held within the first four months of the Bank’s fiscal year, unless otherwise permitted under the New York Banking Law (the “Banking Law”) or applicable regulation, at the principal office of the Bank, or such other place in the city in which such principal office is located as shall be specified in the notice of such meeting, on such day and at such hour as may be fixed by the Board of Directors (the “Board”); provided, however, that so long as The Bank of New York Mellon Corporation owns 100 percent of the outstanding common stock of the Bank, directly or indirectly through one or more wholly-owned subsidiaries, action to elect directors may be taken by written consent in lieu of an annual meeting and the Board will not be required to fix a date and time for an annual meeting of the Bank’s stockholders.</w:t>
      </w:r>
    </w:p>
    <w:p>
      <w:pPr>
        <w:spacing w:after="0" w:line="320" w:lineRule="exact"/>
        <w:rPr>
          <w:sz w:val="20"/>
          <w:szCs w:val="20"/>
          <w:color w:val="auto"/>
        </w:rPr>
      </w:pPr>
    </w:p>
    <w:p>
      <w:pPr>
        <w:ind w:left="80" w:right="99" w:firstLine="354"/>
        <w:spacing w:after="0" w:line="269" w:lineRule="auto"/>
        <w:rPr>
          <w:sz w:val="20"/>
          <w:szCs w:val="20"/>
          <w:color w:val="auto"/>
        </w:rPr>
      </w:pPr>
      <w:r>
        <w:rPr>
          <w:rFonts w:ascii="Times New Roman" w:cs="Times New Roman" w:eastAsia="Times New Roman" w:hAnsi="Times New Roman"/>
          <w:sz w:val="14"/>
          <w:szCs w:val="14"/>
          <w:color w:val="auto"/>
        </w:rPr>
        <w:t>SECTION 1.2. Special Meetings. Special meetings of the stockholders of the Bank (the “stockholders”) may be called by the Board, the Executive Chairman (as defined below),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(or may not be held at any place, but may instead be held solely by means of remote communication), as may be fixed by the Board.</w:t>
      </w:r>
    </w:p>
    <w:p>
      <w:pPr>
        <w:spacing w:after="0" w:line="141" w:lineRule="exact"/>
        <w:rPr>
          <w:sz w:val="20"/>
          <w:szCs w:val="20"/>
          <w:color w:val="auto"/>
        </w:rPr>
      </w:pPr>
    </w:p>
    <w:p>
      <w:pPr>
        <w:ind w:left="80" w:right="239" w:firstLine="354"/>
        <w:spacing w:after="0" w:line="269" w:lineRule="auto"/>
        <w:rPr>
          <w:sz w:val="20"/>
          <w:szCs w:val="20"/>
          <w:color w:val="auto"/>
        </w:rPr>
      </w:pPr>
      <w:r>
        <w:rPr>
          <w:rFonts w:ascii="Times New Roman" w:cs="Times New Roman" w:eastAsia="Times New Roman" w:hAnsi="Times New Roman"/>
          <w:sz w:val="14"/>
          <w:szCs w:val="14"/>
          <w:color w:val="auto"/>
        </w:rPr>
        <w:t>SECTION 1.3. Notice of Meetings. Notice of each meeting of stockholders shall be given in writing, personally or by mail, not less than ten nor more than fifty days before the date of the meeting, to each stockholder entitled to vote at such meeting, and shall state the place, date and hour of the meeting and, in the case of a special meeting, the purpose or purposes for which the meeting is called. If mailed, such notice shall be deemed to have been given when deposited in the United States mail, postage prepaid, directed to the stockholder at such stockholder’s address as it appears on the records of the Bank.</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63" w:name="page64"/>
    <w:bookmarkEnd w:id="63"/>
    <w:p>
      <w:pPr>
        <w:ind w:left="80" w:right="359" w:firstLine="354"/>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64" w:name="page65"/>
    <w:bookmarkEnd w:id="64"/>
    <w:p>
      <w:pPr>
        <w:ind w:left="80" w:right="139" w:firstLine="35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1.4. Adjournments. Any meeting of stockholders, annual or special, may be adjourned from time to time to reconvene at the same or some other place, and notice need not be given of any such adjourned meeting if the time, place, if any, thereof, and the means of remote communications, if any, thereof are announced at the meeting at which the adjournment is taken. At the adjourned meeting the Bank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318" w:lineRule="exact"/>
        <w:rPr>
          <w:sz w:val="20"/>
          <w:szCs w:val="20"/>
          <w:color w:val="auto"/>
        </w:rPr>
      </w:pPr>
    </w:p>
    <w:p>
      <w:pPr>
        <w:ind w:left="80" w:right="299" w:firstLine="354"/>
        <w:spacing w:after="0" w:line="269" w:lineRule="auto"/>
        <w:rPr>
          <w:sz w:val="20"/>
          <w:szCs w:val="20"/>
          <w:color w:val="auto"/>
        </w:rPr>
      </w:pPr>
      <w:r>
        <w:rPr>
          <w:rFonts w:ascii="Times New Roman" w:cs="Times New Roman" w:eastAsia="Times New Roman" w:hAnsi="Times New Roman"/>
          <w:sz w:val="14"/>
          <w:szCs w:val="14"/>
          <w:color w:val="auto"/>
        </w:rPr>
        <w:t>SECTION 1.5. Quorum of Stockholders and Action by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w:t>
      </w:r>
    </w:p>
    <w:p>
      <w:pPr>
        <w:spacing w:after="0" w:line="141"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1.6 Action without a Meeting. Any action that may be taken by the stockholders at a duly convened meeting may also betaken pursuant to waiver of notice thereof and upon the unanimous written consent of all stockholders of the Bank; such consent shall set forth the action so taken and shall be filed with the Secretary.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71" w:lineRule="exact"/>
        <w:rPr>
          <w:sz w:val="20"/>
          <w:szCs w:val="20"/>
          <w:color w:val="auto"/>
        </w:rPr>
      </w:pPr>
    </w:p>
    <w:p>
      <w:pPr>
        <w:ind w:left="80" w:right="159" w:firstLine="354"/>
        <w:spacing w:after="0" w:line="266" w:lineRule="auto"/>
        <w:rPr>
          <w:sz w:val="20"/>
          <w:szCs w:val="20"/>
          <w:color w:val="auto"/>
        </w:rPr>
      </w:pPr>
      <w:r>
        <w:rPr>
          <w:rFonts w:ascii="Times New Roman" w:cs="Times New Roman" w:eastAsia="Times New Roman" w:hAnsi="Times New Roman"/>
          <w:sz w:val="14"/>
          <w:szCs w:val="14"/>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2.2. [Reserved]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65" w:name="page66"/>
    <w:bookmarkEnd w:id="65"/>
    <w:p>
      <w:pPr>
        <w:ind w:left="80" w:right="119" w:firstLine="354"/>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41" w:lineRule="exact"/>
        <w:rPr>
          <w:sz w:val="20"/>
          <w:szCs w:val="20"/>
          <w:color w:val="auto"/>
        </w:rPr>
      </w:pPr>
    </w:p>
    <w:p>
      <w:pPr>
        <w:ind w:left="80" w:right="259" w:firstLine="354"/>
        <w:spacing w:after="0" w:line="279" w:lineRule="auto"/>
        <w:rPr>
          <w:sz w:val="20"/>
          <w:szCs w:val="20"/>
          <w:color w:val="auto"/>
        </w:rPr>
      </w:pPr>
      <w:r>
        <w:rPr>
          <w:rFonts w:ascii="Times New Roman" w:cs="Times New Roman" w:eastAsia="Times New Roman" w:hAnsi="Times New Roman"/>
          <w:sz w:val="14"/>
          <w:szCs w:val="14"/>
          <w:color w:val="auto"/>
        </w:rPr>
        <w:t>Meetings of the Board shall be held at such places within or without the State of New York (or may not be held at any place, but may instead be held solely by means of remote communication) as may be fixed by the Board. If no place is so fixed, meetings of the Board shall be held at the principal office of the Bank in the City of New York.</w:t>
      </w:r>
    </w:p>
    <w:p>
      <w:pPr>
        <w:spacing w:after="0" w:line="134" w:lineRule="exact"/>
        <w:rPr>
          <w:sz w:val="20"/>
          <w:szCs w:val="20"/>
          <w:color w:val="auto"/>
        </w:rPr>
      </w:pPr>
    </w:p>
    <w:p>
      <w:pPr>
        <w:jc w:val="both"/>
        <w:ind w:left="80" w:right="99" w:firstLine="354"/>
        <w:spacing w:after="0" w:line="273" w:lineRule="auto"/>
        <w:rPr>
          <w:sz w:val="20"/>
          <w:szCs w:val="20"/>
          <w:color w:val="auto"/>
        </w:rPr>
      </w:pPr>
      <w:r>
        <w:rPr>
          <w:rFonts w:ascii="Times New Roman" w:cs="Times New Roman" w:eastAsia="Times New Roman" w:hAnsi="Times New Roman"/>
          <w:sz w:val="14"/>
          <w:szCs w:val="14"/>
          <w:color w:val="auto"/>
        </w:rPr>
        <w:t>Notices of the annual and special meetings of the Board shall be given by delivery, mail, facsimile, e-mail or other form of electronic transmission or by oral notice given in person or by telephone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36" w:lineRule="exact"/>
        <w:rPr>
          <w:sz w:val="20"/>
          <w:szCs w:val="20"/>
          <w:color w:val="auto"/>
        </w:rPr>
      </w:pPr>
    </w:p>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19" w:lineRule="exact"/>
        <w:rPr>
          <w:sz w:val="20"/>
          <w:szCs w:val="20"/>
          <w:color w:val="auto"/>
        </w:rPr>
      </w:pPr>
    </w:p>
    <w:p>
      <w:pPr>
        <w:ind w:left="80" w:right="779" w:firstLine="354"/>
        <w:spacing w:after="0" w:line="300" w:lineRule="auto"/>
        <w:rPr>
          <w:sz w:val="20"/>
          <w:szCs w:val="20"/>
          <w:color w:val="auto"/>
        </w:rPr>
      </w:pPr>
      <w:r>
        <w:rPr>
          <w:rFonts w:ascii="Times New Roman" w:cs="Times New Roman" w:eastAsia="Times New Roman" w:hAnsi="Times New Roman"/>
          <w:sz w:val="14"/>
          <w:szCs w:val="14"/>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19" w:lineRule="exact"/>
        <w:rPr>
          <w:sz w:val="20"/>
          <w:szCs w:val="20"/>
          <w:color w:val="auto"/>
        </w:rPr>
      </w:pPr>
    </w:p>
    <w:p>
      <w:pPr>
        <w:ind w:left="80" w:right="139" w:firstLine="354"/>
        <w:spacing w:after="0" w:line="293" w:lineRule="auto"/>
        <w:rPr>
          <w:sz w:val="20"/>
          <w:szCs w:val="20"/>
          <w:color w:val="auto"/>
        </w:rPr>
      </w:pPr>
      <w:r>
        <w:rPr>
          <w:rFonts w:ascii="Times New Roman" w:cs="Times New Roman" w:eastAsia="Times New Roman" w:hAnsi="Times New Roman"/>
          <w:sz w:val="14"/>
          <w:szCs w:val="14"/>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302"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66" w:name="page67"/>
    <w:bookmarkEnd w:id="66"/>
    <w:p>
      <w:pPr>
        <w:ind w:left="80" w:right="21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2.5. Removal or Resignation of Directors. Any one or more of the directors may be removed for cause by action of the Board. Any or all of the directors may be removed with or without cause by vote of the stockholders.</w:t>
      </w:r>
    </w:p>
    <w:p>
      <w:pPr>
        <w:spacing w:after="0" w:line="119" w:lineRule="exact"/>
        <w:rPr>
          <w:sz w:val="20"/>
          <w:szCs w:val="20"/>
          <w:color w:val="auto"/>
        </w:rPr>
      </w:pPr>
    </w:p>
    <w:p>
      <w:pPr>
        <w:ind w:left="80" w:right="199" w:firstLine="354"/>
        <w:spacing w:after="0" w:line="279" w:lineRule="auto"/>
        <w:rPr>
          <w:sz w:val="20"/>
          <w:szCs w:val="20"/>
          <w:color w:val="auto"/>
        </w:rPr>
      </w:pPr>
      <w:r>
        <w:rPr>
          <w:rFonts w:ascii="Times New Roman" w:cs="Times New Roman" w:eastAsia="Times New Roman" w:hAnsi="Times New Roman"/>
          <w:sz w:val="14"/>
          <w:szCs w:val="14"/>
          <w:color w:val="auto"/>
        </w:rPr>
        <w:t>Any director may resign at any time upon written notice to the Board or to the Executive Chairman, the Chief Executive Officer or the Secretary. Such resignation shall take effect at the time specified therein, and unless otherwise specified therein no acceptance of such resignation shall be necessary to make it effective.</w:t>
      </w:r>
    </w:p>
    <w:p>
      <w:pPr>
        <w:spacing w:after="0" w:line="134" w:lineRule="exact"/>
        <w:rPr>
          <w:sz w:val="20"/>
          <w:szCs w:val="20"/>
          <w:color w:val="auto"/>
        </w:rPr>
      </w:pPr>
    </w:p>
    <w:p>
      <w:pPr>
        <w:ind w:left="80" w:right="379" w:firstLine="354"/>
        <w:spacing w:after="0" w:line="279" w:lineRule="auto"/>
        <w:rPr>
          <w:sz w:val="20"/>
          <w:szCs w:val="20"/>
          <w:color w:val="auto"/>
        </w:rPr>
      </w:pPr>
      <w:r>
        <w:rPr>
          <w:rFonts w:ascii="Times New Roman" w:cs="Times New Roman" w:eastAsia="Times New Roman" w:hAnsi="Times New Roman"/>
          <w:sz w:val="14"/>
          <w:szCs w:val="14"/>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34" w:lineRule="exact"/>
        <w:rPr>
          <w:sz w:val="20"/>
          <w:szCs w:val="20"/>
          <w:color w:val="auto"/>
        </w:rPr>
      </w:pPr>
    </w:p>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67" w:name="page68"/>
    <w:bookmarkEnd w:id="67"/>
    <w:p>
      <w:pPr>
        <w:ind w:left="80" w:right="49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2.8. Minutes. Regular minutes of the proceedings of the Board shall be kept in books to be provided for that purpose which shall always be open for the inspection of any director.</w:t>
      </w:r>
    </w:p>
    <w:p>
      <w:pPr>
        <w:spacing w:after="0" w:line="119" w:lineRule="exact"/>
        <w:rPr>
          <w:sz w:val="20"/>
          <w:szCs w:val="20"/>
          <w:color w:val="auto"/>
        </w:rPr>
      </w:pPr>
    </w:p>
    <w:p>
      <w:pPr>
        <w:ind w:left="80" w:right="99" w:firstLine="354"/>
        <w:spacing w:after="0" w:line="300" w:lineRule="auto"/>
        <w:rPr>
          <w:sz w:val="20"/>
          <w:szCs w:val="20"/>
          <w:color w:val="auto"/>
        </w:rPr>
      </w:pPr>
      <w:r>
        <w:rPr>
          <w:rFonts w:ascii="Times New Roman" w:cs="Times New Roman" w:eastAsia="Times New Roman" w:hAnsi="Times New Roman"/>
          <w:sz w:val="14"/>
          <w:szCs w:val="14"/>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19" w:lineRule="exact"/>
        <w:rPr>
          <w:sz w:val="20"/>
          <w:szCs w:val="20"/>
          <w:color w:val="auto"/>
        </w:rPr>
      </w:pPr>
    </w:p>
    <w:p>
      <w:pPr>
        <w:ind w:left="80" w:right="99" w:firstLine="354"/>
        <w:spacing w:after="0" w:line="279" w:lineRule="auto"/>
        <w:rPr>
          <w:sz w:val="20"/>
          <w:szCs w:val="20"/>
          <w:color w:val="auto"/>
        </w:rPr>
      </w:pPr>
      <w:r>
        <w:rPr>
          <w:rFonts w:ascii="Times New Roman" w:cs="Times New Roman" w:eastAsia="Times New Roman" w:hAnsi="Times New Roman"/>
          <w:sz w:val="14"/>
          <w:szCs w:val="14"/>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[Reserved]</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COMMITTEES</w:t>
      </w:r>
    </w:p>
    <w:p>
      <w:pPr>
        <w:spacing w:after="0" w:line="171" w:lineRule="exact"/>
        <w:rPr>
          <w:sz w:val="20"/>
          <w:szCs w:val="20"/>
          <w:color w:val="auto"/>
        </w:rPr>
      </w:pPr>
    </w:p>
    <w:p>
      <w:pPr>
        <w:ind w:left="80" w:right="159" w:firstLine="354"/>
        <w:spacing w:after="0" w:line="265" w:lineRule="auto"/>
        <w:rPr>
          <w:sz w:val="20"/>
          <w:szCs w:val="20"/>
          <w:color w:val="auto"/>
        </w:rPr>
      </w:pPr>
      <w:r>
        <w:rPr>
          <w:rFonts w:ascii="Times New Roman" w:cs="Times New Roman" w:eastAsia="Times New Roman" w:hAnsi="Times New Roman"/>
          <w:sz w:val="14"/>
          <w:szCs w:val="14"/>
          <w:color w:val="auto"/>
        </w:rPr>
        <w:t>SECTION 4.1. Committees of Directors, Officers and/ or Other Persons. The Board may appoint, or authorize the Executive Chairman or the Chief Executive Officer or, in their absence, another principal executive officer to appoint, from time-to-time, such other committees consisting of directors, officers and/ or other persons and having such powers, duties and functions in or relating to the business and affairs of the Bank as the Board may determine. Each such committee and each member thereof shall serve at the pleasure of the Board and, in the case of any committee appointed by the Executive Chairman, the Chief Executive Officer or another principal executive officer, at the pleasure of such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such officer shall otherwise provide.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68" w:name="page69"/>
    <w:bookmarkEnd w:id="68"/>
    <w:p>
      <w:pPr>
        <w:jc w:val="both"/>
        <w:ind w:left="80" w:right="77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119" w:lineRule="exact"/>
        <w:rPr>
          <w:sz w:val="20"/>
          <w:szCs w:val="20"/>
          <w:color w:val="auto"/>
        </w:rPr>
      </w:pPr>
    </w:p>
    <w:p>
      <w:pPr>
        <w:ind w:left="80" w:right="119" w:firstLine="354"/>
        <w:spacing w:after="0" w:line="279" w:lineRule="auto"/>
        <w:rPr>
          <w:sz w:val="20"/>
          <w:szCs w:val="20"/>
          <w:color w:val="auto"/>
        </w:rPr>
      </w:pPr>
      <w:r>
        <w:rPr>
          <w:rFonts w:ascii="Times New Roman" w:cs="Times New Roman" w:eastAsia="Times New Roman" w:hAnsi="Times New Roman"/>
          <w:sz w:val="14"/>
          <w:szCs w:val="14"/>
          <w:color w:val="auto"/>
        </w:rPr>
        <w:t>SECTION 4.3. Manner of Acting. Members of committees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ARTICLE V</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OFFICERS</w:t>
      </w:r>
    </w:p>
    <w:p>
      <w:pPr>
        <w:spacing w:after="0" w:line="171"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SECTION 5.1. Principal Executive Officers. The Board at its annual meeting shall elect from its number an Executive Chairman of the Board (the “Executive Chairman”), a Chief Executive Officer, and a President (each such officer, a “principal executive officer”).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5.1 may be removed with or without cause by the Board.</w:t>
      </w:r>
    </w:p>
    <w:p>
      <w:pPr>
        <w:spacing w:after="0" w:line="142" w:lineRule="exact"/>
        <w:rPr>
          <w:sz w:val="20"/>
          <w:szCs w:val="20"/>
          <w:color w:val="auto"/>
        </w:rPr>
      </w:pPr>
    </w:p>
    <w:p>
      <w:pPr>
        <w:ind w:left="80" w:right="139" w:firstLine="354"/>
        <w:spacing w:after="0" w:line="273" w:lineRule="auto"/>
        <w:rPr>
          <w:sz w:val="20"/>
          <w:szCs w:val="20"/>
          <w:color w:val="auto"/>
        </w:rPr>
      </w:pPr>
      <w:r>
        <w:rPr>
          <w:rFonts w:ascii="Times New Roman" w:cs="Times New Roman" w:eastAsia="Times New Roman" w:hAnsi="Times New Roman"/>
          <w:sz w:val="14"/>
          <w:szCs w:val="14"/>
          <w:color w:val="auto"/>
        </w:rPr>
        <w:t>SECTION 5.2. Senior Executive Officers. The Board shall elect, or the Chief Executive Officer may appoint, subject to confirmation by the Board, one or more senior executive officers, any of whom may be designated Vice Chairman of the Board, Senior Executive Vice President or Executive Vice President, and any such other officers with such titles as may be specified upon election (each such officer, a “senior executive officer”). Senior executive officers elected or appointed under this Section 5.2 may be removed with or without cause by the Board.</w:t>
      </w:r>
    </w:p>
    <w:p>
      <w:pPr>
        <w:spacing w:after="0" w:line="136" w:lineRule="exact"/>
        <w:rPr>
          <w:sz w:val="20"/>
          <w:szCs w:val="20"/>
          <w:color w:val="auto"/>
        </w:rPr>
      </w:pPr>
    </w:p>
    <w:p>
      <w:pPr>
        <w:jc w:val="both"/>
        <w:ind w:left="80" w:right="139" w:firstLine="354"/>
        <w:spacing w:after="0" w:line="273" w:lineRule="auto"/>
        <w:rPr>
          <w:sz w:val="20"/>
          <w:szCs w:val="20"/>
          <w:color w:val="auto"/>
        </w:rPr>
      </w:pPr>
      <w:r>
        <w:rPr>
          <w:rFonts w:ascii="Times New Roman" w:cs="Times New Roman" w:eastAsia="Times New Roman" w:hAnsi="Times New Roman"/>
          <w:sz w:val="14"/>
          <w:szCs w:val="14"/>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Chief Executive Officer or, in his or her absence, another principal executive officer, may remove any of the officers elected under this Section 5.3 with or without cause with the approval of the Board.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69" w:name="page70"/>
    <w:bookmarkEnd w:id="69"/>
    <w:p>
      <w:pPr>
        <w:ind w:left="80" w:right="99" w:firstLine="354"/>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5.4. Appointed Officers. Officers of the Bank carrying titles set forth in this Section 5.4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5.5. Bonds. The Board may require any or all officers or employees to give bonds from time-to-time.</w:t>
      </w:r>
    </w:p>
    <w:p>
      <w:pPr>
        <w:spacing w:after="0" w:line="187" w:lineRule="exact"/>
        <w:rPr>
          <w:sz w:val="20"/>
          <w:szCs w:val="20"/>
          <w:color w:val="auto"/>
        </w:rPr>
      </w:pPr>
    </w:p>
    <w:p>
      <w:pPr>
        <w:ind w:left="80" w:right="179" w:firstLine="354"/>
        <w:spacing w:after="0" w:line="300" w:lineRule="auto"/>
        <w:rPr>
          <w:sz w:val="20"/>
          <w:szCs w:val="20"/>
          <w:color w:val="auto"/>
        </w:rPr>
      </w:pPr>
      <w:r>
        <w:rPr>
          <w:rFonts w:ascii="Times New Roman" w:cs="Times New Roman" w:eastAsia="Times New Roman" w:hAnsi="Times New Roman"/>
          <w:sz w:val="14"/>
          <w:szCs w:val="14"/>
          <w:color w:val="auto"/>
        </w:rPr>
        <w:t>SECTION 5.6. General Supervisory Powers. The Chief Executive Officer or, in his or her absence, another principal executive officer, shall have general supervision of the policies and operations of the Bank which shall in every case be subject to the oversight of the Board.</w:t>
      </w:r>
    </w:p>
    <w:p>
      <w:pPr>
        <w:spacing w:after="0" w:line="119" w:lineRule="exact"/>
        <w:rPr>
          <w:sz w:val="20"/>
          <w:szCs w:val="20"/>
          <w:color w:val="auto"/>
        </w:rPr>
      </w:pPr>
    </w:p>
    <w:p>
      <w:pPr>
        <w:ind w:left="80" w:right="299" w:firstLine="354"/>
        <w:spacing w:after="0" w:line="279" w:lineRule="auto"/>
        <w:rPr>
          <w:sz w:val="20"/>
          <w:szCs w:val="20"/>
          <w:color w:val="auto"/>
        </w:rPr>
      </w:pPr>
      <w:r>
        <w:rPr>
          <w:rFonts w:ascii="Times New Roman" w:cs="Times New Roman" w:eastAsia="Times New Roman" w:hAnsi="Times New Roman"/>
          <w:sz w:val="14"/>
          <w:szCs w:val="14"/>
          <w:color w:val="auto"/>
        </w:rPr>
        <w:t>SECTION 5.7. Executive Officers. The principal executive officers and the senior executive officers shall participate in the supervision of the policies and operations of the Bank as directed by the Chief Executive Officer, or, in his or her absence another principal executive officer or a senior executive officer designated by the Chief Executive Officer or the Board, shall direct the general supervision of such policies and operations.</w:t>
      </w:r>
    </w:p>
    <w:p>
      <w:pPr>
        <w:spacing w:after="0" w:line="134" w:lineRule="exact"/>
        <w:rPr>
          <w:sz w:val="20"/>
          <w:szCs w:val="20"/>
          <w:color w:val="auto"/>
        </w:rPr>
      </w:pPr>
    </w:p>
    <w:p>
      <w:pPr>
        <w:ind w:left="80" w:right="119" w:firstLine="354"/>
        <w:spacing w:after="0" w:line="271" w:lineRule="auto"/>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or, in his or her absence another principal executive officer or a senior executive officer designated by the Chief Executive Officer or the Board. They shall perform such other duties as shall be assigned to them by the Board, the Chief Executive Officer or a principal or senior executive officer.</w:t>
      </w:r>
    </w:p>
    <w:p>
      <w:pPr>
        <w:spacing w:after="0" w:line="316" w:lineRule="exact"/>
        <w:rPr>
          <w:sz w:val="20"/>
          <w:szCs w:val="20"/>
          <w:color w:val="auto"/>
        </w:rPr>
      </w:pPr>
    </w:p>
    <w:p>
      <w:pPr>
        <w:ind w:left="80" w:right="159" w:firstLine="354"/>
        <w:spacing w:after="0" w:line="268" w:lineRule="auto"/>
        <w:rPr>
          <w:sz w:val="20"/>
          <w:szCs w:val="20"/>
          <w:color w:val="auto"/>
        </w:rPr>
      </w:pPr>
      <w:r>
        <w:rPr>
          <w:rFonts w:ascii="Times New Roman" w:cs="Times New Roman" w:eastAsia="Times New Roman" w:hAnsi="Times New Roman"/>
          <w:sz w:val="14"/>
          <w:szCs w:val="14"/>
          <w:color w:val="auto"/>
        </w:rPr>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The Board or the Chief Executive Officer, or his or her designee, may appoint one or more Assistant Secretaries who shall assist the Secretary in the performance of his or her duties. In the absence of the Secretary, an Assistant Secretary shall act in his or her stead.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4" w:right="1440" w:bottom="1440" w:gutter="0" w:footer="0" w:header="0"/>
        </w:sectPr>
      </w:pPr>
    </w:p>
    <w:bookmarkStart w:id="70" w:name="page71"/>
    <w:bookmarkEnd w:id="70"/>
    <w:p>
      <w:pPr>
        <w:ind w:left="80" w:right="299" w:firstLine="354"/>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302" w:lineRule="exact"/>
        <w:rPr>
          <w:sz w:val="20"/>
          <w:szCs w:val="20"/>
          <w:color w:val="auto"/>
        </w:rPr>
      </w:pPr>
    </w:p>
    <w:p>
      <w:pPr>
        <w:ind w:left="80" w:right="79" w:firstLine="354"/>
        <w:spacing w:after="0" w:line="269" w:lineRule="auto"/>
        <w:rPr>
          <w:sz w:val="20"/>
          <w:szCs w:val="20"/>
          <w:color w:val="auto"/>
        </w:rPr>
      </w:pPr>
      <w:r>
        <w:rPr>
          <w:rFonts w:ascii="Times New Roman" w:cs="Times New Roman" w:eastAsia="Times New Roman" w:hAnsi="Times New Roman"/>
          <w:sz w:val="14"/>
          <w:szCs w:val="14"/>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141" w:lineRule="exact"/>
        <w:rPr>
          <w:sz w:val="20"/>
          <w:szCs w:val="20"/>
          <w:color w:val="auto"/>
        </w:rPr>
      </w:pPr>
    </w:p>
    <w:p>
      <w:pPr>
        <w:jc w:val="both"/>
        <w:ind w:left="80" w:right="239" w:firstLine="354"/>
        <w:spacing w:after="0" w:line="279" w:lineRule="auto"/>
        <w:rPr>
          <w:sz w:val="20"/>
          <w:szCs w:val="20"/>
          <w:color w:val="auto"/>
        </w:rPr>
      </w:pPr>
      <w:r>
        <w:rPr>
          <w:rFonts w:ascii="Times New Roman" w:cs="Times New Roman" w:eastAsia="Times New Roman" w:hAnsi="Times New Roman"/>
          <w:sz w:val="14"/>
          <w:szCs w:val="14"/>
          <w:color w:val="auto"/>
        </w:rPr>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34" w:lineRule="exact"/>
        <w:rPr>
          <w:sz w:val="20"/>
          <w:szCs w:val="20"/>
          <w:color w:val="auto"/>
        </w:rPr>
      </w:pPr>
    </w:p>
    <w:p>
      <w:pPr>
        <w:jc w:val="both"/>
        <w:ind w:left="80" w:right="259" w:firstLine="354"/>
        <w:spacing w:after="0" w:line="300" w:lineRule="auto"/>
        <w:rPr>
          <w:sz w:val="20"/>
          <w:szCs w:val="20"/>
          <w:color w:val="auto"/>
        </w:rPr>
      </w:pPr>
      <w:r>
        <w:rPr>
          <w:rFonts w:ascii="Times New Roman" w:cs="Times New Roman" w:eastAsia="Times New Roman" w:hAnsi="Times New Roman"/>
          <w:sz w:val="14"/>
          <w:szCs w:val="14"/>
          <w:color w:val="auto"/>
        </w:rPr>
        <w:t>SECTION 5.13. Other Officers. All officers whose duties are not described by these By-laws shall perform such duties as may be designated by the Chief Executive Officer or any officer authorized by the Chief Executive Officer to do so.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SIGNING AUTHORITIES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SECTION 6.1. [Reserved]</w:t>
      </w:r>
    </w:p>
    <w:p>
      <w:pPr>
        <w:spacing w:after="0" w:line="187" w:lineRule="exact"/>
        <w:rPr>
          <w:sz w:val="20"/>
          <w:szCs w:val="20"/>
          <w:color w:val="auto"/>
        </w:rPr>
      </w:pPr>
    </w:p>
    <w:p>
      <w:pPr>
        <w:jc w:val="both"/>
        <w:ind w:left="80" w:right="99" w:firstLine="354"/>
        <w:spacing w:after="0" w:line="267" w:lineRule="auto"/>
        <w:rPr>
          <w:sz w:val="20"/>
          <w:szCs w:val="20"/>
          <w:color w:val="auto"/>
        </w:rPr>
      </w:pPr>
      <w:r>
        <w:rPr>
          <w:rFonts w:ascii="Times New Roman" w:cs="Times New Roman" w:eastAsia="Times New Roman" w:hAnsi="Times New Roman"/>
          <w:sz w:val="14"/>
          <w:szCs w:val="14"/>
          <w:color w:val="auto"/>
        </w:rPr>
        <w:t>SECTION 6.2. Senior Signing Powers. The Chief Executive Officer, the President, any Vice Chairman, any Senior Executive Vice President, any Executive Vice President or any other senior officer appointed by the Board pursuant to Section 5.3 (any such officer, an “Authorized Senior Signer”)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any Authorized Senior Signer may be proper and desirable, any one of said officers may authorize in writing, including email and other forms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4" w:right="1440" w:bottom="1440" w:gutter="0" w:footer="0" w:header="0"/>
        </w:sectPr>
      </w:pPr>
    </w:p>
    <w:bookmarkStart w:id="71" w:name="page72"/>
    <w:bookmarkEnd w:id="71"/>
    <w:p>
      <w:pPr>
        <w:ind w:left="80" w:right="13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of electronic communication or approval, from time-to-time any other officer to have the powers set forth in this Section 6.2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36"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SECTION 6.3. Limited Signing Powers. In such instances as may be proper and desirable in the judgment of any Authorized Senior Signer or any delegate authorized in writing by any such Authorized Senior Signer, any such Authorized Senior Signer or delegate (to the extent relating to the performance or discharge of the duties of such delegate within his or her particular division or function)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142" w:lineRule="exact"/>
        <w:rPr>
          <w:sz w:val="20"/>
          <w:szCs w:val="20"/>
          <w:color w:val="auto"/>
        </w:rPr>
      </w:pPr>
    </w:p>
    <w:p>
      <w:pPr>
        <w:jc w:val="both"/>
        <w:ind w:left="80" w:right="239" w:firstLine="354"/>
        <w:spacing w:after="0" w:line="273" w:lineRule="auto"/>
        <w:rPr>
          <w:sz w:val="20"/>
          <w:szCs w:val="20"/>
          <w:color w:val="auto"/>
        </w:rPr>
      </w:pPr>
      <w:r>
        <w:rPr>
          <w:rFonts w:ascii="Times New Roman" w:cs="Times New Roman" w:eastAsia="Times New Roman" w:hAnsi="Times New Roman"/>
          <w:sz w:val="14"/>
          <w:szCs w:val="14"/>
          <w:color w:val="auto"/>
        </w:rPr>
        <w:t>SECTION 6.4. Rescission of Signing Powers. Any signing authority authorized by an Authorized Senior Signer or delegate may be rescinded at any time by any one of said persons, and any signing power authorized in or pursuant to Section 6.3 shall terminate without necessity of further action when the officer or employee having such power leaves the employ of the Bank, but any document, instrument or certificate executed by an officer or employee having signing authority prior to such termination shall be valid and binding on the Bank.</w:t>
      </w:r>
    </w:p>
    <w:p>
      <w:pPr>
        <w:spacing w:after="0" w:line="136" w:lineRule="exact"/>
        <w:rPr>
          <w:sz w:val="20"/>
          <w:szCs w:val="20"/>
          <w:color w:val="auto"/>
        </w:rPr>
      </w:pPr>
    </w:p>
    <w:p>
      <w:pPr>
        <w:ind w:left="80" w:right="99" w:firstLine="354"/>
        <w:spacing w:after="0" w:line="267" w:lineRule="auto"/>
        <w:rPr>
          <w:sz w:val="20"/>
          <w:szCs w:val="20"/>
          <w:color w:val="auto"/>
        </w:rPr>
      </w:pPr>
      <w:r>
        <w:rPr>
          <w:rFonts w:ascii="Times New Roman" w:cs="Times New Roman" w:eastAsia="Times New Roman" w:hAnsi="Times New Roman"/>
          <w:sz w:val="14"/>
          <w:szCs w:val="14"/>
          <w:color w:val="auto"/>
        </w:rPr>
        <w:t>SECTION 6.5.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 division or function. Any such power of attorney may, however, be executed by any officer or officers or person or persons who may be specifically authorized to execute the same by the Board and, at foreign branches only, by any two officers provided one of such officers is the Branch Manager.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4" w:right="1440" w:bottom="1440" w:gutter="0" w:footer="0" w:header="0"/>
        </w:sectPr>
      </w:pPr>
    </w:p>
    <w:bookmarkStart w:id="72" w:name="page73"/>
    <w:bookmarkEnd w:id="72"/>
    <w:p>
      <w:pPr>
        <w:ind w:left="80" w:right="79" w:firstLine="354"/>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SECTION 6.6.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134" w:lineRule="exact"/>
        <w:rPr>
          <w:sz w:val="20"/>
          <w:szCs w:val="20"/>
          <w:color w:val="auto"/>
        </w:rPr>
      </w:pPr>
    </w:p>
    <w:p>
      <w:pPr>
        <w:ind w:left="80" w:right="659" w:firstLine="354"/>
        <w:spacing w:after="0" w:line="300" w:lineRule="auto"/>
        <w:rPr>
          <w:sz w:val="20"/>
          <w:szCs w:val="20"/>
          <w:color w:val="auto"/>
        </w:rPr>
      </w:pPr>
      <w:r>
        <w:rPr>
          <w:rFonts w:ascii="Times New Roman" w:cs="Times New Roman" w:eastAsia="Times New Roman" w:hAnsi="Times New Roman"/>
          <w:sz w:val="14"/>
          <w:szCs w:val="14"/>
          <w:color w:val="auto"/>
        </w:rPr>
        <w:t>SECTION 6.7. Signatures. The signature authorized by or pursuant to these Bylaws of any signatory authorized by these By-laws on any document may be manual, facsimile or electronic, to the extent permitted by law.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INDEMNIFICATION</w:t>
      </w:r>
    </w:p>
    <w:p>
      <w:pPr>
        <w:spacing w:after="0" w:line="171" w:lineRule="exact"/>
        <w:rPr>
          <w:sz w:val="20"/>
          <w:szCs w:val="20"/>
          <w:color w:val="auto"/>
        </w:rPr>
      </w:pPr>
    </w:p>
    <w:p>
      <w:pPr>
        <w:ind w:left="80" w:right="99" w:firstLine="354"/>
        <w:spacing w:after="0" w:line="265" w:lineRule="auto"/>
        <w:rPr>
          <w:sz w:val="20"/>
          <w:szCs w:val="20"/>
          <w:color w:val="auto"/>
        </w:rPr>
      </w:pPr>
      <w:r>
        <w:rPr>
          <w:rFonts w:ascii="Times New Roman" w:cs="Times New Roman" w:eastAsia="Times New Roman" w:hAnsi="Times New Roman"/>
          <w:sz w:val="14"/>
          <w:szCs w:val="14"/>
          <w:color w:val="auto"/>
        </w:rPr>
        <w:t>SECTION 7.1. Indemnification. Any person made, or threatened to be made, a party to any action or proceeding, whether civil or criminal, by reason of the fact that he, 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 may be similarly indemnified in respect of service to the Bank or to another such entity at the request of the Bank to the extent the Board at any time denominates any of such persons as entitled to indemnification and/ 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320" w:lineRule="exact"/>
        <w:rPr>
          <w:sz w:val="20"/>
          <w:szCs w:val="20"/>
          <w:color w:val="auto"/>
        </w:rPr>
      </w:pPr>
    </w:p>
    <w:p>
      <w:pPr>
        <w:jc w:val="both"/>
        <w:ind w:left="80" w:right="239" w:firstLine="354"/>
        <w:spacing w:after="0" w:line="273" w:lineRule="auto"/>
        <w:rPr>
          <w:sz w:val="20"/>
          <w:szCs w:val="20"/>
          <w:color w:val="auto"/>
        </w:rPr>
      </w:pPr>
      <w:r>
        <w:rPr>
          <w:rFonts w:ascii="Times New Roman" w:cs="Times New Roman" w:eastAsia="Times New Roman" w:hAnsi="Times New Roman"/>
          <w:sz w:val="14"/>
          <w:szCs w:val="14"/>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136" w:lineRule="exact"/>
        <w:rPr>
          <w:sz w:val="20"/>
          <w:szCs w:val="20"/>
          <w:color w:val="auto"/>
        </w:rPr>
      </w:pPr>
    </w:p>
    <w:p>
      <w:pPr>
        <w:ind w:left="80" w:right="139" w:firstLine="354"/>
        <w:spacing w:after="0" w:line="279" w:lineRule="auto"/>
        <w:rPr>
          <w:sz w:val="20"/>
          <w:szCs w:val="20"/>
          <w:color w:val="auto"/>
        </w:rPr>
      </w:pPr>
      <w:r>
        <w:rPr>
          <w:rFonts w:ascii="Times New Roman" w:cs="Times New Roman" w:eastAsia="Times New Roman" w:hAnsi="Times New Roman"/>
          <w:sz w:val="14"/>
          <w:szCs w:val="14"/>
          <w:color w:val="auto"/>
        </w:rPr>
        <w:t>SECTION 7.3. Insurance. The Bank may purchase and maintain insurance to indemnify it against payments it is permitted to make under this Article VII and to indemnify directors, officers and employees against legal or professional expenses incurred in connection with actions or proceedings to the extent permitted by law.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4"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CAPITAL STOCK</w:t>
      </w:r>
    </w:p>
    <w:p>
      <w:pPr>
        <w:spacing w:after="0" w:line="171" w:lineRule="exact"/>
        <w:rPr>
          <w:sz w:val="20"/>
          <w:szCs w:val="20"/>
          <w:color w:val="auto"/>
        </w:rPr>
      </w:pPr>
    </w:p>
    <w:p>
      <w:pPr>
        <w:jc w:val="both"/>
        <w:ind w:left="80" w:right="319" w:firstLine="354"/>
        <w:spacing w:after="0" w:line="273" w:lineRule="auto"/>
        <w:rPr>
          <w:sz w:val="20"/>
          <w:szCs w:val="20"/>
          <w:color w:val="auto"/>
        </w:rPr>
      </w:pPr>
      <w:r>
        <w:rPr>
          <w:rFonts w:ascii="Times New Roman" w:cs="Times New Roman" w:eastAsia="Times New Roman" w:hAnsi="Times New Roman"/>
          <w:sz w:val="14"/>
          <w:szCs w:val="14"/>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36" w:lineRule="exact"/>
        <w:rPr>
          <w:sz w:val="20"/>
          <w:szCs w:val="20"/>
          <w:color w:val="auto"/>
        </w:rPr>
      </w:pPr>
    </w:p>
    <w:p>
      <w:pPr>
        <w:ind w:left="80" w:right="99" w:firstLine="354"/>
        <w:spacing w:after="0" w:line="269" w:lineRule="auto"/>
        <w:rPr>
          <w:sz w:val="20"/>
          <w:szCs w:val="20"/>
          <w:color w:val="auto"/>
        </w:rPr>
      </w:pPr>
      <w:r>
        <w:rPr>
          <w:rFonts w:ascii="Times New Roman" w:cs="Times New Roman" w:eastAsia="Times New Roman" w:hAnsi="Times New Roman"/>
          <w:sz w:val="14"/>
          <w:szCs w:val="14"/>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141" w:lineRule="exact"/>
        <w:rPr>
          <w:sz w:val="20"/>
          <w:szCs w:val="20"/>
          <w:color w:val="auto"/>
        </w:rPr>
      </w:pPr>
    </w:p>
    <w:p>
      <w:pPr>
        <w:ind w:left="80" w:right="79" w:firstLine="354"/>
        <w:spacing w:after="0" w:line="271" w:lineRule="auto"/>
        <w:rPr>
          <w:sz w:val="20"/>
          <w:szCs w:val="20"/>
          <w:color w:val="auto"/>
        </w:rPr>
      </w:pPr>
      <w:r>
        <w:rPr>
          <w:rFonts w:ascii="Times New Roman" w:cs="Times New Roman" w:eastAsia="Times New Roman" w:hAnsi="Times New Roman"/>
          <w:sz w:val="14"/>
          <w:szCs w:val="14"/>
          <w:color w:val="auto"/>
        </w:rPr>
        <w:t>SECTION 8.3. New Certificates. No new certificate shall be issued until the former certificate is cancelled except in the circumstances provided in this Section 8.3.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the Chief Executive Officer or any person designated by either of them may from time to time determine.</w:t>
      </w:r>
    </w:p>
    <w:p>
      <w:pPr>
        <w:spacing w:after="0" w:line="316" w:lineRule="exact"/>
        <w:rPr>
          <w:sz w:val="20"/>
          <w:szCs w:val="20"/>
          <w:color w:val="auto"/>
        </w:rPr>
      </w:pPr>
    </w:p>
    <w:p>
      <w:pPr>
        <w:jc w:val="both"/>
        <w:ind w:left="80" w:right="179" w:firstLine="354"/>
        <w:spacing w:after="0" w:line="279" w:lineRule="auto"/>
        <w:rPr>
          <w:sz w:val="20"/>
          <w:szCs w:val="20"/>
          <w:color w:val="auto"/>
        </w:rPr>
      </w:pPr>
      <w:r>
        <w:rPr>
          <w:rFonts w:ascii="Times New Roman" w:cs="Times New Roman" w:eastAsia="Times New Roman" w:hAnsi="Times New Roman"/>
          <w:sz w:val="14"/>
          <w:szCs w:val="14"/>
          <w:color w:val="auto"/>
        </w:rPr>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4"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ARTICLE 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CORPORATE SEAL</w:t>
      </w:r>
    </w:p>
    <w:p>
      <w:pPr>
        <w:spacing w:after="0" w:line="171" w:lineRule="exact"/>
        <w:rPr>
          <w:sz w:val="20"/>
          <w:szCs w:val="20"/>
          <w:color w:val="auto"/>
        </w:rPr>
      </w:pPr>
    </w:p>
    <w:p>
      <w:pPr>
        <w:ind w:left="80" w:right="299" w:firstLine="354"/>
        <w:spacing w:after="0" w:line="300" w:lineRule="auto"/>
        <w:rPr>
          <w:sz w:val="20"/>
          <w:szCs w:val="20"/>
          <w:color w:val="auto"/>
        </w:rPr>
      </w:pPr>
      <w:r>
        <w:rPr>
          <w:rFonts w:ascii="Times New Roman" w:cs="Times New Roman" w:eastAsia="Times New Roman" w:hAnsi="Times New Roman"/>
          <w:sz w:val="14"/>
          <w:szCs w:val="14"/>
          <w:color w:val="auto"/>
        </w:rPr>
        <w:t>SECTION 9.1. The Seal. The Board shall provide a corporate seal for the Bank which may be affixed to any document, certificate or paper and attested by such individuals as provided by these By-laws or as the Board may from time-to- time determine.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BY-LAWS</w:t>
      </w:r>
    </w:p>
    <w:p>
      <w:pPr>
        <w:spacing w:after="0" w:line="171" w:lineRule="exact"/>
        <w:rPr>
          <w:sz w:val="20"/>
          <w:szCs w:val="20"/>
          <w:color w:val="auto"/>
        </w:rPr>
      </w:pPr>
    </w:p>
    <w:p>
      <w:pPr>
        <w:ind w:left="80" w:right="399" w:firstLine="354"/>
        <w:spacing w:after="0" w:line="269" w:lineRule="auto"/>
        <w:rPr>
          <w:sz w:val="20"/>
          <w:szCs w:val="20"/>
          <w:color w:val="auto"/>
        </w:rPr>
      </w:pPr>
      <w:r>
        <w:rPr>
          <w:rFonts w:ascii="Times New Roman" w:cs="Times New Roman" w:eastAsia="Times New Roman" w:hAnsi="Times New Roman"/>
          <w:sz w:val="14"/>
          <w:szCs w:val="14"/>
          <w:color w:val="auto"/>
        </w:rPr>
        <w:t>SECTION 10.1.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41" w:lineRule="exact"/>
        <w:rPr>
          <w:sz w:val="20"/>
          <w:szCs w:val="20"/>
          <w:color w:val="auto"/>
        </w:rPr>
      </w:pPr>
    </w:p>
    <w:p>
      <w:pPr>
        <w:ind w:left="80" w:right="159" w:firstLine="354"/>
        <w:spacing w:after="0" w:line="300" w:lineRule="auto"/>
        <w:rPr>
          <w:sz w:val="20"/>
          <w:szCs w:val="20"/>
          <w:color w:val="auto"/>
        </w:rPr>
      </w:pPr>
      <w:r>
        <w:rPr>
          <w:rFonts w:ascii="Times New Roman" w:cs="Times New Roman" w:eastAsia="Times New Roman" w:hAnsi="Times New Roman"/>
          <w:sz w:val="14"/>
          <w:szCs w:val="14"/>
          <w:color w:val="auto"/>
        </w:rPr>
        <w:t>SECTION 10.2. Inspection. A copy of these By-laws, with all amendments thereto, shall at all times be kept in a convenient place at the principal office of the Bank and shall be open for inspection to all stockholders during regular business hours.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4" w:right="1440" w:bottom="1440" w:gutter="0" w:footer="0" w:header="0"/>
        </w:sectPr>
      </w:pPr>
    </w:p>
    <w:bookmarkStart w:id="75" w:name="page76"/>
    <w:bookmarkEnd w:id="75"/>
    <w:p>
      <w:pPr>
        <w:jc w:val="right"/>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89" w:lineRule="exact"/>
        <w:rPr>
          <w:sz w:val="20"/>
          <w:szCs w:val="20"/>
          <w:color w:val="auto"/>
        </w:rPr>
      </w:pPr>
    </w:p>
    <w:p>
      <w:pPr>
        <w:ind w:left="80" w:right="139"/>
        <w:spacing w:after="0" w:line="279" w:lineRule="auto"/>
        <w:rPr>
          <w:sz w:val="20"/>
          <w:szCs w:val="20"/>
          <w:color w:val="auto"/>
        </w:rPr>
      </w:pPr>
      <w:r>
        <w:rPr>
          <w:rFonts w:ascii="Times New Roman" w:cs="Times New Roman" w:eastAsia="Times New Roman" w:hAnsi="Times New Roman"/>
          <w:sz w:val="14"/>
          <w:szCs w:val="14"/>
          <w:color w:val="auto"/>
        </w:rPr>
        <w:t>Pursuant to the requirements of Section 321(b) of the Trust Indenture Act of 1939, The Bank of New York Mellon hereby consents that reports of examinations by Federal, State, Territorial or District authorities may be furnished by such authorities to the Securities and Exchange Commission upon request therefor.</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18415</wp:posOffset>
            </wp:positionV>
            <wp:extent cx="20624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2062480" cy="6985"/>
                    </a:xfrm>
                    <a:prstGeom prst="rect">
                      <a:avLst/>
                    </a:prstGeom>
                    <a:noFill/>
                  </pic:spPr>
                </pic:pic>
              </a:graphicData>
            </a:graphic>
          </wp:anchor>
        </w:drawing>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Terence Rawlins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1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November 2, 2026</w:t>
      </w:r>
    </w:p>
    <w:p>
      <w:pPr>
        <w:sectPr>
          <w:pgSz w:w="11900" w:h="16838" w:orient="portrait"/>
          <w:cols w:equalWidth="0" w:num="1">
            <w:col w:w="9019"/>
          </w:cols>
          <w:pgMar w:left="1440" w:top="242" w:right="1440" w:bottom="1440" w:gutter="0" w:footer="0" w:header="0"/>
        </w:sectPr>
      </w:pPr>
    </w:p>
    <w:bookmarkStart w:id="76" w:name="page77"/>
    <w:bookmarkEnd w:id="76"/>
    <w:p>
      <w:pPr>
        <w:jc w:val="right"/>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149860</wp:posOffset>
            </wp:positionV>
            <wp:extent cx="562800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240 Greenwich Street, New York, N.Y. 10286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 Foreign and Domestic Subsidiaries,</w:t>
      </w:r>
    </w:p>
    <w:p>
      <w:pPr>
        <w:spacing w:after="0" w:line="13" w:lineRule="exact"/>
        <w:rPr>
          <w:sz w:val="20"/>
          <w:szCs w:val="20"/>
          <w:color w:val="auto"/>
        </w:rPr>
      </w:pPr>
    </w:p>
    <w:p>
      <w:pPr>
        <w:ind w:left="80" w:right="139"/>
        <w:spacing w:after="0" w:line="278" w:lineRule="auto"/>
        <w:rPr>
          <w:sz w:val="20"/>
          <w:szCs w:val="20"/>
          <w:color w:val="auto"/>
        </w:rPr>
      </w:pPr>
      <w:r>
        <w:rPr>
          <w:rFonts w:ascii="Times New Roman" w:cs="Times New Roman" w:eastAsia="Times New Roman" w:hAnsi="Times New Roman"/>
          <w:sz w:val="14"/>
          <w:szCs w:val="14"/>
          <w:color w:val="auto"/>
        </w:rPr>
        <w:t>a member of the Federal Reserve System, at the close of business June 30, 2026, published in accordance with a call made by the Federal Reserve Bank of this District pursuant to the provisions of the Federal Reserve Act.</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7480" w:type="dxa"/>
            <w:vAlign w:val="bottom"/>
          </w:tcPr>
          <w:p>
            <w:pPr>
              <w:spacing w:after="0"/>
              <w:rPr>
                <w:sz w:val="12"/>
                <w:szCs w:val="12"/>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Dollar amounts in thousands</w:t>
            </w: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146,331,000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48,256,000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107,264,000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27,537,000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46,659,000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46,459,000</w:t>
            </w: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21,190,000</w:t>
            </w:r>
          </w:p>
        </w:tc>
        <w:tc>
          <w:tcPr>
            <w:tcW w:w="20" w:type="dxa"/>
            <w:vAlign w:val="bottom"/>
            <w:shd w:val="clear" w:color="auto" w:fill="CCEEFF"/>
          </w:tcPr>
          <w:p>
            <w:pPr>
              <w:spacing w:after="0"/>
              <w:rPr>
                <w:sz w:val="15"/>
                <w:szCs w:val="15"/>
                <w:color w:val="auto"/>
              </w:rPr>
            </w:pPr>
          </w:p>
        </w:tc>
      </w:tr>
      <w:tr>
        <w:trPr>
          <w:trHeight w:val="176"/>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425,115,000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019"/>
          </w:cols>
          <w:pgMar w:left="1440" w:top="242" w:right="1440"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 domestic offices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255,943,000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84,330,000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171,613,000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 foreign offices, Edge and Agreement subsidiaries, and IBFs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116,619,000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9,678,000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106,941,000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7,942,000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395,674,000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13,277,000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17,014,000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29,441,000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29,441,000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425,115,000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59" w:right="1440" w:bottom="1440" w:gutter="0" w:footer="0" w:header="0"/>
        </w:sectPr>
      </w:pPr>
    </w:p>
    <w:bookmarkStart w:id="78" w:name="page79"/>
    <w:bookmarkEnd w:id="78"/>
    <w:p>
      <w:pPr>
        <w:ind w:left="80" w:right="199" w:firstLine="354"/>
        <w:spacing w:after="0" w:line="30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98360" cy="33020"/>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1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 xml:space="preserve">Dermot McDonogh       </w:t>
      </w:r>
    </w:p>
    <w:p>
      <w:pPr>
        <w:spacing w:after="0" w:line="28"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 xml:space="preserve">Chief Financial Officer       </w:t>
      </w:r>
    </w:p>
    <w:p>
      <w:pPr>
        <w:spacing w:after="0" w:line="171" w:lineRule="exact"/>
        <w:rPr>
          <w:sz w:val="20"/>
          <w:szCs w:val="20"/>
          <w:color w:val="auto"/>
        </w:rPr>
      </w:pPr>
    </w:p>
    <w:p>
      <w:pPr>
        <w:ind w:left="80" w:right="279" w:firstLine="354"/>
        <w:spacing w:after="0" w:line="300" w:lineRule="auto"/>
        <w:rPr>
          <w:sz w:val="20"/>
          <w:szCs w:val="20"/>
          <w:color w:val="auto"/>
        </w:rPr>
      </w:pPr>
      <w:r>
        <w:rPr>
          <w:rFonts w:ascii="Times New Roman" w:cs="Times New Roman" w:eastAsia="Times New Roman" w:hAnsi="Times New Roman"/>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19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Robin A. Vince</w:t>
            </w:r>
          </w:p>
        </w:tc>
        <w:tc>
          <w:tcPr>
            <w:tcW w:w="300" w:type="dxa"/>
            <w:vAlign w:val="bottom"/>
            <w:tcBorders>
              <w:top w:val="single" w:sz="8" w:color="auto"/>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6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Jeffrey A. Goldstein</w:t>
            </w:r>
          </w:p>
        </w:tc>
        <w:tc>
          <w:tcPr>
            <w:tcW w:w="300" w:type="dxa"/>
            <w:vAlign w:val="bottom"/>
            <w:tcBorders>
              <w:right w:val="single" w:sz="8" w:color="auto"/>
            </w:tcBorders>
          </w:tcPr>
          <w:p>
            <w:pPr>
              <w:spacing w:after="0"/>
              <w:rPr>
                <w:sz w:val="15"/>
                <w:szCs w:val="15"/>
                <w:color w:val="auto"/>
              </w:rPr>
            </w:pPr>
          </w:p>
        </w:tc>
        <w:tc>
          <w:tcPr>
            <w:tcW w:w="66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color w:val="auto"/>
              </w:rPr>
              <w:t xml:space="preserve">Directors                                     </w:t>
            </w:r>
          </w:p>
        </w:tc>
        <w:tc>
          <w:tcPr>
            <w:tcW w:w="0" w:type="dxa"/>
            <w:vAlign w:val="bottom"/>
          </w:tcPr>
          <w:p>
            <w:pPr>
              <w:spacing w:after="0"/>
              <w:rPr>
                <w:sz w:val="1"/>
                <w:szCs w:val="1"/>
                <w:color w:val="auto"/>
              </w:rPr>
            </w:pPr>
          </w:p>
        </w:tc>
      </w:tr>
      <w:tr>
        <w:trPr>
          <w:trHeight w:val="102"/>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Joseph J. Echevarria</w:t>
            </w:r>
          </w:p>
        </w:tc>
        <w:tc>
          <w:tcPr>
            <w:tcW w:w="300" w:type="dxa"/>
            <w:vAlign w:val="bottom"/>
            <w:tcBorders>
              <w:right w:val="single" w:sz="8" w:color="auto"/>
            </w:tcBorders>
          </w:tcPr>
          <w:p>
            <w:pPr>
              <w:spacing w:after="0"/>
              <w:rPr>
                <w:sz w:val="8"/>
                <w:szCs w:val="8"/>
                <w:color w:val="auto"/>
              </w:rPr>
            </w:pPr>
          </w:p>
        </w:tc>
        <w:tc>
          <w:tcPr>
            <w:tcW w:w="6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940" w:type="dxa"/>
            <w:vAlign w:val="bottom"/>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6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4" w:right="1440" w:bottom="1440" w:gutter="0" w:footer="0" w:header="0"/>
        </w:sectPr>
      </w:pPr>
    </w:p>
    <w:bookmarkStart w:id="79" w:name="page80"/>
    <w:bookmarkEnd w:id="79"/>
    <w:p>
      <w:pPr>
        <w:spacing w:after="0" w:line="62" w:lineRule="exact"/>
        <w:rPr>
          <w:sz w:val="20"/>
          <w:szCs w:val="20"/>
          <w:color w:val="auto"/>
        </w:rPr>
      </w:pPr>
    </w:p>
    <w:p>
      <w:pPr>
        <w:ind w:left="3420"/>
        <w:spacing w:after="0"/>
        <w:rPr>
          <w:sz w:val="20"/>
          <w:szCs w:val="20"/>
          <w:color w:val="auto"/>
        </w:rPr>
      </w:pPr>
      <w:r>
        <w:rPr>
          <w:rFonts w:ascii="Arial" w:cs="Arial" w:eastAsia="Arial" w:hAnsi="Arial"/>
          <w:sz w:val="29"/>
          <w:szCs w:val="29"/>
          <w:b w:val="1"/>
          <w:bCs w:val="1"/>
          <w:color w:val="auto"/>
        </w:rPr>
        <w:t>Calculation of Filing Fee Tables</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S-3</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Navient LLC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53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Previously</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7"/>
                <w:szCs w:val="17"/>
                <w:color w:val="auto"/>
              </w:rPr>
            </w:pPr>
          </w:p>
        </w:tc>
        <w:tc>
          <w:tcPr>
            <w:tcW w:w="940" w:type="dxa"/>
            <w:vAlign w:val="bottom"/>
            <w:shd w:val="clear" w:color="auto" w:fill="9ADAF6"/>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7"/>
                <w:szCs w:val="17"/>
                <w:color w:val="auto"/>
              </w:rPr>
            </w:pPr>
          </w:p>
        </w:tc>
        <w:tc>
          <w:tcPr>
            <w:tcW w:w="9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7"/>
                <w:szCs w:val="17"/>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right"/>
              <w:ind w:right="273"/>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7"/>
                <w:szCs w:val="17"/>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gridSpan w:val="7"/>
          </w:tcPr>
          <w:p>
            <w:pPr>
              <w:jc w:val="right"/>
              <w:ind w:right="1133"/>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gridSpan w:val="7"/>
          </w:tcPr>
          <w:p>
            <w:pPr>
              <w:jc w:val="right"/>
              <w:ind w:right="1273"/>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220" w:right="120" w:hanging="181"/>
        <w:spacing w:after="0" w:line="236" w:lineRule="auto"/>
        <w:tabs>
          <w:tab w:leader="none" w:pos="22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(1) Omitted pursuant to Form S-3 Instructions to the Calculation of Filing Fee Tables and Related Disclosure 2(A)(iii)(c). (2) 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35" w:lineRule="exact"/>
        <w:rPr>
          <w:sz w:val="20"/>
          <w:szCs w:val="20"/>
          <w:color w:val="auto"/>
        </w:rPr>
      </w:pPr>
    </w:p>
    <w:p>
      <w:pPr>
        <w:ind w:left="220" w:right="120" w:hanging="181"/>
        <w:spacing w:after="0" w:line="236"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(1) Omitted pursuant to Form S-3 Instructions to the Calculation of Filing Fee Tables and Related Disclosure 2(A)(iii)(c). (2) 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35" w:lineRule="exact"/>
        <w:rPr>
          <w:sz w:val="20"/>
          <w:szCs w:val="20"/>
          <w:color w:val="auto"/>
        </w:rPr>
      </w:pPr>
    </w:p>
    <w:p>
      <w:pPr>
        <w:ind w:left="220" w:right="120" w:hanging="181"/>
        <w:spacing w:after="0" w:line="236" w:lineRule="auto"/>
        <w:tabs>
          <w:tab w:leader="none" w:pos="220" w:val="left"/>
        </w:tabs>
        <w:numPr>
          <w:ilvl w:val="0"/>
          <w:numId w:val="44"/>
        </w:numPr>
        <w:rPr>
          <w:rFonts w:ascii="Arial" w:cs="Arial" w:eastAsia="Arial" w:hAnsi="Arial"/>
          <w:sz w:val="22"/>
          <w:szCs w:val="22"/>
          <w:color w:val="auto"/>
          <w:vertAlign w:val="superscript"/>
        </w:rPr>
      </w:pPr>
      <w:r>
        <w:rPr>
          <w:rFonts w:ascii="Arial" w:cs="Arial" w:eastAsia="Arial" w:hAnsi="Arial"/>
          <w:sz w:val="17"/>
          <w:szCs w:val="17"/>
          <w:color w:val="auto"/>
        </w:rPr>
        <w:t>(1) Omitted pursuant to Form S-3 Instructions to the Calculation of Filing Fee Tables and Related Disclosure 2(A)(iii)(c). (2) 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300" w:type="dxa"/>
            <w:vAlign w:val="bottom"/>
            <w:tcBorders>
              <w:bottom w:val="single" w:sz="8" w:color="auto"/>
            </w:tcBorders>
            <w:gridSpan w:val="7"/>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80" w:type="dxa"/>
            <w:vAlign w:val="bottom"/>
            <w:tcBorders>
              <w:right w:val="single" w:sz="8" w:color="9ADAF6"/>
            </w:tcBorders>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5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Name</w:t>
            </w: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5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Rules 457(b) and 0-11(a)(2)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-109220</wp:posOffset>
            </wp:positionV>
            <wp:extent cx="12700" cy="1409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12700" cy="14097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-109220</wp:posOffset>
            </wp:positionV>
            <wp:extent cx="12700" cy="1409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12700" cy="140970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-116840</wp:posOffset>
            </wp:positionV>
            <wp:extent cx="7103745" cy="262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03745" cy="262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Claims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-116840</wp:posOffset>
            </wp:positionV>
            <wp:extent cx="7103745" cy="262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03745" cy="262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Sources</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ind w:lef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960" w:type="dxa"/>
            <w:vAlign w:val="bottom"/>
            <w:gridSpan w:val="3"/>
            <w:shd w:val="clear" w:color="auto" w:fill="E7E7E2"/>
          </w:tcPr>
          <w:p>
            <w:pPr>
              <w:ind w:left="20"/>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40" w:type="dxa"/>
            <w:vAlign w:val="bottom"/>
            <w:vMerge w:val="continue"/>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62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shd w:val="clear" w:color="auto" w:fill="9ADAF6"/>
          </w:tcPr>
          <w:p>
            <w:pPr>
              <w:ind w:left="34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880" w:type="dxa"/>
            <w:vAlign w:val="bottom"/>
            <w:gridSpan w:val="4"/>
            <w:shd w:val="clear" w:color="auto" w:fill="9ADAF6"/>
          </w:tcPr>
          <w:p>
            <w:pPr>
              <w:jc w:val="center"/>
              <w:ind w:right="140"/>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3"/>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120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60" w:type="dxa"/>
            <w:vAlign w:val="bottom"/>
            <w:gridSpan w:val="3"/>
            <w:vMerge w:val="restart"/>
            <w:shd w:val="clear" w:color="auto" w:fill="9ADAF6"/>
          </w:tcPr>
          <w:p>
            <w:pPr>
              <w:jc w:val="center"/>
              <w:ind w:right="160"/>
              <w:spacing w:after="0"/>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5"/>
            <w:shd w:val="clear" w:color="auto" w:fill="9ADAF6"/>
          </w:tcPr>
          <w:p>
            <w:pPr>
              <w:ind w:left="220"/>
              <w:spacing w:after="0" w:line="17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5"/>
                <w:szCs w:val="15"/>
                <w:color w:val="auto"/>
              </w:rPr>
            </w:pPr>
          </w:p>
        </w:tc>
        <w:tc>
          <w:tcPr>
            <w:tcW w:w="2540" w:type="dxa"/>
            <w:vAlign w:val="bottom"/>
            <w:gridSpan w:val="5"/>
            <w:shd w:val="clear" w:color="auto" w:fill="9ADAF6"/>
          </w:tcPr>
          <w:p>
            <w:pPr>
              <w:ind w:left="600"/>
              <w:spacing w:after="0" w:line="176"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12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860" w:type="dxa"/>
            <w:vAlign w:val="bottom"/>
            <w:gridSpan w:val="3"/>
            <w:vMerge w:val="continue"/>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shd w:val="clear" w:color="auto" w:fill="9ADAF6"/>
          </w:tcPr>
          <w:p>
            <w:pPr>
              <w:ind w:left="40"/>
              <w:spacing w:after="0" w:line="17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5"/>
            <w:shd w:val="clear" w:color="auto" w:fill="9ADAF6"/>
          </w:tcPr>
          <w:p>
            <w:pPr>
              <w:ind w:left="340"/>
              <w:spacing w:after="0" w:line="118" w:lineRule="exact"/>
              <w:rPr>
                <w:sz w:val="20"/>
                <w:szCs w:val="20"/>
                <w:color w:val="auto"/>
              </w:rPr>
            </w:pPr>
            <w:r>
              <w:rPr>
                <w:rFonts w:ascii="Arial" w:cs="Arial" w:eastAsia="Arial" w:hAnsi="Arial"/>
                <w:sz w:val="13"/>
                <w:szCs w:val="13"/>
                <w:b w:val="1"/>
                <w:bCs w:val="1"/>
                <w:color w:val="auto"/>
              </w:rPr>
              <w:t>Previously</w:t>
            </w:r>
          </w:p>
        </w:tc>
        <w:tc>
          <w:tcPr>
            <w:tcW w:w="20" w:type="dxa"/>
            <w:vAlign w:val="bottom"/>
          </w:tcPr>
          <w:p>
            <w:pPr>
              <w:spacing w:after="0"/>
              <w:rPr>
                <w:sz w:val="10"/>
                <w:szCs w:val="10"/>
                <w:color w:val="auto"/>
              </w:rPr>
            </w:pPr>
          </w:p>
        </w:tc>
        <w:tc>
          <w:tcPr>
            <w:tcW w:w="2020" w:type="dxa"/>
            <w:vAlign w:val="bottom"/>
            <w:gridSpan w:val="5"/>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 Previously</w:t>
            </w: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00" w:type="dxa"/>
            <w:vAlign w:val="bottom"/>
            <w:shd w:val="clear" w:color="auto" w:fill="9ADAF6"/>
          </w:tcPr>
          <w:p>
            <w:pPr>
              <w:ind w:left="60"/>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vMerge w:val="restart"/>
            <w:shd w:val="clear" w:color="auto" w:fill="9ADAF6"/>
          </w:tcPr>
          <w:p>
            <w:pPr>
              <w:jc w:val="center"/>
              <w:ind w:right="133"/>
              <w:spacing w:after="0"/>
              <w:rPr>
                <w:sz w:val="20"/>
                <w:szCs w:val="20"/>
                <w:color w:val="auto"/>
              </w:rPr>
            </w:pPr>
            <w:r>
              <w:rPr>
                <w:rFonts w:ascii="Arial" w:cs="Arial" w:eastAsia="Arial" w:hAnsi="Arial"/>
                <w:sz w:val="17"/>
                <w:szCs w:val="17"/>
                <w:b w:val="1"/>
                <w:bCs w:val="1"/>
                <w:color w:val="auto"/>
              </w:rPr>
              <w:t>Date</w:t>
            </w:r>
          </w:p>
        </w:tc>
        <w:tc>
          <w:tcPr>
            <w:tcW w:w="60" w:type="dxa"/>
            <w:vAlign w:val="bottom"/>
            <w:tcBorders>
              <w:left w:val="single" w:sz="8" w:color="9ADAF6"/>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shd w:val="clear" w:color="auto" w:fill="9ADAF6"/>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3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5"/>
            <w:vMerge w:val="restart"/>
            <w:shd w:val="clear" w:color="auto" w:fill="9ADAF6"/>
          </w:tcPr>
          <w:p>
            <w:pPr>
              <w:ind w:left="3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60" w:type="dxa"/>
            <w:vAlign w:val="bottom"/>
            <w:gridSpan w:val="3"/>
            <w:vMerge w:val="restart"/>
            <w:shd w:val="clear" w:color="auto" w:fill="9ADAF6"/>
          </w:tcPr>
          <w:p>
            <w:pPr>
              <w:jc w:val="center"/>
              <w:ind w:right="160"/>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6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3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8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decimal"/>
      <w:start w:val="1"/>
    </w:lvl>
    <w:lvl w:ilvl="1">
      <w:lvlJc w:val="left"/>
      <w:lvlText w:val="(%2)"/>
      <w:numFmt w:val="lowerRoman"/>
      <w:start w:val="1"/>
    </w:lvl>
  </w:abstractNum>
  <w:abstractNum w:abstractNumId="15">
    <w:nsid w:val="8138641"/>
    <w:multiLevelType w:val="hybridMultilevel"/>
    <w:lvl w:ilvl="0">
      <w:lvlJc w:val="left"/>
      <w:lvlText w:val="(%1)"/>
      <w:numFmt w:val="decimal"/>
      <w:start w:val="2"/>
    </w:lvl>
    <w:lvl w:ilvl="1">
      <w:lvlJc w:val="left"/>
      <w:lvlText w:val="(%2)"/>
      <w:numFmt w:val="lowerRoman"/>
      <w:start w:val="1"/>
    </w:lvl>
  </w:abstractNum>
  <w:abstractNum w:abstractNumId="16">
    <w:nsid w:val="1E7FF52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
    <w:nsid w:val="7C3DBD3D"/>
    <w:multiLevelType w:val="hybridMultilevel"/>
    <w:lvl w:ilvl="0">
      <w:lvlJc w:val="left"/>
      <w:lvlText w:val="%1"/>
      <w:numFmt w:val="decimal"/>
      <w:start w:val="107"/>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lowerRoman"/>
      <w:start w:val="5"/>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lowerRoman"/>
      <w:start w:val="9"/>
    </w:lvl>
  </w:abstractNum>
  <w:abstractNum w:abstractNumId="26">
    <w:nsid w:val="440BADFC"/>
    <w:multiLevelType w:val="hybridMultilevel"/>
    <w:lvl w:ilvl="0">
      <w:lvlJc w:val="left"/>
      <w:lvlText w:val="(%1)"/>
      <w:numFmt w:val="lowerRoman"/>
      <w:start w:val="3"/>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lvl w:ilvl="1">
      <w:lvlJc w:val="left"/>
      <w:lvlText w:val="(%2)"/>
      <w:numFmt w:val="lowerLetter"/>
      <w:start w:val="1"/>
    </w:lvl>
  </w:abstractNum>
  <w:abstractNum w:abstractNumId="29">
    <w:nsid w:val="77465F01"/>
    <w:multiLevelType w:val="hybridMultilevel"/>
    <w:lvl w:ilvl="0">
      <w:lvlJc w:val="left"/>
      <w:lvlText w:val="(%1)"/>
      <w:numFmt w:val="lowerLetter"/>
      <w:start w:val="2"/>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16"/>
    </w:lvl>
    <w:lvl w:ilvl="1">
      <w:lvlJc w:val="left"/>
      <w:lvlText w:val="%2."/>
      <w:numFmt w:val="decimal"/>
      <w:start w:val="1"/>
    </w:lvl>
  </w:abstractNum>
  <w:abstractNum w:abstractNumId="32">
    <w:nsid w:val="2463B9EA"/>
    <w:multiLevelType w:val="hybridMultilevel"/>
    <w:lvl w:ilvl="0">
      <w:lvlJc w:val="left"/>
      <w:lvlText w:val="%1."/>
      <w:numFmt w:val="decimal"/>
      <w:start w:val="4"/>
    </w:lvl>
  </w:abstractNum>
  <w:abstractNum w:abstractNumId="33">
    <w:nsid w:val="5E884ADC"/>
    <w:multiLevelType w:val="hybridMultilevel"/>
    <w:lvl w:ilvl="0">
      <w:lvlJc w:val="left"/>
      <w:lvlText w:val="%1."/>
      <w:numFmt w:val="decimal"/>
      <w:start w:val="6"/>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lvl w:ilvl="1">
      <w:lvlJc w:val="left"/>
      <w:lvlText w:val="(%2)"/>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1."/>
      <w:numFmt w:val="decimal"/>
      <w:start w:val="16"/>
    </w:lvl>
    <w:lvl w:ilvl="1">
      <w:lvlJc w:val="left"/>
      <w:lvlText w:val="%2."/>
      <w:numFmt w:val="decimal"/>
      <w:start w:val="1"/>
    </w:lvl>
  </w:abstractNum>
  <w:abstractNum w:abstractNumId="39">
    <w:nsid w:val="70A64E2A"/>
    <w:multiLevelType w:val="hybridMultilevel"/>
    <w:lvl w:ilvl="0">
      <w:lvlJc w:val="left"/>
      <w:lvlText w:val="%1."/>
      <w:numFmt w:val="decimal"/>
      <w:start w:val="4"/>
    </w:lvl>
  </w:abstractNum>
  <w:abstractNum w:abstractNumId="40">
    <w:nsid w:val="6A2342EC"/>
    <w:multiLevelType w:val="hybridMultilevel"/>
    <w:lvl w:ilvl="0">
      <w:lvlJc w:val="left"/>
      <w:lvlText w:val="%1."/>
      <w:numFmt w:val="decimal"/>
      <w:start w:val="6"/>
    </w:lvl>
  </w:abstractNum>
  <w:abstractNum w:abstractNumId="41">
    <w:nsid w:val="2A487CB0"/>
    <w:multiLevelType w:val="hybridMultilevel"/>
    <w:lvl w:ilvl="0">
      <w:lvlJc w:val="left"/>
      <w:lvlText w:val="1"/>
      <w:numFmt w:val="bullet"/>
      <w:start w:val="1"/>
    </w:lvl>
  </w:abstractNum>
  <w:abstractNum w:abstractNumId="42">
    <w:nsid w:val="1D4ED43B"/>
    <w:multiLevelType w:val="hybridMultilevel"/>
    <w:lvl w:ilvl="0">
      <w:lvlJc w:val="left"/>
      <w:lvlText w:val="2"/>
      <w:numFmt w:val="bullet"/>
      <w:start w:val="1"/>
    </w:lvl>
  </w:abstractNum>
  <w:abstractNum w:abstractNumId="43">
    <w:nsid w:val="725A06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jpeg"/><Relationship Id="rId68" Type="http://schemas.openxmlformats.org/officeDocument/2006/relationships/image" Target="media/image43.png"/><Relationship Id="rId69" Type="http://schemas.openxmlformats.org/officeDocument/2006/relationships/image" Target="media/image44.jpeg"/><Relationship Id="rId70" Type="http://schemas.openxmlformats.org/officeDocument/2006/relationships/image" Target="media/image45.png"/><Relationship Id="rId71" Type="http://schemas.openxmlformats.org/officeDocument/2006/relationships/image" Target="media/image46.jpeg"/><Relationship Id="rId72" Type="http://schemas.openxmlformats.org/officeDocument/2006/relationships/image" Target="media/image47.png"/><Relationship Id="rId73" Type="http://schemas.openxmlformats.org/officeDocument/2006/relationships/image" Target="media/image48.jpeg"/><Relationship Id="rId74" Type="http://schemas.openxmlformats.org/officeDocument/2006/relationships/image" Target="media/image49.png"/><Relationship Id="rId75" Type="http://schemas.openxmlformats.org/officeDocument/2006/relationships/image" Target="media/image50.jpeg"/><Relationship Id="rId76" Type="http://schemas.openxmlformats.org/officeDocument/2006/relationships/image" Target="media/image51.png"/><Relationship Id="rId77" Type="http://schemas.openxmlformats.org/officeDocument/2006/relationships/image" Target="media/image52.jpeg"/><Relationship Id="rId78" Type="http://schemas.openxmlformats.org/officeDocument/2006/relationships/image" Target="media/image53.jpe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43" Type="http://schemas.openxmlformats.org/officeDocument/2006/relationships/hyperlink" Target="http://www.sec.gov/ix?doc=/Archives/edgar/data/1593538/000119312526076753/navi-20251231.htm" TargetMode="External"/><Relationship Id="rId44" Type="http://schemas.openxmlformats.org/officeDocument/2006/relationships/hyperlink" Target="http://www.sec.gov/ix?doc=/Archives/edgar/data/1593538/000119312526191605/navi-20260331.htm" TargetMode="External"/><Relationship Id="rId45" Type="http://schemas.openxmlformats.org/officeDocument/2006/relationships/hyperlink" Target="http://www.sec.gov/ix?doc=/Archives/edgar/data/1593538/000119312526340245/navi-20260630.htm" TargetMode="External"/><Relationship Id="rId46" Type="http://schemas.openxmlformats.org/officeDocument/2006/relationships/hyperlink" Target="http://www.sec.gov/ix?doc=/Archives/edgar/data/1593538/000114036126000724/ef20062525_8k.htm" TargetMode="External"/><Relationship Id="rId47" Type="http://schemas.openxmlformats.org/officeDocument/2006/relationships/hyperlink" Target="http://www.sec.gov/ix?doc=/Archives/edgar/data/1593538/000114036126013765/ef20069880_8k.htm" TargetMode="External"/><Relationship Id="rId48" Type="http://schemas.openxmlformats.org/officeDocument/2006/relationships/hyperlink" Target="http://www.sec.gov/ix?doc=/Archives/edgar/data/1593538/000119312526248512/d156580d8k.htm" TargetMode="External"/><Relationship Id="rId49" Type="http://schemas.openxmlformats.org/officeDocument/2006/relationships/hyperlink" Target="http://www.sec.gov/ix?doc=/Archives/edgar/data/1593538/000114036126024115/ef20075586_8k.htm" TargetMode="External"/><Relationship Id="rId50" Type="http://schemas.openxmlformats.org/officeDocument/2006/relationships/hyperlink" Target="http://www.sec.gov/ix?doc=/Archives/edgar/data/1593538/000114036126027441/ef20077249_8k.htm" TargetMode="External"/><Relationship Id="rId51" Type="http://schemas.openxmlformats.org/officeDocument/2006/relationships/hyperlink" Target="http://www.sec.gov/ix?doc=/Archives/edgar/data/1593538/000114036126037626/ef20082662_8k.htm" TargetMode="External"/><Relationship Id="rId52" Type="http://schemas.openxmlformats.org/officeDocument/2006/relationships/hyperlink" Target="http://www.sec.gov/ix?doc=/Archives/edgar/data/1593538/000114036126040389/ef20084105_8k.htm" TargetMode="External"/><Relationship Id="rId53" Type="http://schemas.openxmlformats.org/officeDocument/2006/relationships/hyperlink" Target="http://www.sec.gov/ix?doc=/Archives/edgar/data/1593538/000119312526443748/d345634d8k.htm" TargetMode="External"/><Relationship Id="rId54" Type="http://schemas.openxmlformats.org/officeDocument/2006/relationships/hyperlink" Target="http://www.sec.gov/ix?doc=/Archives/edgar/data/1593538/000114036126014980/ny20066419x1_def14a.htm" TargetMode="External"/><Relationship Id="rId59" Type="http://schemas.openxmlformats.org/officeDocument/2006/relationships/hyperlink" Target="http://www.sec.gov/Archives/edgar/data/1593538/000119312526443748/d345634dex33.htm" TargetMode="External"/><Relationship Id="rId60" Type="http://schemas.openxmlformats.org/officeDocument/2006/relationships/hyperlink" Target="http://www.sec.gov/Archives/edgar/data/1593538/000119312526443748/d345634dex34.htm" TargetMode="External"/><Relationship Id="rId61" Type="http://schemas.openxmlformats.org/officeDocument/2006/relationships/hyperlink" Target="http://www.sec.gov/Archives/edgar/data/1593538/000119312514272868/d760517dex41.htm" TargetMode="External"/><Relationship Id="rId62" Type="http://schemas.openxmlformats.org/officeDocument/2006/relationships/hyperlink" Target="http://www.sec.gov/Archives/edgar/data/1593538/000119312516520544/d164252dex41.htm" TargetMode="External"/><Relationship Id="rId63" Type="http://schemas.openxmlformats.org/officeDocument/2006/relationships/hyperlink" Target="http://www.sec.gov/Archives/edgar/data/1593538/000119312526443748/d345634dex41.htm" TargetMode="External"/><Relationship Id="rId64" Type="http://schemas.openxmlformats.org/officeDocument/2006/relationships/hyperlink" Target="http://www.sec.gov/Archives/edgar/data/1593538/000119312526443748/d34563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2026-11-02T16:13:58Z</dcterms:created>
  <dcterms:modified xsi:type="dcterms:W3CDTF">2026-11-02T16:13:58Z</dcterms:modified>
</cp:coreProperties>
</file>