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Navient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144780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6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001-36228</w:t>
            </w:r>
          </w:p>
        </w:tc>
        <w:tc>
          <w:tcPr>
            <w:tcW w:w="200" w:type="dxa"/>
            <w:vAlign w:val="bottom"/>
          </w:tcPr>
          <w:p>
            <w:pPr>
              <w:spacing w:after="0"/>
              <w:rPr>
                <w:sz w:val="21"/>
                <w:szCs w:val="21"/>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46-4054283</w:t>
            </w:r>
          </w:p>
        </w:tc>
      </w:tr>
      <w:tr>
        <w:trPr>
          <w:trHeight w:val="23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gridSpan w:val="3"/>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17"/>
        </w:trPr>
        <w:tc>
          <w:tcPr>
            <w:tcW w:w="4580" w:type="dxa"/>
            <w:vAlign w:val="bottom"/>
            <w:tcBorders>
              <w:bottom w:val="single" w:sz="8" w:color="auto"/>
            </w:tcBorders>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13865 Sunrise Valley Drive, Herndon, Virginia</w:t>
            </w:r>
          </w:p>
        </w:tc>
        <w:tc>
          <w:tcPr>
            <w:tcW w:w="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20171</w:t>
            </w:r>
          </w:p>
        </w:tc>
      </w:tr>
      <w:tr>
        <w:trPr>
          <w:trHeight w:val="238"/>
        </w:trPr>
        <w:tc>
          <w:tcPr>
            <w:tcW w:w="45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(703) 810-3000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$.01 per share</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NAVI</w:t>
            </w: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r>
        <w:trPr>
          <w:trHeight w:val="223"/>
        </w:trPr>
        <w:tc>
          <w:tcPr>
            <w:tcW w:w="4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 Senior Notes due December 15, 2043</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JSM</w:t>
            </w: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r>
        <w:trPr>
          <w:trHeight w:val="223"/>
        </w:trPr>
        <w:tc>
          <w:tcPr>
            <w:tcW w:w="4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Preferred Stock Purchase Rights</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June 4, 2026, Navient Corporation (the “Company”) held its 2026 Annual Meeting of Shareholders (the “Annual Meeting”). As of the close of business on April 6, 2026, the record date for the Annual Meeting, 93,989,417 shares of common stock, par value $.01 per share, were outstanding and entitled to vote. At the Annual Meeting, 87,236,916 shares, or approximately 92.81% of the outstanding shares of common stock entitled to vote were represented in person or by proxy. At the Annual Meeting, the following proposals were submitted to a vote of the Company’s shareholders, with the voting results indicated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1 – Election of Directors</w:t>
      </w:r>
      <w:r>
        <w:rPr>
          <w:rFonts w:ascii="Times New Roman" w:cs="Times New Roman" w:eastAsia="Times New Roman" w:hAnsi="Times New Roman"/>
          <w:sz w:val="18"/>
          <w:szCs w:val="18"/>
          <w:color w:val="auto"/>
        </w:rPr>
        <w:t>. The Company’s shareholders elected the following 6 directors to hold office until the 2026 Annual Meeting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until their successors have been duly elected or appointed:</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42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400" w:type="dxa"/>
            <w:vAlign w:val="bottom"/>
            <w:tcBorders>
              <w:top w:val="single" w:sz="8" w:color="auto"/>
              <w:bottom w:val="single" w:sz="8" w:color="auto"/>
              <w:right w:val="single" w:sz="8" w:color="auto"/>
            </w:tcBorders>
          </w:tcPr>
          <w:p>
            <w:pPr>
              <w:spacing w:after="0"/>
              <w:rPr>
                <w:sz w:val="21"/>
                <w:szCs w:val="21"/>
                <w:color w:val="auto"/>
              </w:rPr>
            </w:pP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400" w:type="dxa"/>
            <w:vAlign w:val="bottom"/>
            <w:tcBorders>
              <w:top w:val="single" w:sz="8" w:color="auto"/>
              <w:bottom w:val="single" w:sz="8" w:color="auto"/>
              <w:right w:val="single" w:sz="8" w:color="auto"/>
            </w:tcBorders>
          </w:tcPr>
          <w:p>
            <w:pPr>
              <w:spacing w:after="0"/>
              <w:rPr>
                <w:sz w:val="21"/>
                <w:szCs w:val="21"/>
                <w:color w:val="auto"/>
              </w:rPr>
            </w:pPr>
          </w:p>
        </w:tc>
        <w:tc>
          <w:tcPr>
            <w:tcW w:w="1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Against</w:t>
            </w:r>
          </w:p>
        </w:tc>
        <w:tc>
          <w:tcPr>
            <w:tcW w:w="420" w:type="dxa"/>
            <w:vAlign w:val="bottom"/>
            <w:tcBorders>
              <w:top w:val="single" w:sz="8" w:color="auto"/>
              <w:bottom w:val="single" w:sz="8" w:color="auto"/>
              <w:right w:val="single" w:sz="8" w:color="auto"/>
            </w:tcBorders>
          </w:tcPr>
          <w:p>
            <w:pPr>
              <w:spacing w:after="0"/>
              <w:rPr>
                <w:sz w:val="21"/>
                <w:szCs w:val="21"/>
                <w:color w:val="auto"/>
              </w:rPr>
            </w:pPr>
          </w:p>
        </w:tc>
        <w:tc>
          <w:tcPr>
            <w:tcW w:w="1580" w:type="dxa"/>
            <w:vAlign w:val="bottom"/>
            <w:tcBorders>
              <w:top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Abstain</w:t>
            </w:r>
          </w:p>
        </w:tc>
        <w:tc>
          <w:tcPr>
            <w:tcW w:w="420" w:type="dxa"/>
            <w:vAlign w:val="bottom"/>
            <w:tcBorders>
              <w:top w:val="single" w:sz="8" w:color="auto"/>
              <w:bottom w:val="single" w:sz="8" w:color="auto"/>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23"/>
        </w:trPr>
        <w:tc>
          <w:tcPr>
            <w:tcW w:w="24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Frederick Arnold</w:t>
            </w:r>
          </w:p>
        </w:tc>
        <w:tc>
          <w:tcPr>
            <w:tcW w:w="400" w:type="dxa"/>
            <w:vAlign w:val="bottom"/>
            <w:tcBorders>
              <w:bottom w:val="single" w:sz="8" w:color="auto"/>
              <w:right w:val="single" w:sz="8" w:color="auto"/>
            </w:tcBorders>
            <w:shd w:val="clear" w:color="auto" w:fill="CCEEFF"/>
          </w:tcPr>
          <w:p>
            <w:pPr>
              <w:spacing w:after="0"/>
              <w:rPr>
                <w:sz w:val="19"/>
                <w:szCs w:val="19"/>
                <w:color w:val="auto"/>
              </w:rPr>
            </w:pPr>
          </w:p>
        </w:tc>
        <w:tc>
          <w:tcPr>
            <w:tcW w:w="1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77,332,537</w:t>
            </w:r>
          </w:p>
        </w:tc>
        <w:tc>
          <w:tcPr>
            <w:tcW w:w="400" w:type="dxa"/>
            <w:vAlign w:val="bottom"/>
            <w:tcBorders>
              <w:bottom w:val="single" w:sz="8" w:color="auto"/>
              <w:right w:val="single" w:sz="8" w:color="auto"/>
            </w:tcBorders>
            <w:shd w:val="clear" w:color="auto" w:fill="CCEEFF"/>
          </w:tcPr>
          <w:p>
            <w:pPr>
              <w:spacing w:after="0"/>
              <w:rPr>
                <w:sz w:val="19"/>
                <w:szCs w:val="19"/>
                <w:color w:val="auto"/>
              </w:rPr>
            </w:pPr>
          </w:p>
        </w:tc>
        <w:tc>
          <w:tcPr>
            <w:tcW w:w="1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2,106,762</w:t>
            </w:r>
          </w:p>
        </w:tc>
        <w:tc>
          <w:tcPr>
            <w:tcW w:w="420" w:type="dxa"/>
            <w:vAlign w:val="bottom"/>
            <w:tcBorders>
              <w:bottom w:val="single" w:sz="8" w:color="auto"/>
              <w:right w:val="single" w:sz="8" w:color="auto"/>
            </w:tcBorders>
            <w:shd w:val="clear" w:color="auto" w:fill="CCEEFF"/>
          </w:tcPr>
          <w:p>
            <w:pPr>
              <w:spacing w:after="0"/>
              <w:rPr>
                <w:sz w:val="19"/>
                <w:szCs w:val="19"/>
                <w:color w:val="auto"/>
              </w:rPr>
            </w:pPr>
          </w:p>
        </w:tc>
        <w:tc>
          <w:tcPr>
            <w:tcW w:w="1580" w:type="dxa"/>
            <w:vAlign w:val="bottom"/>
            <w:tcBorders>
              <w:bottom w:val="single" w:sz="8" w:color="auto"/>
              <w:right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236,963</w:t>
            </w:r>
          </w:p>
        </w:tc>
        <w:tc>
          <w:tcPr>
            <w:tcW w:w="420" w:type="dxa"/>
            <w:vAlign w:val="bottom"/>
            <w:tcBorders>
              <w:bottom w:val="single" w:sz="8" w:color="auto"/>
              <w:right w:val="single" w:sz="8" w:color="auto"/>
            </w:tcBorders>
            <w:shd w:val="clear" w:color="auto" w:fill="CCEEFF"/>
          </w:tcPr>
          <w:p>
            <w:pPr>
              <w:spacing w:after="0"/>
              <w:rPr>
                <w:sz w:val="19"/>
                <w:szCs w:val="19"/>
                <w:color w:val="auto"/>
              </w:rPr>
            </w:pPr>
          </w:p>
        </w:tc>
        <w:tc>
          <w:tcPr>
            <w:tcW w:w="2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7,560,654</w:t>
            </w:r>
          </w:p>
        </w:tc>
      </w:tr>
      <w:tr>
        <w:trPr>
          <w:trHeight w:val="223"/>
        </w:trPr>
        <w:tc>
          <w:tcPr>
            <w:tcW w:w="24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Edward J. Bramson</w:t>
            </w:r>
          </w:p>
        </w:tc>
        <w:tc>
          <w:tcPr>
            <w:tcW w:w="40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77,892,680</w:t>
            </w:r>
          </w:p>
        </w:tc>
        <w:tc>
          <w:tcPr>
            <w:tcW w:w="40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1,539,840</w:t>
            </w:r>
          </w:p>
        </w:tc>
        <w:tc>
          <w:tcPr>
            <w:tcW w:w="42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243,742</w:t>
            </w:r>
          </w:p>
        </w:tc>
        <w:tc>
          <w:tcPr>
            <w:tcW w:w="420" w:type="dxa"/>
            <w:vAlign w:val="bottom"/>
            <w:tcBorders>
              <w:bottom w:val="single" w:sz="8" w:color="auto"/>
              <w:right w:val="single" w:sz="8" w:color="auto"/>
            </w:tcBorders>
          </w:tcPr>
          <w:p>
            <w:pPr>
              <w:spacing w:after="0"/>
              <w:rPr>
                <w:sz w:val="19"/>
                <w:szCs w:val="19"/>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7,560,654</w:t>
            </w:r>
          </w:p>
        </w:tc>
      </w:tr>
      <w:tr>
        <w:trPr>
          <w:trHeight w:val="223"/>
        </w:trPr>
        <w:tc>
          <w:tcPr>
            <w:tcW w:w="24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Anna Escobedo Cabral</w:t>
            </w:r>
          </w:p>
        </w:tc>
        <w:tc>
          <w:tcPr>
            <w:tcW w:w="400" w:type="dxa"/>
            <w:vAlign w:val="bottom"/>
            <w:tcBorders>
              <w:bottom w:val="single" w:sz="8" w:color="auto"/>
              <w:right w:val="single" w:sz="8" w:color="auto"/>
            </w:tcBorders>
            <w:shd w:val="clear" w:color="auto" w:fill="CCEEFF"/>
          </w:tcPr>
          <w:p>
            <w:pPr>
              <w:spacing w:after="0"/>
              <w:rPr>
                <w:sz w:val="19"/>
                <w:szCs w:val="19"/>
                <w:color w:val="auto"/>
              </w:rPr>
            </w:pPr>
          </w:p>
        </w:tc>
        <w:tc>
          <w:tcPr>
            <w:tcW w:w="1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77,596,632</w:t>
            </w:r>
          </w:p>
        </w:tc>
        <w:tc>
          <w:tcPr>
            <w:tcW w:w="400" w:type="dxa"/>
            <w:vAlign w:val="bottom"/>
            <w:tcBorders>
              <w:bottom w:val="single" w:sz="8" w:color="auto"/>
              <w:right w:val="single" w:sz="8" w:color="auto"/>
            </w:tcBorders>
            <w:shd w:val="clear" w:color="auto" w:fill="CCEEFF"/>
          </w:tcPr>
          <w:p>
            <w:pPr>
              <w:spacing w:after="0"/>
              <w:rPr>
                <w:sz w:val="19"/>
                <w:szCs w:val="19"/>
                <w:color w:val="auto"/>
              </w:rPr>
            </w:pPr>
          </w:p>
        </w:tc>
        <w:tc>
          <w:tcPr>
            <w:tcW w:w="1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1,843,978</w:t>
            </w:r>
          </w:p>
        </w:tc>
        <w:tc>
          <w:tcPr>
            <w:tcW w:w="420" w:type="dxa"/>
            <w:vAlign w:val="bottom"/>
            <w:tcBorders>
              <w:bottom w:val="single" w:sz="8" w:color="auto"/>
              <w:right w:val="single" w:sz="8" w:color="auto"/>
            </w:tcBorders>
            <w:shd w:val="clear" w:color="auto" w:fill="CCEEFF"/>
          </w:tcPr>
          <w:p>
            <w:pPr>
              <w:spacing w:after="0"/>
              <w:rPr>
                <w:sz w:val="19"/>
                <w:szCs w:val="19"/>
                <w:color w:val="auto"/>
              </w:rPr>
            </w:pPr>
          </w:p>
        </w:tc>
        <w:tc>
          <w:tcPr>
            <w:tcW w:w="1580" w:type="dxa"/>
            <w:vAlign w:val="bottom"/>
            <w:tcBorders>
              <w:bottom w:val="single" w:sz="8" w:color="auto"/>
              <w:right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235,652</w:t>
            </w:r>
          </w:p>
        </w:tc>
        <w:tc>
          <w:tcPr>
            <w:tcW w:w="420" w:type="dxa"/>
            <w:vAlign w:val="bottom"/>
            <w:tcBorders>
              <w:bottom w:val="single" w:sz="8" w:color="auto"/>
              <w:right w:val="single" w:sz="8" w:color="auto"/>
            </w:tcBorders>
            <w:shd w:val="clear" w:color="auto" w:fill="CCEEFF"/>
          </w:tcPr>
          <w:p>
            <w:pPr>
              <w:spacing w:after="0"/>
              <w:rPr>
                <w:sz w:val="19"/>
                <w:szCs w:val="19"/>
                <w:color w:val="auto"/>
              </w:rPr>
            </w:pPr>
          </w:p>
        </w:tc>
        <w:tc>
          <w:tcPr>
            <w:tcW w:w="2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7,560,654</w:t>
            </w:r>
          </w:p>
        </w:tc>
      </w:tr>
      <w:tr>
        <w:trPr>
          <w:trHeight w:val="223"/>
        </w:trPr>
        <w:tc>
          <w:tcPr>
            <w:tcW w:w="24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Larry A. Klane</w:t>
            </w:r>
          </w:p>
        </w:tc>
        <w:tc>
          <w:tcPr>
            <w:tcW w:w="40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74,867,296</w:t>
            </w:r>
          </w:p>
        </w:tc>
        <w:tc>
          <w:tcPr>
            <w:tcW w:w="40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4,571,774</w:t>
            </w:r>
          </w:p>
        </w:tc>
        <w:tc>
          <w:tcPr>
            <w:tcW w:w="42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237,192</w:t>
            </w:r>
          </w:p>
        </w:tc>
        <w:tc>
          <w:tcPr>
            <w:tcW w:w="420" w:type="dxa"/>
            <w:vAlign w:val="bottom"/>
            <w:tcBorders>
              <w:bottom w:val="single" w:sz="8" w:color="auto"/>
              <w:right w:val="single" w:sz="8" w:color="auto"/>
            </w:tcBorders>
          </w:tcPr>
          <w:p>
            <w:pPr>
              <w:spacing w:after="0"/>
              <w:rPr>
                <w:sz w:val="19"/>
                <w:szCs w:val="19"/>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7,560,654</w:t>
            </w:r>
          </w:p>
        </w:tc>
      </w:tr>
      <w:tr>
        <w:trPr>
          <w:trHeight w:val="223"/>
        </w:trPr>
        <w:tc>
          <w:tcPr>
            <w:tcW w:w="24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Michael A. Lawson</w:t>
            </w:r>
          </w:p>
        </w:tc>
        <w:tc>
          <w:tcPr>
            <w:tcW w:w="400" w:type="dxa"/>
            <w:vAlign w:val="bottom"/>
            <w:tcBorders>
              <w:bottom w:val="single" w:sz="8" w:color="auto"/>
              <w:right w:val="single" w:sz="8" w:color="auto"/>
            </w:tcBorders>
            <w:shd w:val="clear" w:color="auto" w:fill="CCEEFF"/>
          </w:tcPr>
          <w:p>
            <w:pPr>
              <w:spacing w:after="0"/>
              <w:rPr>
                <w:sz w:val="19"/>
                <w:szCs w:val="19"/>
                <w:color w:val="auto"/>
              </w:rPr>
            </w:pPr>
          </w:p>
        </w:tc>
        <w:tc>
          <w:tcPr>
            <w:tcW w:w="1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77,008,298</w:t>
            </w:r>
          </w:p>
        </w:tc>
        <w:tc>
          <w:tcPr>
            <w:tcW w:w="400" w:type="dxa"/>
            <w:vAlign w:val="bottom"/>
            <w:tcBorders>
              <w:bottom w:val="single" w:sz="8" w:color="auto"/>
              <w:right w:val="single" w:sz="8" w:color="auto"/>
            </w:tcBorders>
            <w:shd w:val="clear" w:color="auto" w:fill="CCEEFF"/>
          </w:tcPr>
          <w:p>
            <w:pPr>
              <w:spacing w:after="0"/>
              <w:rPr>
                <w:sz w:val="19"/>
                <w:szCs w:val="19"/>
                <w:color w:val="auto"/>
              </w:rPr>
            </w:pPr>
          </w:p>
        </w:tc>
        <w:tc>
          <w:tcPr>
            <w:tcW w:w="1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2,424,725</w:t>
            </w:r>
          </w:p>
        </w:tc>
        <w:tc>
          <w:tcPr>
            <w:tcW w:w="420" w:type="dxa"/>
            <w:vAlign w:val="bottom"/>
            <w:tcBorders>
              <w:bottom w:val="single" w:sz="8" w:color="auto"/>
              <w:right w:val="single" w:sz="8" w:color="auto"/>
            </w:tcBorders>
            <w:shd w:val="clear" w:color="auto" w:fill="CCEEFF"/>
          </w:tcPr>
          <w:p>
            <w:pPr>
              <w:spacing w:after="0"/>
              <w:rPr>
                <w:sz w:val="19"/>
                <w:szCs w:val="19"/>
                <w:color w:val="auto"/>
              </w:rPr>
            </w:pPr>
          </w:p>
        </w:tc>
        <w:tc>
          <w:tcPr>
            <w:tcW w:w="1580" w:type="dxa"/>
            <w:vAlign w:val="bottom"/>
            <w:tcBorders>
              <w:bottom w:val="single" w:sz="8" w:color="auto"/>
              <w:right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243,239</w:t>
            </w:r>
          </w:p>
        </w:tc>
        <w:tc>
          <w:tcPr>
            <w:tcW w:w="420" w:type="dxa"/>
            <w:vAlign w:val="bottom"/>
            <w:tcBorders>
              <w:bottom w:val="single" w:sz="8" w:color="auto"/>
              <w:right w:val="single" w:sz="8" w:color="auto"/>
            </w:tcBorders>
            <w:shd w:val="clear" w:color="auto" w:fill="CCEEFF"/>
          </w:tcPr>
          <w:p>
            <w:pPr>
              <w:spacing w:after="0"/>
              <w:rPr>
                <w:sz w:val="19"/>
                <w:szCs w:val="19"/>
                <w:color w:val="auto"/>
              </w:rPr>
            </w:pPr>
          </w:p>
        </w:tc>
        <w:tc>
          <w:tcPr>
            <w:tcW w:w="2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7,560,654</w:t>
            </w:r>
          </w:p>
        </w:tc>
      </w:tr>
      <w:tr>
        <w:trPr>
          <w:trHeight w:val="223"/>
        </w:trPr>
        <w:tc>
          <w:tcPr>
            <w:tcW w:w="24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David L. Yowan</w:t>
            </w:r>
          </w:p>
        </w:tc>
        <w:tc>
          <w:tcPr>
            <w:tcW w:w="40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78,173,784</w:t>
            </w:r>
          </w:p>
        </w:tc>
        <w:tc>
          <w:tcPr>
            <w:tcW w:w="40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1,266,180</w:t>
            </w:r>
          </w:p>
        </w:tc>
        <w:tc>
          <w:tcPr>
            <w:tcW w:w="42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236,298</w:t>
            </w:r>
          </w:p>
        </w:tc>
        <w:tc>
          <w:tcPr>
            <w:tcW w:w="420" w:type="dxa"/>
            <w:vAlign w:val="bottom"/>
            <w:tcBorders>
              <w:bottom w:val="single" w:sz="8" w:color="auto"/>
              <w:right w:val="single" w:sz="8" w:color="auto"/>
            </w:tcBorders>
          </w:tcPr>
          <w:p>
            <w:pPr>
              <w:spacing w:after="0"/>
              <w:rPr>
                <w:sz w:val="19"/>
                <w:szCs w:val="19"/>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7,560,654</w:t>
            </w: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2 – Ratification of the Appointment of KPMG LLP</w:t>
      </w:r>
      <w:r>
        <w:rPr>
          <w:rFonts w:ascii="Times New Roman" w:cs="Times New Roman" w:eastAsia="Times New Roman" w:hAnsi="Times New Roman"/>
          <w:sz w:val="18"/>
          <w:szCs w:val="18"/>
          <w:color w:val="auto"/>
        </w:rPr>
        <w:t>. The Company’s shareholders ratified the appointment of KPMG LLP as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registered public accounting firm for the year ending December 31, 2026, as follows: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0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660" w:type="dxa"/>
            <w:vAlign w:val="bottom"/>
            <w:tcBorders>
              <w:top w:val="single" w:sz="8" w:color="auto"/>
              <w:bottom w:val="single" w:sz="8" w:color="auto"/>
              <w:right w:val="single" w:sz="8" w:color="auto"/>
            </w:tcBorders>
          </w:tcPr>
          <w:p>
            <w:pPr>
              <w:spacing w:after="0"/>
              <w:rPr>
                <w:sz w:val="21"/>
                <w:szCs w:val="21"/>
                <w:color w:val="auto"/>
              </w:rPr>
            </w:pPr>
          </w:p>
        </w:tc>
        <w:tc>
          <w:tcPr>
            <w:tcW w:w="2900" w:type="dxa"/>
            <w:vAlign w:val="bottom"/>
            <w:tcBorders>
              <w:top w:val="single" w:sz="8" w:color="auto"/>
              <w:bottom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Against</w:t>
            </w:r>
          </w:p>
        </w:tc>
        <w:tc>
          <w:tcPr>
            <w:tcW w:w="700" w:type="dxa"/>
            <w:vAlign w:val="bottom"/>
            <w:tcBorders>
              <w:top w:val="single" w:sz="8" w:color="auto"/>
              <w:bottom w:val="single" w:sz="8" w:color="auto"/>
              <w:right w:val="single" w:sz="8" w:color="auto"/>
            </w:tcBorders>
          </w:tcPr>
          <w:p>
            <w:pPr>
              <w:spacing w:after="0"/>
              <w:rPr>
                <w:sz w:val="21"/>
                <w:szCs w:val="21"/>
                <w:color w:val="auto"/>
              </w:rPr>
            </w:pPr>
          </w:p>
        </w:tc>
        <w:tc>
          <w:tcPr>
            <w:tcW w:w="2260" w:type="dxa"/>
            <w:vAlign w:val="bottom"/>
            <w:tcBorders>
              <w:top w:val="single" w:sz="8" w:color="auto"/>
              <w:bottom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Abstain</w:t>
            </w:r>
          </w:p>
        </w:tc>
      </w:tr>
      <w:tr>
        <w:trPr>
          <w:trHeight w:val="223"/>
        </w:trPr>
        <w:tc>
          <w:tcPr>
            <w:tcW w:w="3040" w:type="dxa"/>
            <w:vAlign w:val="bottom"/>
            <w:tcBorders>
              <w:left w:val="single" w:sz="8" w:color="auto"/>
              <w:bottom w:val="single" w:sz="8" w:color="auto"/>
              <w:right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86,200,408</w:t>
            </w:r>
          </w:p>
        </w:tc>
        <w:tc>
          <w:tcPr>
            <w:tcW w:w="660" w:type="dxa"/>
            <w:vAlign w:val="bottom"/>
            <w:tcBorders>
              <w:bottom w:val="single" w:sz="8" w:color="auto"/>
              <w:right w:val="single" w:sz="8" w:color="auto"/>
            </w:tcBorders>
            <w:shd w:val="clear" w:color="auto" w:fill="CCEEFF"/>
          </w:tcPr>
          <w:p>
            <w:pPr>
              <w:spacing w:after="0"/>
              <w:rPr>
                <w:sz w:val="19"/>
                <w:szCs w:val="19"/>
                <w:color w:val="auto"/>
              </w:rPr>
            </w:pPr>
          </w:p>
        </w:tc>
        <w:tc>
          <w:tcPr>
            <w:tcW w:w="2900" w:type="dxa"/>
            <w:vAlign w:val="bottom"/>
            <w:tcBorders>
              <w:bottom w:val="single" w:sz="8" w:color="auto"/>
              <w:right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711,805</w:t>
            </w:r>
          </w:p>
        </w:tc>
        <w:tc>
          <w:tcPr>
            <w:tcW w:w="700" w:type="dxa"/>
            <w:vAlign w:val="bottom"/>
            <w:tcBorders>
              <w:bottom w:val="single" w:sz="8" w:color="auto"/>
              <w:right w:val="single" w:sz="8" w:color="auto"/>
            </w:tcBorders>
            <w:shd w:val="clear" w:color="auto" w:fill="CCEEFF"/>
          </w:tcPr>
          <w:p>
            <w:pPr>
              <w:spacing w:after="0"/>
              <w:rPr>
                <w:sz w:val="19"/>
                <w:szCs w:val="19"/>
                <w:color w:val="auto"/>
              </w:rPr>
            </w:pPr>
          </w:p>
        </w:tc>
        <w:tc>
          <w:tcPr>
            <w:tcW w:w="2260" w:type="dxa"/>
            <w:vAlign w:val="bottom"/>
            <w:tcBorders>
              <w:bottom w:val="single" w:sz="8" w:color="auto"/>
              <w:right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324,703</w:t>
            </w:r>
          </w:p>
        </w:tc>
      </w:tr>
    </w:tbl>
    <w:p>
      <w:pPr>
        <w:spacing w:after="0" w:line="19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3 – Advisory Vote on Executive Compensation</w:t>
      </w:r>
      <w:r>
        <w:rPr>
          <w:rFonts w:ascii="Times New Roman" w:cs="Times New Roman" w:eastAsia="Times New Roman" w:hAnsi="Times New Roman"/>
          <w:sz w:val="18"/>
          <w:szCs w:val="18"/>
          <w:color w:val="auto"/>
        </w:rPr>
        <w:t>. The Company’s shareholders approved, by an advisory vote, the compensation of its named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officers, as follows: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c>
          <w:tcPr>
            <w:tcW w:w="440" w:type="dxa"/>
            <w:vAlign w:val="bottom"/>
            <w:tcBorders>
              <w:top w:val="single" w:sz="8" w:color="auto"/>
              <w:bottom w:val="single" w:sz="8" w:color="auto"/>
              <w:right w:val="single" w:sz="8" w:color="auto"/>
            </w:tcBorders>
          </w:tcPr>
          <w:p>
            <w:pPr>
              <w:spacing w:after="0"/>
              <w:rPr>
                <w:sz w:val="21"/>
                <w:szCs w:val="21"/>
                <w:color w:val="auto"/>
              </w:rPr>
            </w:pP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Against</w:t>
            </w:r>
          </w:p>
        </w:tc>
        <w:tc>
          <w:tcPr>
            <w:tcW w:w="460" w:type="dxa"/>
            <w:vAlign w:val="bottom"/>
            <w:tcBorders>
              <w:top w:val="single" w:sz="8" w:color="auto"/>
              <w:bottom w:val="single" w:sz="8" w:color="auto"/>
              <w:right w:val="single" w:sz="8" w:color="auto"/>
            </w:tcBorders>
          </w:tcPr>
          <w:p>
            <w:pPr>
              <w:spacing w:after="0"/>
              <w:rPr>
                <w:sz w:val="21"/>
                <w:szCs w:val="21"/>
                <w:color w:val="auto"/>
              </w:rPr>
            </w:pPr>
          </w:p>
        </w:tc>
        <w:tc>
          <w:tcPr>
            <w:tcW w:w="2000" w:type="dxa"/>
            <w:vAlign w:val="bottom"/>
            <w:tcBorders>
              <w:top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Abstain</w:t>
            </w:r>
          </w:p>
        </w:tc>
        <w:tc>
          <w:tcPr>
            <w:tcW w:w="400" w:type="dxa"/>
            <w:vAlign w:val="bottom"/>
            <w:tcBorders>
              <w:top w:val="single" w:sz="8" w:color="auto"/>
              <w:bottom w:val="single" w:sz="8" w:color="auto"/>
              <w:right w:val="single" w:sz="8" w:color="auto"/>
            </w:tcBorders>
          </w:tcPr>
          <w:p>
            <w:pPr>
              <w:spacing w:after="0"/>
              <w:rPr>
                <w:sz w:val="21"/>
                <w:szCs w:val="21"/>
                <w:color w:val="auto"/>
              </w:rPr>
            </w:pPr>
          </w:p>
        </w:tc>
        <w:tc>
          <w:tcPr>
            <w:tcW w:w="31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23"/>
        </w:trPr>
        <w:tc>
          <w:tcPr>
            <w:tcW w:w="2380" w:type="dxa"/>
            <w:vAlign w:val="bottom"/>
            <w:tcBorders>
              <w:left w:val="single" w:sz="8" w:color="auto"/>
              <w:bottom w:val="single" w:sz="8" w:color="auto"/>
              <w:right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77,130,044</w:t>
            </w:r>
          </w:p>
        </w:tc>
        <w:tc>
          <w:tcPr>
            <w:tcW w:w="440" w:type="dxa"/>
            <w:vAlign w:val="bottom"/>
            <w:tcBorders>
              <w:bottom w:val="single" w:sz="8" w:color="auto"/>
              <w:right w:val="single" w:sz="8" w:color="auto"/>
            </w:tcBorders>
            <w:shd w:val="clear" w:color="auto" w:fill="CCEEFF"/>
          </w:tcPr>
          <w:p>
            <w:pPr>
              <w:spacing w:after="0"/>
              <w:rPr>
                <w:sz w:val="19"/>
                <w:szCs w:val="19"/>
                <w:color w:val="auto"/>
              </w:rPr>
            </w:pPr>
          </w:p>
        </w:tc>
        <w:tc>
          <w:tcPr>
            <w:tcW w:w="2380" w:type="dxa"/>
            <w:vAlign w:val="bottom"/>
            <w:tcBorders>
              <w:bottom w:val="single" w:sz="8" w:color="auto"/>
              <w:right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2,140,647</w:t>
            </w:r>
          </w:p>
        </w:tc>
        <w:tc>
          <w:tcPr>
            <w:tcW w:w="460" w:type="dxa"/>
            <w:vAlign w:val="bottom"/>
            <w:tcBorders>
              <w:bottom w:val="single" w:sz="8" w:color="auto"/>
              <w:right w:val="single" w:sz="8" w:color="auto"/>
            </w:tcBorders>
            <w:shd w:val="clear" w:color="auto" w:fill="CCEEFF"/>
          </w:tcPr>
          <w:p>
            <w:pPr>
              <w:spacing w:after="0"/>
              <w:rPr>
                <w:sz w:val="19"/>
                <w:szCs w:val="19"/>
                <w:color w:val="auto"/>
              </w:rPr>
            </w:pPr>
          </w:p>
        </w:tc>
        <w:tc>
          <w:tcPr>
            <w:tcW w:w="2000" w:type="dxa"/>
            <w:vAlign w:val="bottom"/>
            <w:tcBorders>
              <w:bottom w:val="single" w:sz="8" w:color="auto"/>
              <w:right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405,571</w:t>
            </w:r>
          </w:p>
        </w:tc>
        <w:tc>
          <w:tcPr>
            <w:tcW w:w="400" w:type="dxa"/>
            <w:vAlign w:val="bottom"/>
            <w:tcBorders>
              <w:bottom w:val="single" w:sz="8" w:color="auto"/>
              <w:right w:val="single" w:sz="8" w:color="auto"/>
            </w:tcBorders>
            <w:shd w:val="clear" w:color="auto" w:fill="CCEEFF"/>
          </w:tcPr>
          <w:p>
            <w:pPr>
              <w:spacing w:after="0"/>
              <w:rPr>
                <w:sz w:val="19"/>
                <w:szCs w:val="19"/>
                <w:color w:val="auto"/>
              </w:rPr>
            </w:pPr>
          </w:p>
        </w:tc>
        <w:tc>
          <w:tcPr>
            <w:tcW w:w="3180" w:type="dxa"/>
            <w:vAlign w:val="bottom"/>
            <w:tcBorders>
              <w:bottom w:val="single" w:sz="8" w:color="auto"/>
              <w:right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7,560,654</w:t>
            </w:r>
          </w:p>
        </w:tc>
      </w:tr>
    </w:tbl>
    <w:p>
      <w:pPr>
        <w:spacing w:after="0" w:line="19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4 – Advisory Vote on Say-on-Pay Frequency</w:t>
      </w:r>
      <w:r>
        <w:rPr>
          <w:rFonts w:ascii="Times New Roman" w:cs="Times New Roman" w:eastAsia="Times New Roman" w:hAnsi="Times New Roman"/>
          <w:sz w:val="18"/>
          <w:szCs w:val="18"/>
          <w:color w:val="auto"/>
        </w:rPr>
        <w:t>. The Company’s shareholders approved, by an advisory vote, the say-on-pay frequency,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One Year</w:t>
            </w:r>
          </w:p>
        </w:tc>
        <w:tc>
          <w:tcPr>
            <w:tcW w:w="480" w:type="dxa"/>
            <w:vAlign w:val="bottom"/>
            <w:tcBorders>
              <w:top w:val="single" w:sz="8" w:color="auto"/>
              <w:bottom w:val="single" w:sz="8" w:color="auto"/>
              <w:right w:val="single" w:sz="8" w:color="auto"/>
            </w:tcBorders>
          </w:tcPr>
          <w:p>
            <w:pPr>
              <w:spacing w:after="0"/>
              <w:rPr>
                <w:sz w:val="21"/>
                <w:szCs w:val="21"/>
                <w:color w:val="auto"/>
              </w:rPr>
            </w:pPr>
          </w:p>
        </w:tc>
        <w:tc>
          <w:tcPr>
            <w:tcW w:w="1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Two Years</w:t>
            </w:r>
          </w:p>
        </w:tc>
        <w:tc>
          <w:tcPr>
            <w:tcW w:w="480" w:type="dxa"/>
            <w:vAlign w:val="bottom"/>
            <w:tcBorders>
              <w:top w:val="single" w:sz="8" w:color="auto"/>
              <w:bottom w:val="single" w:sz="8" w:color="auto"/>
              <w:right w:val="single" w:sz="8" w:color="auto"/>
            </w:tcBorders>
          </w:tcPr>
          <w:p>
            <w:pPr>
              <w:spacing w:after="0"/>
              <w:rPr>
                <w:sz w:val="21"/>
                <w:szCs w:val="21"/>
                <w:color w:val="auto"/>
              </w:rPr>
            </w:pPr>
          </w:p>
        </w:tc>
        <w:tc>
          <w:tcPr>
            <w:tcW w:w="2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Three Years</w:t>
            </w:r>
          </w:p>
        </w:tc>
        <w:tc>
          <w:tcPr>
            <w:tcW w:w="380" w:type="dxa"/>
            <w:vAlign w:val="bottom"/>
            <w:tcBorders>
              <w:top w:val="single" w:sz="8" w:color="auto"/>
              <w:bottom w:val="single" w:sz="8" w:color="auto"/>
              <w:right w:val="single" w:sz="8" w:color="auto"/>
            </w:tcBorders>
          </w:tcPr>
          <w:p>
            <w:pPr>
              <w:spacing w:after="0"/>
              <w:rPr>
                <w:sz w:val="21"/>
                <w:szCs w:val="21"/>
                <w:color w:val="auto"/>
              </w:rPr>
            </w:pPr>
          </w:p>
        </w:tc>
        <w:tc>
          <w:tcPr>
            <w:tcW w:w="1600" w:type="dxa"/>
            <w:vAlign w:val="bottom"/>
            <w:tcBorders>
              <w:top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Abstain</w:t>
            </w:r>
          </w:p>
        </w:tc>
        <w:tc>
          <w:tcPr>
            <w:tcW w:w="380" w:type="dxa"/>
            <w:vAlign w:val="bottom"/>
            <w:tcBorders>
              <w:top w:val="single" w:sz="8" w:color="auto"/>
              <w:bottom w:val="single" w:sz="8" w:color="auto"/>
              <w:right w:val="single" w:sz="8" w:color="auto"/>
            </w:tcBorders>
          </w:tcPr>
          <w:p>
            <w:pPr>
              <w:spacing w:after="0"/>
              <w:rPr>
                <w:sz w:val="21"/>
                <w:szCs w:val="21"/>
                <w:color w:val="auto"/>
              </w:rPr>
            </w:pPr>
          </w:p>
        </w:tc>
        <w:tc>
          <w:tcPr>
            <w:tcW w:w="2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23"/>
        </w:trPr>
        <w:tc>
          <w:tcPr>
            <w:tcW w:w="1620" w:type="dxa"/>
            <w:vAlign w:val="bottom"/>
            <w:tcBorders>
              <w:left w:val="single" w:sz="8" w:color="auto"/>
              <w:bottom w:val="single" w:sz="8" w:color="auto"/>
              <w:right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72,975,842</w:t>
            </w:r>
          </w:p>
        </w:tc>
        <w:tc>
          <w:tcPr>
            <w:tcW w:w="480" w:type="dxa"/>
            <w:vAlign w:val="bottom"/>
            <w:tcBorders>
              <w:bottom w:val="single" w:sz="8" w:color="auto"/>
              <w:right w:val="single" w:sz="8" w:color="auto"/>
            </w:tcBorders>
            <w:shd w:val="clear" w:color="auto" w:fill="CCEEFF"/>
          </w:tcPr>
          <w:p>
            <w:pPr>
              <w:spacing w:after="0"/>
              <w:rPr>
                <w:sz w:val="19"/>
                <w:szCs w:val="19"/>
                <w:color w:val="auto"/>
              </w:rPr>
            </w:pPr>
          </w:p>
        </w:tc>
        <w:tc>
          <w:tcPr>
            <w:tcW w:w="1580" w:type="dxa"/>
            <w:vAlign w:val="bottom"/>
            <w:tcBorders>
              <w:bottom w:val="single" w:sz="8" w:color="auto"/>
              <w:right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58,011</w:t>
            </w:r>
          </w:p>
        </w:tc>
        <w:tc>
          <w:tcPr>
            <w:tcW w:w="480" w:type="dxa"/>
            <w:vAlign w:val="bottom"/>
            <w:tcBorders>
              <w:bottom w:val="single" w:sz="8" w:color="auto"/>
              <w:right w:val="single" w:sz="8" w:color="auto"/>
            </w:tcBorders>
            <w:shd w:val="clear" w:color="auto" w:fill="CCEEFF"/>
          </w:tcPr>
          <w:p>
            <w:pPr>
              <w:spacing w:after="0"/>
              <w:rPr>
                <w:sz w:val="19"/>
                <w:szCs w:val="19"/>
                <w:color w:val="auto"/>
              </w:rPr>
            </w:pPr>
          </w:p>
        </w:tc>
        <w:tc>
          <w:tcPr>
            <w:tcW w:w="2000" w:type="dxa"/>
            <w:vAlign w:val="bottom"/>
            <w:tcBorders>
              <w:bottom w:val="single" w:sz="8" w:color="auto"/>
              <w:right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6,408,948</w:t>
            </w:r>
          </w:p>
        </w:tc>
        <w:tc>
          <w:tcPr>
            <w:tcW w:w="380" w:type="dxa"/>
            <w:vAlign w:val="bottom"/>
            <w:tcBorders>
              <w:bottom w:val="single" w:sz="8" w:color="auto"/>
              <w:right w:val="single" w:sz="8" w:color="auto"/>
            </w:tcBorders>
            <w:shd w:val="clear" w:color="auto" w:fill="CCEEFF"/>
          </w:tcPr>
          <w:p>
            <w:pPr>
              <w:spacing w:after="0"/>
              <w:rPr>
                <w:sz w:val="19"/>
                <w:szCs w:val="19"/>
                <w:color w:val="auto"/>
              </w:rPr>
            </w:pPr>
          </w:p>
        </w:tc>
        <w:tc>
          <w:tcPr>
            <w:tcW w:w="1600" w:type="dxa"/>
            <w:vAlign w:val="bottom"/>
            <w:tcBorders>
              <w:bottom w:val="single" w:sz="8" w:color="auto"/>
              <w:right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233,461</w:t>
            </w:r>
          </w:p>
        </w:tc>
        <w:tc>
          <w:tcPr>
            <w:tcW w:w="380" w:type="dxa"/>
            <w:vAlign w:val="bottom"/>
            <w:tcBorders>
              <w:bottom w:val="single" w:sz="8" w:color="auto"/>
              <w:right w:val="single" w:sz="8" w:color="auto"/>
            </w:tcBorders>
            <w:shd w:val="clear" w:color="auto" w:fill="CCEEFF"/>
          </w:tcPr>
          <w:p>
            <w:pPr>
              <w:spacing w:after="0"/>
              <w:rPr>
                <w:sz w:val="19"/>
                <w:szCs w:val="19"/>
                <w:color w:val="auto"/>
              </w:rPr>
            </w:pPr>
          </w:p>
        </w:tc>
        <w:tc>
          <w:tcPr>
            <w:tcW w:w="2720" w:type="dxa"/>
            <w:vAlign w:val="bottom"/>
            <w:tcBorders>
              <w:bottom w:val="single" w:sz="8" w:color="auto"/>
              <w:right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7,560,654</w:t>
            </w:r>
          </w:p>
        </w:tc>
      </w:tr>
      <w:tr>
        <w:trPr>
          <w:trHeight w:val="399"/>
        </w:trPr>
        <w:tc>
          <w:tcPr>
            <w:tcW w:w="16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NAVIENT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Matthew Sheldon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Matthew Sheldon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&amp;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600"/>
      </w:cols>
      <w:pgMar w:left="320" w:top="117"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2026-06-05T08:03:23Z</dcterms:created>
  <dcterms:modified xsi:type="dcterms:W3CDTF">2026-06-05T08:03:23Z</dcterms:modified>
</cp:coreProperties>
</file>