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June 29, 2026</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tbl>
      <w:tblPr>
        <w:tblW w:w="4340" w:type="dxa"/>
        <w:jc w:val="left"/>
        <w:tblInd w:w="0" w:type="dxa"/>
        <w:tblLayout w:type="fixed"/>
        <w:tblCellMar>
          <w:top w:w="0" w:type="dxa"/>
          <w:left w:w="0" w:type="dxa"/>
          <w:bottom w:w="28" w:type="dxa"/>
          <w:right w:w="0" w:type="dxa"/>
        </w:tblCellMar>
      </w:tblPr>
      <w:tblGrid>
        <w:gridCol w:w="4340"/>
      </w:tblGrid>
      <w:tr>
        <w:trPr/>
        <w:tc>
          <w:tcPr>
            <w:tcW w:w="4340" w:type="dxa"/>
            <w:tcBorders>
              <w:bottom w:val="single" w:sz="12" w:space="0" w:color="000000"/>
            </w:tcBorders>
            <w:vAlign w:val="center"/>
          </w:tcPr>
          <w:p>
            <w:pPr>
              <w:pStyle w:val="TableContents"/>
              <w:bidi w:val="0"/>
              <w:spacing w:before="0" w:after="0"/>
              <w:jc w:val="center"/>
              <w:rPr>
                <w:rFonts w:ascii="Times New Roman" w:hAnsi="Times New Roman"/>
                <w:b/>
                <w:sz w:val="48"/>
              </w:rPr>
            </w:pPr>
            <w:r>
              <w:rPr>
                <w:rFonts w:ascii="Times New Roman" w:hAnsi="Times New Roman"/>
                <w:b/>
                <w:sz w:val="48"/>
              </w:rPr>
              <w:t>Navient Corporation</w:t>
            </w:r>
          </w:p>
        </w:tc>
      </w:tr>
      <w:tr>
        <w:trPr/>
        <w:tc>
          <w:tcPr>
            <w:tcW w:w="4340" w:type="dxa"/>
            <w:tcBorders/>
            <w:tcMar>
              <w:bottom w:w="0" w:type="dxa"/>
            </w:tcMar>
            <w:vAlign w:val="center"/>
          </w:tcPr>
          <w:p>
            <w:pPr>
              <w:pStyle w:val="TableContents"/>
              <w:bidi w:val="0"/>
              <w:spacing w:before="0" w:after="0"/>
              <w:jc w:val="center"/>
              <w:rPr>
                <w:rFonts w:ascii="Times New Roman" w:hAnsi="Times New Roman"/>
                <w:color w:val="212529"/>
                <w:sz w:val="20"/>
              </w:rPr>
            </w:pPr>
            <w:r>
              <w:rPr>
                <w:rFonts w:ascii="Times New Roman" w:hAnsi="Times New Roman"/>
                <w:color w:val="212529"/>
                <w:sz w:val="20"/>
              </w:rPr>
              <w:t>(Exact name of registrant as specified in its charter)</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tbl>
      <w:tblPr>
        <w:tblW w:w="9045" w:type="dxa"/>
        <w:jc w:val="left"/>
        <w:tblInd w:w="0" w:type="dxa"/>
        <w:tblLayout w:type="fixed"/>
        <w:tblCellMar>
          <w:top w:w="0" w:type="dxa"/>
          <w:left w:w="0" w:type="dxa"/>
          <w:bottom w:w="28" w:type="dxa"/>
          <w:right w:w="0" w:type="dxa"/>
        </w:tblCellMar>
      </w:tblPr>
      <w:tblGrid>
        <w:gridCol w:w="3755"/>
        <w:gridCol w:w="60"/>
        <w:gridCol w:w="2300"/>
        <w:gridCol w:w="60"/>
        <w:gridCol w:w="2870"/>
      </w:tblGrid>
      <w:tr>
        <w:trPr/>
        <w:tc>
          <w:tcPr>
            <w:tcW w:w="3755"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001-36228</w:t>
            </w:r>
          </w:p>
        </w:tc>
        <w:tc>
          <w:tcPr>
            <w:tcW w:w="60" w:type="dxa"/>
            <w:tcBorders/>
            <w:tcMar>
              <w:bottom w:w="0" w:type="dxa"/>
            </w:tcMar>
            <w:vAlign w:val="center"/>
          </w:tcPr>
          <w:p>
            <w:pPr>
              <w:pStyle w:val="TableContents"/>
              <w:bidi w:val="0"/>
              <w:spacing w:before="0" w:after="283"/>
              <w:jc w:val="left"/>
              <w:rPr/>
            </w:pPr>
            <w:r>
              <w:rPr/>
              <w:t> </w:t>
            </w:r>
          </w:p>
        </w:tc>
        <w:tc>
          <w:tcPr>
            <w:tcW w:w="2870"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46-4054283</w:t>
            </w:r>
          </w:p>
        </w:tc>
      </w:tr>
      <w:tr>
        <w:trPr/>
        <w:tc>
          <w:tcPr>
            <w:tcW w:w="3755"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870"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(IRS Employer Identification No.)</w:t>
            </w:r>
          </w:p>
        </w:tc>
      </w:tr>
    </w:tbl>
    <w:p>
      <w:pPr>
        <w:pStyle w:val="TextBody"/>
        <w:bidi w:val="0"/>
        <w:spacing w:before="0" w:after="0"/>
        <w:jc w:val="left"/>
        <w:rPr>
          <w:sz w:val="20"/>
        </w:rPr>
      </w:pPr>
      <w:r>
        <w:rPr>
          <w:sz w:val="20"/>
        </w:rPr>
      </w:r>
    </w:p>
    <w:tbl>
      <w:tblPr>
        <w:tblW w:w="4975" w:type="dxa"/>
        <w:jc w:val="left"/>
        <w:tblInd w:w="0" w:type="dxa"/>
        <w:tblLayout w:type="fixed"/>
        <w:tblCellMar>
          <w:top w:w="0" w:type="dxa"/>
          <w:left w:w="0" w:type="dxa"/>
          <w:bottom w:w="28" w:type="dxa"/>
          <w:right w:w="0" w:type="dxa"/>
        </w:tblCellMar>
      </w:tblPr>
      <w:tblGrid>
        <w:gridCol w:w="3995"/>
        <w:gridCol w:w="60"/>
        <w:gridCol w:w="920"/>
      </w:tblGrid>
      <w:tr>
        <w:trPr/>
        <w:tc>
          <w:tcPr>
            <w:tcW w:w="3995"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13865 Sunrise Valley Drive, Herndon, Virginia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20171</w:t>
            </w:r>
          </w:p>
        </w:tc>
      </w:tr>
      <w:tr>
        <w:trPr/>
        <w:tc>
          <w:tcPr>
            <w:tcW w:w="3995" w:type="dxa"/>
            <w:tcBorders/>
            <w:tcMar>
              <w:bottom w:w="0"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Registrant’s telephone number, including area code (302) 283-8000</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Not Applicable</w:t>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(Former name or former address, if changed since last report)</w:t>
      </w:r>
    </w:p>
    <w:p>
      <w:pPr>
        <w:pStyle w:val="TextBody"/>
        <w:bidi w:val="0"/>
        <w:spacing w:before="0" w:after="0"/>
        <w:jc w:val="center"/>
        <w:rPr>
          <w:rFonts w:ascii="Times New Roman" w:hAnsi="Times New Roman"/>
          <w:b/>
          <w:color w:val="212529"/>
          <w:sz w:val="20"/>
        </w:rPr>
      </w:pPr>
      <w:r>
        <w:rPr>
          <w:rFonts w:ascii="Times New Roman" w:hAnsi="Times New Roman"/>
          <w:b/>
          <w:color w:val="212529"/>
          <w:sz w:val="20"/>
        </w:rPr>
      </w:r>
    </w:p>
    <w:p>
      <w:pPr>
        <w:pStyle w:val="HorizontalLine"/>
        <w:bidi w:val="0"/>
        <w:jc w:val="center"/>
        <w:rPr/>
      </w:pPr>
      <w:r>
        <w:rPr/>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212529"/>
              </w:rPr>
            </w:pPr>
            <w:r>
              <w:rPr>
                <w:color w:val="212529"/>
              </w:rPr>
              <w:t>☐</w:t>
            </w:r>
          </w:p>
        </w:tc>
        <w:tc>
          <w:tcPr>
            <w:tcW w:w="729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212529"/>
              </w:rPr>
            </w:pPr>
            <w:r>
              <w:rPr>
                <w:color w:val="212529"/>
              </w:rPr>
              <w:t>☐</w:t>
            </w:r>
          </w:p>
        </w:tc>
        <w:tc>
          <w:tcPr>
            <w:tcW w:w="732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212529"/>
              </w:rPr>
            </w:pPr>
            <w:r>
              <w:rPr>
                <w:color w:val="212529"/>
              </w:rPr>
              <w:t>☐</w:t>
            </w:r>
          </w:p>
        </w:tc>
        <w:tc>
          <w:tcPr>
            <w:tcW w:w="906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212529"/>
              </w:rPr>
            </w:pPr>
            <w:r>
              <w:rPr>
                <w:color w:val="212529"/>
              </w:rPr>
              <w:t>☐</w:t>
            </w:r>
          </w:p>
        </w:tc>
        <w:tc>
          <w:tcPr>
            <w:tcW w:w="900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Securities registered pursuant to Section 12(b) of the Act:</w:t>
      </w:r>
    </w:p>
    <w:p>
      <w:pPr>
        <w:pStyle w:val="TextBody"/>
        <w:bidi w:val="0"/>
        <w:spacing w:before="0" w:after="0"/>
        <w:jc w:val="left"/>
        <w:rPr>
          <w:sz w:val="20"/>
        </w:rPr>
      </w:pPr>
      <w:r>
        <w:rPr>
          <w:sz w:val="20"/>
        </w:rPr>
      </w:r>
    </w:p>
    <w:tbl>
      <w:tblPr>
        <w:tblW w:w="8580" w:type="dxa"/>
        <w:jc w:val="left"/>
        <w:tblInd w:w="-15" w:type="dxa"/>
        <w:tblLayout w:type="fixed"/>
        <w:tblCellMar>
          <w:top w:w="28" w:type="dxa"/>
          <w:left w:w="28" w:type="dxa"/>
          <w:bottom w:w="28" w:type="dxa"/>
          <w:right w:w="28" w:type="dxa"/>
        </w:tblCellMar>
      </w:tblPr>
      <w:tblGrid>
        <w:gridCol w:w="3455"/>
        <w:gridCol w:w="1535"/>
        <w:gridCol w:w="3590"/>
      </w:tblGrid>
      <w:tr>
        <w:trPr/>
        <w:tc>
          <w:tcPr>
            <w:tcW w:w="34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212529"/>
                <w:sz w:val="20"/>
              </w:rPr>
            </w:pPr>
            <w:r>
              <w:rPr>
                <w:rFonts w:ascii="Times New Roman" w:hAnsi="Times New Roman"/>
                <w:color w:val="212529"/>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212529"/>
                <w:sz w:val="20"/>
              </w:rPr>
            </w:pPr>
            <w:r>
              <w:rPr>
                <w:rFonts w:ascii="Times New Roman" w:hAnsi="Times New Roman"/>
                <w:color w:val="212529"/>
                <w:sz w:val="20"/>
              </w:rPr>
              <w:t>Trading Symbol(s)</w:t>
            </w:r>
          </w:p>
        </w:tc>
        <w:tc>
          <w:tcPr>
            <w:tcW w:w="35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212529"/>
                <w:sz w:val="20"/>
              </w:rPr>
            </w:pPr>
            <w:r>
              <w:rPr>
                <w:rFonts w:ascii="Times New Roman" w:hAnsi="Times New Roman"/>
                <w:color w:val="212529"/>
                <w:sz w:val="20"/>
              </w:rPr>
              <w:t>Name of each exchange on which registered</w:t>
            </w:r>
          </w:p>
        </w:tc>
      </w:tr>
      <w:tr>
        <w:trPr/>
        <w:tc>
          <w:tcPr>
            <w:tcW w:w="34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Common stock, par value $.01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NAVI</w:t>
            </w:r>
          </w:p>
        </w:tc>
        <w:tc>
          <w:tcPr>
            <w:tcW w:w="35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The Nasdaq Global Select Market</w:t>
            </w:r>
          </w:p>
        </w:tc>
      </w:tr>
      <w:tr>
        <w:trPr/>
        <w:tc>
          <w:tcPr>
            <w:tcW w:w="34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6% Senior Notes due December 15, 2043</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b/>
                <w:sz w:val="20"/>
              </w:rPr>
            </w:pPr>
            <w:r>
              <w:rPr>
                <w:b/>
                <w:sz w:val="20"/>
              </w:rPr>
              <w:t>JSM</w:t>
            </w:r>
          </w:p>
        </w:tc>
        <w:tc>
          <w:tcPr>
            <w:tcW w:w="35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The Nasdaq Global Select Market</w:t>
            </w:r>
          </w:p>
        </w:tc>
      </w:tr>
      <w:tr>
        <w:trPr/>
        <w:tc>
          <w:tcPr>
            <w:tcW w:w="34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Preferred Stock Purchase Rights</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None</w:t>
            </w:r>
          </w:p>
        </w:tc>
        <w:tc>
          <w:tcPr>
            <w:tcW w:w="35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The Nasdaq Global Select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color w:val="212529"/>
          <w:sz w:val="20"/>
          <w:shd w:fill="FFFFFF" w:val="clear"/>
        </w:rPr>
      </w:pPr>
      <w:r>
        <w:rPr>
          <w:rFonts w:ascii="Times New Roman" w:hAnsi="Times New Roman"/>
          <w:color w:val="212529"/>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3670" w:type="dxa"/>
        <w:jc w:val="left"/>
        <w:tblInd w:w="0" w:type="dxa"/>
        <w:tblLayout w:type="fixed"/>
        <w:tblCellMar>
          <w:top w:w="0" w:type="dxa"/>
          <w:left w:w="0" w:type="dxa"/>
          <w:bottom w:w="0" w:type="dxa"/>
          <w:right w:w="0" w:type="dxa"/>
        </w:tblCellMar>
      </w:tblPr>
      <w:tblGrid>
        <w:gridCol w:w="830"/>
        <w:gridCol w:w="2840"/>
      </w:tblGrid>
      <w:tr>
        <w:trPr/>
        <w:tc>
          <w:tcPr>
            <w:tcW w:w="830" w:type="dxa"/>
            <w:tcBorders/>
            <w:vAlign w:val="center"/>
          </w:tcPr>
          <w:p>
            <w:pPr>
              <w:pStyle w:val="TableContents"/>
              <w:bidi w:val="0"/>
              <w:spacing w:before="0" w:after="283"/>
              <w:jc w:val="left"/>
              <w:rPr>
                <w:rFonts w:ascii="Times New Roman" w:hAnsi="Times New Roman"/>
                <w:b/>
                <w:color w:val="212529"/>
                <w:sz w:val="20"/>
              </w:rPr>
            </w:pPr>
            <w:r>
              <w:rPr>
                <w:rFonts w:ascii="Times New Roman" w:hAnsi="Times New Roman"/>
                <w:b/>
                <w:color w:val="212529"/>
                <w:sz w:val="20"/>
              </w:rPr>
              <w:t>Item 1.05</w:t>
            </w:r>
          </w:p>
        </w:tc>
        <w:tc>
          <w:tcPr>
            <w:tcW w:w="2840" w:type="dxa"/>
            <w:tcBorders/>
            <w:vAlign w:val="center"/>
          </w:tcPr>
          <w:p>
            <w:pPr>
              <w:pStyle w:val="TableContents"/>
              <w:bidi w:val="0"/>
              <w:spacing w:before="0" w:after="0"/>
              <w:jc w:val="left"/>
              <w:rPr>
                <w:rFonts w:ascii="Times New Roman" w:hAnsi="Times New Roman"/>
                <w:b/>
                <w:color w:val="212529"/>
                <w:sz w:val="20"/>
              </w:rPr>
            </w:pPr>
            <w:r>
              <w:rPr>
                <w:rFonts w:ascii="Times New Roman" w:hAnsi="Times New Roman"/>
                <w:b/>
                <w:color w:val="212529"/>
                <w:sz w:val="20"/>
              </w:rPr>
              <w:t>Material Cybersecurity Incidents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June 8, 2026, the Company became aware of a cybersecurity incident involving a third</w:t>
        <w:noBreakHyphen/>
        <w:t>party law firm (the “Firm”) that provides services to the Company. The incident involved a ransomware attack affecting certain of the Firm’s information systems.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was informed by the Firm that an unauthorized actor accessed certain Company-related data maintained by the Firm as a result of the Firm’s provision of legal services to the Company. Such data includes borrower information such as customer names, date of birth, addresses and Social Security numbers. The Company promptly initiated an investigation, with the assistance of external cybersecurity experts, and is conducting notifications to affected individuals and regulators as required by applicable federal and state laws. Law enforcement has also been notified.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incident was limited to the Firm’s environment; the Company has not identified any evidence of unauthorized access to its own systems and has not experienced any disruption to its operations or customer services as a result of the incident. Notwithstanding the foregoing, the Company determined the incident to be material on June 29, 2026 in light of the volume and sensitivity of the information involved.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the date of this report, the Company does not believe the incident has had, or is reasonably likely to have, a material impact on its financial condition or results of operations.</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SIGNATURE</w:t>
      </w:r>
    </w:p>
    <w:p>
      <w:pPr>
        <w:pStyle w:val="TextBody"/>
        <w:bidi w:val="0"/>
        <w:spacing w:before="0" w:after="0"/>
        <w:jc w:val="center"/>
        <w:rPr>
          <w:sz w:val="20"/>
        </w:rPr>
      </w:pPr>
      <w:r>
        <w:rPr>
          <w:sz w:val="20"/>
        </w:rPr>
      </w:r>
    </w:p>
    <w:p>
      <w:pPr>
        <w:pStyle w:val="TextBody"/>
        <w:bidi w:val="0"/>
        <w:spacing w:before="0" w:after="0"/>
        <w:ind w:left="0" w:right="0" w:firstLine="675"/>
        <w:jc w:val="left"/>
        <w:rPr>
          <w:rFonts w:ascii="Times New Roman" w:hAnsi="Times New Roman"/>
          <w:color w:val="212529"/>
          <w:sz w:val="20"/>
          <w:shd w:fill="FFFFFF" w:val="clear"/>
        </w:rPr>
      </w:pPr>
      <w:r>
        <w:rPr>
          <w:rFonts w:ascii="Times New Roman" w:hAnsi="Times New Roman"/>
          <w:color w:val="212529"/>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5399" w:type="dxa"/>
        <w:jc w:val="left"/>
        <w:tblInd w:w="0" w:type="dxa"/>
        <w:tblLayout w:type="fixed"/>
        <w:tblCellMar>
          <w:top w:w="0" w:type="dxa"/>
          <w:left w:w="0" w:type="dxa"/>
          <w:bottom w:w="0" w:type="dxa"/>
          <w:right w:w="0" w:type="dxa"/>
        </w:tblCellMar>
      </w:tblPr>
      <w:tblGrid>
        <w:gridCol w:w="1505"/>
        <w:gridCol w:w="545"/>
        <w:gridCol w:w="3235"/>
        <w:gridCol w:w="114"/>
      </w:tblGrid>
      <w:tr>
        <w:trPr/>
        <w:tc>
          <w:tcPr>
            <w:tcW w:w="1505" w:type="dxa"/>
            <w:tcBorders/>
            <w:vAlign w:val="center"/>
          </w:tcPr>
          <w:p>
            <w:pPr>
              <w:pStyle w:val="TableContents"/>
              <w:bidi w:val="0"/>
              <w:spacing w:before="0" w:after="283"/>
              <w:jc w:val="left"/>
              <w:rPr/>
            </w:pPr>
            <w:r>
              <w:rPr/>
              <w:t> </w:t>
            </w:r>
          </w:p>
        </w:tc>
        <w:tc>
          <w:tcPr>
            <w:tcW w:w="3894" w:type="dxa"/>
            <w:gridSpan w:val="3"/>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NAVIENT CORPORATION</w:t>
            </w:r>
          </w:p>
        </w:tc>
      </w:tr>
      <w:tr>
        <w:trPr/>
        <w:tc>
          <w:tcPr>
            <w:tcW w:w="15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By:</w:t>
            </w:r>
          </w:p>
        </w:tc>
        <w:tc>
          <w:tcPr>
            <w:tcW w:w="323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/s/ Matthew Sheldon</w:t>
            </w:r>
          </w:p>
        </w:tc>
        <w:tc>
          <w:tcPr>
            <w:tcW w:w="114"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Name:</w:t>
            </w:r>
          </w:p>
        </w:tc>
        <w:tc>
          <w:tcPr>
            <w:tcW w:w="3349" w:type="dxa"/>
            <w:gridSpan w:val="2"/>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Matthew Sheldon</w:t>
            </w:r>
          </w:p>
        </w:tc>
      </w:tr>
      <w:tr>
        <w:trPr/>
        <w:tc>
          <w:tcPr>
            <w:tcW w:w="15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Title:</w:t>
            </w:r>
          </w:p>
        </w:tc>
        <w:tc>
          <w:tcPr>
            <w:tcW w:w="3349" w:type="dxa"/>
            <w:gridSpan w:val="2"/>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Senior Vice President &amp; General Counsel</w:t>
            </w:r>
          </w:p>
        </w:tc>
      </w:tr>
      <w:tr>
        <w:trPr/>
        <w:tc>
          <w:tcPr>
            <w:tcW w:w="15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Date: July 2, 2026</w:t>
            </w:r>
          </w:p>
        </w:tc>
        <w:tc>
          <w:tcPr>
            <w:tcW w:w="54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212529"/>
        </w:rPr>
      </w:pPr>
      <w:r>
        <w:rPr>
          <w:rFonts w:ascii="Times New Roman" w:hAnsi="Times New Roman"/>
          <w:color w:val="212529"/>
        </w:rPr>
      </w:r>
    </w:p>
    <w:p>
      <w:pPr>
        <w:pStyle w:val="TextBody"/>
        <w:bidi w:val="0"/>
        <w:spacing w:before="0" w:after="0"/>
        <w:jc w:val="left"/>
        <w:rPr/>
      </w:pPr>
      <w:r>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608</Words>
  <Characters>3347</Characters>
  <CharactersWithSpaces>3915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