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157480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191770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201930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229870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January 21,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217170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Navient Corporation</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3980" w:type="dxa"/>
            <w:vAlign w:val="bottom"/>
          </w:tcPr>
          <w:p>
            <w:pPr>
              <w:jc w:val="center"/>
              <w:ind w:right="2261"/>
              <w:spacing w:after="0"/>
              <w:rPr>
                <w:sz w:val="20"/>
                <w:szCs w:val="20"/>
                <w:color w:val="auto"/>
              </w:rPr>
            </w:pPr>
            <w:r>
              <w:rPr>
                <w:rFonts w:ascii="Arial" w:cs="Arial" w:eastAsia="Arial" w:hAnsi="Arial"/>
                <w:sz w:val="18"/>
                <w:szCs w:val="18"/>
                <w:b w:val="1"/>
                <w:bCs w:val="1"/>
                <w:color w:val="auto"/>
                <w:w w:val="91"/>
              </w:rPr>
              <w:t>Delaware</w:t>
            </w:r>
          </w:p>
        </w:tc>
        <w:tc>
          <w:tcPr>
            <w:tcW w:w="2320" w:type="dxa"/>
            <w:vAlign w:val="bottom"/>
          </w:tcPr>
          <w:p>
            <w:pPr>
              <w:ind w:left="180"/>
              <w:spacing w:after="0"/>
              <w:rPr>
                <w:sz w:val="20"/>
                <w:szCs w:val="20"/>
                <w:color w:val="auto"/>
              </w:rPr>
            </w:pPr>
            <w:r>
              <w:rPr>
                <w:rFonts w:ascii="Arial" w:cs="Arial" w:eastAsia="Arial" w:hAnsi="Arial"/>
                <w:sz w:val="18"/>
                <w:szCs w:val="18"/>
                <w:b w:val="1"/>
                <w:bCs w:val="1"/>
                <w:color w:val="auto"/>
              </w:rPr>
              <w:t>001-36228</w:t>
            </w:r>
          </w:p>
        </w:tc>
        <w:tc>
          <w:tcPr>
            <w:tcW w:w="2480" w:type="dxa"/>
            <w:vAlign w:val="bottom"/>
          </w:tcPr>
          <w:p>
            <w:pPr>
              <w:jc w:val="right"/>
              <w:ind w:right="41"/>
              <w:spacing w:after="0"/>
              <w:rPr>
                <w:sz w:val="20"/>
                <w:szCs w:val="20"/>
                <w:color w:val="auto"/>
              </w:rPr>
            </w:pPr>
            <w:r>
              <w:rPr>
                <w:rFonts w:ascii="Arial" w:cs="Arial" w:eastAsia="Arial" w:hAnsi="Arial"/>
                <w:sz w:val="18"/>
                <w:szCs w:val="18"/>
                <w:b w:val="1"/>
                <w:bCs w:val="1"/>
                <w:color w:val="auto"/>
              </w:rPr>
              <w:t>46-4054283</w:t>
            </w:r>
          </w:p>
        </w:tc>
      </w:tr>
      <w:tr>
        <w:trPr>
          <w:trHeight w:val="149"/>
        </w:trPr>
        <w:tc>
          <w:tcPr>
            <w:tcW w:w="3980" w:type="dxa"/>
            <w:vAlign w:val="bottom"/>
          </w:tcPr>
          <w:p>
            <w:pPr>
              <w:jc w:val="center"/>
              <w:ind w:right="226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2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80" w:type="dxa"/>
            <w:vAlign w:val="bottom"/>
          </w:tcPr>
          <w:p>
            <w:pPr>
              <w:jc w:val="center"/>
              <w:ind w:right="2261"/>
              <w:spacing w:after="0"/>
              <w:rPr>
                <w:sz w:val="20"/>
                <w:szCs w:val="20"/>
                <w:color w:val="auto"/>
              </w:rPr>
            </w:pPr>
            <w:r>
              <w:rPr>
                <w:rFonts w:ascii="Arial" w:cs="Arial" w:eastAsia="Arial" w:hAnsi="Arial"/>
                <w:sz w:val="14"/>
                <w:szCs w:val="14"/>
                <w:b w:val="1"/>
                <w:bCs w:val="1"/>
                <w:color w:val="auto"/>
                <w:w w:val="92"/>
              </w:rPr>
              <w:t>of incorporation)</w:t>
            </w:r>
          </w:p>
        </w:tc>
        <w:tc>
          <w:tcPr>
            <w:tcW w:w="2320" w:type="dxa"/>
            <w:vAlign w:val="bottom"/>
          </w:tcPr>
          <w:p>
            <w:pPr>
              <w:ind w:left="14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281"/>
              <w:spacing w:after="0"/>
              <w:rPr>
                <w:sz w:val="20"/>
                <w:szCs w:val="20"/>
                <w:color w:val="auto"/>
              </w:rPr>
            </w:pPr>
            <w:r>
              <w:rPr>
                <w:rFonts w:ascii="Arial" w:cs="Arial" w:eastAsia="Arial" w:hAnsi="Arial"/>
                <w:sz w:val="14"/>
                <w:szCs w:val="14"/>
                <w:b w:val="1"/>
                <w:bCs w:val="1"/>
                <w:color w:val="auto"/>
                <w:w w:val="94"/>
              </w:rPr>
              <w:t>Identification No.)</w:t>
            </w:r>
          </w:p>
        </w:tc>
      </w:tr>
      <w:tr>
        <w:trPr>
          <w:trHeight w:val="394"/>
        </w:trPr>
        <w:tc>
          <w:tcPr>
            <w:tcW w:w="6300" w:type="dxa"/>
            <w:vAlign w:val="bottom"/>
            <w:gridSpan w:val="2"/>
          </w:tcPr>
          <w:p>
            <w:pPr>
              <w:jc w:val="center"/>
              <w:ind w:right="902"/>
              <w:spacing w:after="0"/>
              <w:rPr>
                <w:sz w:val="20"/>
                <w:szCs w:val="20"/>
                <w:color w:val="auto"/>
              </w:rPr>
            </w:pPr>
            <w:r>
              <w:rPr>
                <w:rFonts w:ascii="Arial" w:cs="Arial" w:eastAsia="Arial" w:hAnsi="Arial"/>
                <w:sz w:val="18"/>
                <w:szCs w:val="18"/>
                <w:b w:val="1"/>
                <w:bCs w:val="1"/>
                <w:color w:val="auto"/>
                <w:w w:val="90"/>
              </w:rPr>
              <w:t>123 Justison Street, Wilmington, Delaware</w:t>
            </w:r>
          </w:p>
        </w:tc>
        <w:tc>
          <w:tcPr>
            <w:tcW w:w="2480" w:type="dxa"/>
            <w:vAlign w:val="bottom"/>
          </w:tcPr>
          <w:p>
            <w:pPr>
              <w:jc w:val="right"/>
              <w:ind w:right="261"/>
              <w:spacing w:after="0"/>
              <w:rPr>
                <w:sz w:val="20"/>
                <w:szCs w:val="20"/>
                <w:color w:val="auto"/>
              </w:rPr>
            </w:pPr>
            <w:r>
              <w:rPr>
                <w:rFonts w:ascii="Arial" w:cs="Arial" w:eastAsia="Arial" w:hAnsi="Arial"/>
                <w:sz w:val="18"/>
                <w:szCs w:val="18"/>
                <w:b w:val="1"/>
                <w:bCs w:val="1"/>
                <w:color w:val="auto"/>
              </w:rPr>
              <w:t>19801</w:t>
            </w:r>
          </w:p>
        </w:tc>
      </w:tr>
      <w:tr>
        <w:trPr>
          <w:trHeight w:val="186"/>
        </w:trPr>
        <w:tc>
          <w:tcPr>
            <w:tcW w:w="3980" w:type="dxa"/>
            <w:vAlign w:val="bottom"/>
          </w:tcPr>
          <w:p>
            <w:pPr>
              <w:jc w:val="center"/>
              <w:ind w:left="124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20" w:type="dxa"/>
            <w:vAlign w:val="bottom"/>
          </w:tcPr>
          <w:p>
            <w:pPr>
              <w:spacing w:after="0"/>
              <w:rPr>
                <w:sz w:val="16"/>
                <w:szCs w:val="16"/>
                <w:color w:val="auto"/>
              </w:rPr>
            </w:pPr>
          </w:p>
        </w:tc>
        <w:tc>
          <w:tcPr>
            <w:tcW w:w="2480" w:type="dxa"/>
            <w:vAlign w:val="bottom"/>
          </w:tcPr>
          <w:p>
            <w:pPr>
              <w:jc w:val="center"/>
              <w:ind w:left="12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(302) 283-8000</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201930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100" w:type="dxa"/>
            <w:vAlign w:val="bottom"/>
          </w:tcPr>
          <w:p>
            <w:pPr>
              <w:spacing w:after="0"/>
              <w:rPr>
                <w:sz w:val="14"/>
                <w:szCs w:val="1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91"/>
        </w:trPr>
        <w:tc>
          <w:tcPr>
            <w:tcW w:w="37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Common stock, par value $.01 per share</w:t>
            </w:r>
          </w:p>
        </w:tc>
        <w:tc>
          <w:tcPr>
            <w:tcW w:w="60" w:type="dxa"/>
            <w:vAlign w:val="bottom"/>
          </w:tcPr>
          <w:p>
            <w:pPr>
              <w:spacing w:after="0"/>
              <w:rPr>
                <w:sz w:val="16"/>
                <w:szCs w:val="16"/>
                <w:color w:val="auto"/>
              </w:rPr>
            </w:pPr>
          </w:p>
        </w:tc>
        <w:tc>
          <w:tcPr>
            <w:tcW w:w="36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rPr>
              <w:t>NAVI</w:t>
            </w:r>
          </w:p>
        </w:tc>
        <w:tc>
          <w:tcPr>
            <w:tcW w:w="100" w:type="dxa"/>
            <w:vAlign w:val="bottom"/>
          </w:tcPr>
          <w:p>
            <w:pPr>
              <w:spacing w:after="0"/>
              <w:rPr>
                <w:sz w:val="16"/>
                <w:szCs w:val="16"/>
                <w:color w:val="auto"/>
              </w:rPr>
            </w:pPr>
          </w:p>
        </w:tc>
        <w:tc>
          <w:tcPr>
            <w:tcW w:w="35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The NASDAQ Global Select Market</w:t>
            </w:r>
          </w:p>
        </w:tc>
        <w:tc>
          <w:tcPr>
            <w:tcW w:w="0" w:type="dxa"/>
            <w:vAlign w:val="bottom"/>
          </w:tcPr>
          <w:p>
            <w:pPr>
              <w:spacing w:after="0"/>
              <w:rPr>
                <w:sz w:val="1"/>
                <w:szCs w:val="1"/>
                <w:color w:val="auto"/>
              </w:rPr>
            </w:pPr>
          </w:p>
        </w:tc>
      </w:tr>
      <w:tr>
        <w:trPr>
          <w:trHeight w:val="234"/>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0"/>
              </w:rPr>
              <w:t>6% Senior Notes due December 15, 2043</w:t>
            </w:r>
          </w:p>
        </w:tc>
        <w:tc>
          <w:tcPr>
            <w:tcW w:w="6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7"/>
              </w:rPr>
              <w:t>JSM</w:t>
            </w: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Global Select Market</w:t>
            </w:r>
          </w:p>
        </w:tc>
        <w:tc>
          <w:tcPr>
            <w:tcW w:w="0" w:type="dxa"/>
            <w:vAlign w:val="bottom"/>
          </w:tcPr>
          <w:p>
            <w:pPr>
              <w:spacing w:after="0"/>
              <w:rPr>
                <w:sz w:val="1"/>
                <w:szCs w:val="1"/>
                <w:color w:val="auto"/>
              </w:rPr>
            </w:pPr>
          </w:p>
        </w:tc>
      </w:tr>
      <w:tr>
        <w:trPr>
          <w:trHeight w:val="216"/>
        </w:trPr>
        <w:tc>
          <w:tcPr>
            <w:tcW w:w="37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3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341" w:right="419" w:bottom="1440" w:gutter="0" w:footer="0" w:header="0"/>
        </w:sectPr>
      </w:pPr>
    </w:p>
    <w:bookmarkStart w:id="1" w:name="page2"/>
    <w:bookmarkEnd w:id="1"/>
    <w:p>
      <w:pPr>
        <w:spacing w:after="0"/>
        <w:tabs>
          <w:tab w:leader="none" w:pos="13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55880"/>
                    </a:xfrm>
                    <a:prstGeom prst="rect">
                      <a:avLst/>
                    </a:prstGeom>
                    <a:noFill/>
                  </pic:spPr>
                </pic:pic>
              </a:graphicData>
            </a:graphic>
          </wp:anchor>
        </w:drawing>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121"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On January 21, 2020, Navient Corporation (the “Company”) issued an informational press release announcing its financial results for the quarter ended December 31, 2019 were available on the “Investor” page of its website located at https://www.navient.com/about/investors/. Additionally, on January 21, 2020, the Company posted its financial results for the quarter ended December 31, 2019 to its above-referenced web location. A copy of each press release is furnished as Exhibit 99.1 and Exhibit 99.2 hereto.</w:t>
      </w:r>
    </w:p>
    <w:p>
      <w:pPr>
        <w:spacing w:after="0" w:line="27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21" w:lineRule="exact"/>
        <w:rPr>
          <w:sz w:val="20"/>
          <w:szCs w:val="20"/>
          <w:color w:val="auto"/>
        </w:rPr>
      </w:pPr>
    </w:p>
    <w:p>
      <w:pPr>
        <w:ind w:left="860" w:hanging="424"/>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3"/>
          </w:tcPr>
          <w:p>
            <w:pPr>
              <w:ind w:left="20"/>
              <w:spacing w:after="0"/>
              <w:rPr>
                <w:sz w:val="20"/>
                <w:szCs w:val="20"/>
                <w:color w:val="auto"/>
              </w:rPr>
            </w:pPr>
            <w:r>
              <w:rPr>
                <w:rFonts w:ascii="Arial" w:cs="Arial" w:eastAsia="Arial" w:hAnsi="Arial"/>
                <w:sz w:val="14"/>
                <w:szCs w:val="14"/>
                <w:color w:val="auto"/>
              </w:rPr>
              <w:t>Exhibit</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1080" w:type="dxa"/>
            <w:vAlign w:val="bottom"/>
            <w:gridSpan w:val="3"/>
          </w:tcPr>
          <w:p>
            <w:pPr>
              <w:jc w:val="center"/>
              <w:ind w:right="600"/>
              <w:spacing w:after="0"/>
              <w:rPr>
                <w:sz w:val="20"/>
                <w:szCs w:val="20"/>
                <w:color w:val="auto"/>
              </w:rPr>
            </w:pPr>
            <w:r>
              <w:rPr>
                <w:rFonts w:ascii="Arial" w:cs="Arial" w:eastAsia="Arial" w:hAnsi="Arial"/>
                <w:sz w:val="14"/>
                <w:szCs w:val="14"/>
                <w:color w:val="auto"/>
                <w:w w:val="96"/>
              </w:rPr>
              <w:t>Number</w:t>
            </w:r>
          </w:p>
        </w:tc>
        <w:tc>
          <w:tcPr>
            <w:tcW w:w="3500" w:type="dxa"/>
            <w:vAlign w:val="bottom"/>
            <w:gridSpan w:val="4"/>
          </w:tcPr>
          <w:p>
            <w:pPr>
              <w:spacing w:after="0"/>
              <w:rPr>
                <w:sz w:val="20"/>
                <w:szCs w:val="20"/>
                <w:color w:val="auto"/>
              </w:rPr>
            </w:pPr>
            <w:r>
              <w:rPr>
                <w:rFonts w:ascii="Arial" w:cs="Arial" w:eastAsia="Arial" w:hAnsi="Arial"/>
                <w:sz w:val="14"/>
                <w:szCs w:val="14"/>
                <w:color w:val="auto"/>
              </w:rPr>
              <w:t>Description</w:t>
            </w: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5"/>
              </w:rPr>
              <w:t>99.1*</w:t>
            </w:r>
          </w:p>
        </w:tc>
        <w:tc>
          <w:tcPr>
            <w:tcW w:w="620" w:type="dxa"/>
            <w:vAlign w:val="bottom"/>
          </w:tcPr>
          <w:p>
            <w:pPr>
              <w:spacing w:after="0"/>
              <w:rPr>
                <w:sz w:val="24"/>
                <w:szCs w:val="24"/>
                <w:color w:val="auto"/>
              </w:rPr>
            </w:pPr>
          </w:p>
        </w:tc>
        <w:tc>
          <w:tcPr>
            <w:tcW w:w="280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Press Release, dated January 21, 2020.</w:t>
              </w:r>
            </w:hyperlink>
          </w:p>
        </w:tc>
        <w:tc>
          <w:tcPr>
            <w:tcW w:w="700" w:type="dxa"/>
            <w:vAlign w:val="bottom"/>
          </w:tcPr>
          <w:p>
            <w:pPr>
              <w:spacing w:after="0"/>
              <w:rPr>
                <w:sz w:val="24"/>
                <w:szCs w:val="24"/>
                <w:color w:val="auto"/>
              </w:rPr>
            </w:pPr>
          </w:p>
        </w:tc>
      </w:tr>
      <w:tr>
        <w:trPr>
          <w:trHeight w:val="30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5"/>
              </w:rPr>
              <w:t>99.2*</w:t>
            </w:r>
          </w:p>
        </w:tc>
        <w:tc>
          <w:tcPr>
            <w:tcW w:w="620" w:type="dxa"/>
            <w:vAlign w:val="bottom"/>
          </w:tcPr>
          <w:p>
            <w:pPr>
              <w:spacing w:after="0"/>
              <w:rPr>
                <w:sz w:val="24"/>
                <w:szCs w:val="24"/>
                <w:color w:val="auto"/>
              </w:rPr>
            </w:pPr>
          </w:p>
        </w:tc>
        <w:tc>
          <w:tcPr>
            <w:tcW w:w="35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Financial Press Release, dated January 21, 2020.</w:t>
              </w:r>
            </w:hyperlink>
          </w:p>
        </w:tc>
      </w:tr>
    </w:tbl>
    <w:p>
      <w:pPr>
        <w:spacing w:after="0" w:line="121" w:lineRule="exact"/>
        <w:rPr>
          <w:sz w:val="20"/>
          <w:szCs w:val="20"/>
          <w:color w:val="auto"/>
        </w:rPr>
      </w:pPr>
    </w:p>
    <w:p>
      <w:pPr>
        <w:ind w:right="3960" w:firstLine="58"/>
        <w:spacing w:after="0" w:line="481" w:lineRule="auto"/>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289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860"/>
          </w:cols>
          <w:pgMar w:left="440" w:top="297" w:right="59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55880"/>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NAVIENT CORPORATION</w:t>
      </w:r>
    </w:p>
    <w:p>
      <w:pPr>
        <w:spacing w:after="0" w:line="229" w:lineRule="exact"/>
        <w:rPr>
          <w:sz w:val="20"/>
          <w:szCs w:val="20"/>
          <w:color w:val="auto"/>
        </w:rPr>
      </w:pPr>
    </w:p>
    <w:p>
      <w:pPr>
        <w:spacing w:after="0"/>
        <w:tabs>
          <w:tab w:leader="none" w:pos="5720" w:val="left"/>
          <w:tab w:leader="none" w:pos="6160" w:val="left"/>
        </w:tabs>
        <w:rPr>
          <w:sz w:val="20"/>
          <w:szCs w:val="20"/>
          <w:color w:val="auto"/>
        </w:rPr>
      </w:pPr>
      <w:r>
        <w:rPr>
          <w:rFonts w:ascii="Arial" w:cs="Arial" w:eastAsia="Arial" w:hAnsi="Arial"/>
          <w:sz w:val="18"/>
          <w:szCs w:val="18"/>
          <w:color w:val="auto"/>
        </w:rPr>
        <w:t>Date: January 21,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Christian M. Lown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Christian M. Lown</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720"/>
          </w:cols>
          <w:pgMar w:left="440" w:top="297" w:right="7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1792605" cy="3003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9260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NEWS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Navient posts fourth-quarter and full-year 2019 financial results</w:t>
      </w:r>
    </w:p>
    <w:p>
      <w:pPr>
        <w:spacing w:after="0" w:line="225" w:lineRule="exact"/>
        <w:rPr>
          <w:sz w:val="20"/>
          <w:szCs w:val="20"/>
          <w:color w:val="auto"/>
        </w:rPr>
      </w:pPr>
    </w:p>
    <w:p>
      <w:pPr>
        <w:ind w:right="420"/>
        <w:spacing w:after="0" w:line="289" w:lineRule="auto"/>
        <w:rPr>
          <w:sz w:val="20"/>
          <w:szCs w:val="20"/>
          <w:color w:val="auto"/>
        </w:rPr>
      </w:pPr>
      <w:r>
        <w:rPr>
          <w:rFonts w:ascii="Arial" w:cs="Arial" w:eastAsia="Arial" w:hAnsi="Arial"/>
          <w:sz w:val="17"/>
          <w:szCs w:val="17"/>
          <w:b w:val="1"/>
          <w:bCs w:val="1"/>
          <w:color w:val="auto"/>
        </w:rPr>
        <w:t>WILMINGTON, Del., Jan. 21, 2020</w:t>
      </w:r>
      <w:r>
        <w:rPr>
          <w:rFonts w:ascii="Arial" w:cs="Arial" w:eastAsia="Arial" w:hAnsi="Arial"/>
          <w:sz w:val="17"/>
          <w:szCs w:val="17"/>
          <w:color w:val="auto"/>
        </w:rPr>
        <w:t>—Navient (Nasdaq: NAVI), a leader in education loan management and business processing solutions, today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posted its 2019 fourth-quarter and full-year financial results. The complete financial results release is available on the company’s website at </w:t>
      </w:r>
      <w:r>
        <w:rPr>
          <w:rFonts w:ascii="Arial" w:cs="Arial" w:eastAsia="Arial" w:hAnsi="Arial"/>
          <w:sz w:val="17"/>
          <w:szCs w:val="17"/>
          <w:u w:val="single" w:color="auto"/>
          <w:color w:val="auto"/>
        </w:rPr>
        <w:t>Navient.com/investors.</w:t>
      </w:r>
      <w:r>
        <w:rPr>
          <w:rFonts w:ascii="Arial" w:cs="Arial" w:eastAsia="Arial" w:hAnsi="Arial"/>
          <w:sz w:val="17"/>
          <w:szCs w:val="17"/>
          <w:color w:val="auto"/>
        </w:rPr>
        <w:t xml:space="preserve"> The results will also be available on Form 8-K on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Navient will hold a conference call tomorrow, Jan. 22, 2020 at 8 a.m. ET, hosted by Jack Remondi, president and CEO, and Chris Lown, CFO.</w:t>
      </w:r>
    </w:p>
    <w:p>
      <w:pPr>
        <w:spacing w:after="0" w:line="23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 xml:space="preserve">To access the conference call, dial 855-838-4156 (USA and Canada) or 267-751-3600 (international) and use access code 5498068 starting at 7:45 a.m. ET. The live audio webcast will be available on </w:t>
      </w:r>
      <w:r>
        <w:rPr>
          <w:rFonts w:ascii="Arial" w:cs="Arial" w:eastAsia="Arial" w:hAnsi="Arial"/>
          <w:sz w:val="18"/>
          <w:szCs w:val="18"/>
          <w:u w:val="single" w:color="auto"/>
          <w:color w:val="auto"/>
        </w:rPr>
        <w:t>Navient.com/investors</w:t>
      </w:r>
      <w:r>
        <w:rPr>
          <w:rFonts w:ascii="Arial" w:cs="Arial" w:eastAsia="Arial" w:hAnsi="Arial"/>
          <w:sz w:val="18"/>
          <w:szCs w:val="18"/>
          <w:color w:val="auto"/>
        </w:rPr>
        <w:t>. Supplemental financial information and presentation slides used during the call will be available on the company’s website no later than the call’s start time.</w:t>
      </w:r>
    </w:p>
    <w:p>
      <w:pPr>
        <w:spacing w:after="0" w:line="181"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A replay may be accessed approximately two hours after the call through Feb. 5, 2020 at 855-859-2056 (USA and Canada) or 404-537-3406 (international), with access code 5498068.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Navient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Navient (Nasdaq: NAVI) is a leader in education loan management and business processing solutions for education, healthcare and government clients at the federal, state and local levels. The company helps its clients and millions of Americans achieve financial success through services and support. Headquartered in Wilmington, Delaware, Navient also employs team members in western New York, northeastern Pennsylvania, Indiana, Tennessee, Texas, Virginia, Wisconsin and other locations. Learn more at Navient.com.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Media: Paul Hartwick, 302-283-4026, paul.hartwick@navient.com</w:t>
      </w:r>
    </w:p>
    <w:p>
      <w:pPr>
        <w:spacing w:after="0" w:line="23" w:lineRule="exact"/>
        <w:rPr>
          <w:sz w:val="20"/>
          <w:szCs w:val="20"/>
          <w:color w:val="auto"/>
        </w:rPr>
      </w:pPr>
    </w:p>
    <w:p>
      <w:pPr>
        <w:ind w:right="4140"/>
        <w:spacing w:after="0" w:line="261" w:lineRule="auto"/>
        <w:rPr>
          <w:sz w:val="20"/>
          <w:szCs w:val="20"/>
          <w:color w:val="auto"/>
        </w:rPr>
      </w:pPr>
      <w:r>
        <w:rPr>
          <w:rFonts w:ascii="Arial" w:cs="Arial" w:eastAsia="Arial" w:hAnsi="Arial"/>
          <w:sz w:val="18"/>
          <w:szCs w:val="18"/>
          <w:color w:val="auto"/>
        </w:rPr>
        <w:t>Investors: Joe Fisher, 302-283-4075, joe.fisher@navient.com, Nathan Rutledge, 703-984-6801, nathan.rutledge@navient.com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020"/>
          </w:cols>
          <w:pgMar w:left="440" w:top="121" w:right="439" w:bottom="1440" w:gutter="0" w:footer="0" w:header="0"/>
        </w:sectPr>
      </w:pPr>
    </w:p>
    <w:bookmarkStart w:id="4" w:name="page5"/>
    <w:bookmarkEnd w:id="4"/>
    <w:p>
      <w:pPr>
        <w:ind w:left="10020"/>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165735</wp:posOffset>
            </wp:positionV>
            <wp:extent cx="1826895"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308610"/>
                    </a:xfrm>
                    <a:prstGeom prst="rect">
                      <a:avLst/>
                    </a:prstGeom>
                    <a:noFill/>
                  </pic:spPr>
                </pic:pic>
              </a:graphicData>
            </a:graphic>
          </wp:anchor>
        </w:drawing>
      </w:r>
    </w:p>
    <w:p>
      <w:pPr>
        <w:spacing w:after="0" w:line="254" w:lineRule="exact"/>
        <w:rPr>
          <w:sz w:val="20"/>
          <w:szCs w:val="20"/>
          <w:color w:val="auto"/>
        </w:rPr>
      </w:pPr>
    </w:p>
    <w:p>
      <w:pPr>
        <w:jc w:val="right"/>
        <w:ind w:right="300"/>
        <w:spacing w:after="0"/>
        <w:rPr>
          <w:sz w:val="20"/>
          <w:szCs w:val="20"/>
          <w:color w:val="auto"/>
        </w:rPr>
      </w:pPr>
      <w:r>
        <w:rPr>
          <w:rFonts w:ascii="Arial" w:cs="Arial" w:eastAsia="Arial" w:hAnsi="Arial"/>
          <w:sz w:val="20"/>
          <w:szCs w:val="20"/>
          <w:b w:val="1"/>
          <w:bCs w:val="1"/>
          <w:color w:val="482366"/>
        </w:rPr>
        <w:t>NAVIENT REPORTS FOURTH-QUARTER</w:t>
      </w:r>
    </w:p>
    <w:p>
      <w:pPr>
        <w:spacing w:after="0" w:line="10" w:lineRule="exact"/>
        <w:rPr>
          <w:sz w:val="20"/>
          <w:szCs w:val="20"/>
          <w:color w:val="auto"/>
        </w:rPr>
      </w:pPr>
    </w:p>
    <w:p>
      <w:pPr>
        <w:jc w:val="right"/>
        <w:ind w:right="240"/>
        <w:spacing w:after="0"/>
        <w:rPr>
          <w:sz w:val="20"/>
          <w:szCs w:val="20"/>
          <w:color w:val="auto"/>
        </w:rPr>
      </w:pPr>
      <w:r>
        <w:rPr>
          <w:rFonts w:ascii="Arial" w:cs="Arial" w:eastAsia="Arial" w:hAnsi="Arial"/>
          <w:sz w:val="20"/>
          <w:szCs w:val="20"/>
          <w:b w:val="1"/>
          <w:bCs w:val="1"/>
          <w:color w:val="482366"/>
        </w:rPr>
        <w:t>2019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03199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1990" cy="6858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WILMINGTON, Del., January 21, 2020 </w:t>
      </w:r>
      <w:r>
        <w:rPr>
          <w:rFonts w:ascii="Arial" w:cs="Arial" w:eastAsia="Arial" w:hAnsi="Arial"/>
          <w:sz w:val="18"/>
          <w:szCs w:val="18"/>
          <w:color w:val="auto"/>
        </w:rPr>
        <w:t>— Navient (Nasdaq: NAVI) today released its fourth-quarter 2019 financial results.</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1360" w:type="dxa"/>
            <w:vAlign w:val="bottom"/>
            <w:shd w:val="clear" w:color="auto" w:fill="D9CFE3"/>
          </w:tcPr>
          <w:p>
            <w:pPr>
              <w:ind w:left="80"/>
              <w:spacing w:after="0"/>
              <w:rPr>
                <w:sz w:val="20"/>
                <w:szCs w:val="20"/>
                <w:color w:val="auto"/>
              </w:rPr>
            </w:pPr>
            <w:r>
              <w:rPr>
                <w:rFonts w:ascii="Arial" w:cs="Arial" w:eastAsia="Arial" w:hAnsi="Arial"/>
                <w:sz w:val="18"/>
                <w:szCs w:val="18"/>
                <w:b w:val="1"/>
                <w:bCs w:val="1"/>
                <w:color w:val="auto"/>
              </w:rPr>
              <w:t>FOURTH</w:t>
            </w:r>
          </w:p>
        </w:tc>
        <w:tc>
          <w:tcPr>
            <w:tcW w:w="9660" w:type="dxa"/>
            <w:vAlign w:val="bottom"/>
            <w:shd w:val="clear" w:color="auto" w:fill="D9CFE3"/>
          </w:tcPr>
          <w:p>
            <w:pPr>
              <w:ind w:left="280"/>
              <w:spacing w:after="0"/>
              <w:rPr>
                <w:sz w:val="20"/>
                <w:szCs w:val="20"/>
                <w:color w:val="auto"/>
              </w:rPr>
            </w:pPr>
            <w:r>
              <w:rPr>
                <w:rFonts w:ascii="Arial" w:cs="Arial" w:eastAsia="Arial" w:hAnsi="Arial"/>
                <w:sz w:val="18"/>
                <w:szCs w:val="18"/>
                <w:color w:val="auto"/>
              </w:rPr>
              <w:t>•   GAAP net income of $171 million ($0.78 diluted earnings per share) compared to $72 million ($0.28 diluted</w:t>
            </w:r>
          </w:p>
        </w:tc>
        <w:tc>
          <w:tcPr>
            <w:tcW w:w="0" w:type="dxa"/>
            <w:vAlign w:val="bottom"/>
          </w:tcPr>
          <w:p>
            <w:pPr>
              <w:spacing w:after="0"/>
              <w:rPr>
                <w:sz w:val="1"/>
                <w:szCs w:val="1"/>
                <w:color w:val="auto"/>
              </w:rPr>
            </w:pPr>
          </w:p>
        </w:tc>
      </w:tr>
      <w:tr>
        <w:trPr>
          <w:trHeight w:val="203"/>
        </w:trPr>
        <w:tc>
          <w:tcPr>
            <w:tcW w:w="1360" w:type="dxa"/>
            <w:vAlign w:val="bottom"/>
            <w:shd w:val="clear" w:color="auto" w:fill="D9CFE3"/>
          </w:tcPr>
          <w:p>
            <w:pPr>
              <w:ind w:left="80"/>
              <w:spacing w:after="0" w:line="202" w:lineRule="exact"/>
              <w:rPr>
                <w:sz w:val="20"/>
                <w:szCs w:val="20"/>
                <w:color w:val="auto"/>
              </w:rPr>
            </w:pPr>
            <w:r>
              <w:rPr>
                <w:rFonts w:ascii="Arial" w:cs="Arial" w:eastAsia="Arial" w:hAnsi="Arial"/>
                <w:sz w:val="18"/>
                <w:szCs w:val="18"/>
                <w:b w:val="1"/>
                <w:bCs w:val="1"/>
                <w:color w:val="auto"/>
              </w:rPr>
              <w:t>QUARTER</w:t>
            </w:r>
          </w:p>
        </w:tc>
        <w:tc>
          <w:tcPr>
            <w:tcW w:w="9660" w:type="dxa"/>
            <w:vAlign w:val="bottom"/>
            <w:shd w:val="clear" w:color="auto" w:fill="D9CFE3"/>
          </w:tcPr>
          <w:p>
            <w:pPr>
              <w:ind w:left="600"/>
              <w:spacing w:after="0" w:line="202" w:lineRule="exact"/>
              <w:rPr>
                <w:sz w:val="20"/>
                <w:szCs w:val="20"/>
                <w:color w:val="auto"/>
              </w:rPr>
            </w:pPr>
            <w:r>
              <w:rPr>
                <w:rFonts w:ascii="Arial" w:cs="Arial" w:eastAsia="Arial" w:hAnsi="Arial"/>
                <w:sz w:val="18"/>
                <w:szCs w:val="18"/>
                <w:color w:val="auto"/>
              </w:rPr>
              <w:t>earnings per share) in the year-ago quarter.</w:t>
            </w:r>
          </w:p>
        </w:tc>
        <w:tc>
          <w:tcPr>
            <w:tcW w:w="0" w:type="dxa"/>
            <w:vAlign w:val="bottom"/>
          </w:tcPr>
          <w:p>
            <w:pPr>
              <w:spacing w:after="0"/>
              <w:rPr>
                <w:sz w:val="1"/>
                <w:szCs w:val="1"/>
                <w:color w:val="auto"/>
              </w:rPr>
            </w:pPr>
          </w:p>
        </w:tc>
      </w:tr>
      <w:tr>
        <w:trPr>
          <w:trHeight w:val="239"/>
        </w:trPr>
        <w:tc>
          <w:tcPr>
            <w:tcW w:w="1360" w:type="dxa"/>
            <w:vAlign w:val="bottom"/>
            <w:shd w:val="clear" w:color="auto" w:fill="D9CFE3"/>
          </w:tcPr>
          <w:p>
            <w:pPr>
              <w:ind w:left="80"/>
              <w:spacing w:after="0"/>
              <w:rPr>
                <w:sz w:val="20"/>
                <w:szCs w:val="20"/>
                <w:color w:val="auto"/>
              </w:rPr>
            </w:pPr>
            <w:r>
              <w:rPr>
                <w:rFonts w:ascii="Arial" w:cs="Arial" w:eastAsia="Arial" w:hAnsi="Arial"/>
                <w:sz w:val="18"/>
                <w:szCs w:val="18"/>
                <w:b w:val="1"/>
                <w:bCs w:val="1"/>
                <w:color w:val="auto"/>
              </w:rPr>
              <w:t>RESULTS</w:t>
            </w:r>
          </w:p>
        </w:tc>
        <w:tc>
          <w:tcPr>
            <w:tcW w:w="9660" w:type="dxa"/>
            <w:vAlign w:val="bottom"/>
            <w:vMerge w:val="restart"/>
            <w:shd w:val="clear" w:color="auto" w:fill="D9CFE3"/>
          </w:tcPr>
          <w:p>
            <w:pPr>
              <w:ind w:left="280"/>
              <w:spacing w:after="0"/>
              <w:rPr>
                <w:sz w:val="20"/>
                <w:szCs w:val="20"/>
                <w:color w:val="auto"/>
              </w:rPr>
            </w:pPr>
            <w:r>
              <w:rPr>
                <w:rFonts w:ascii="Arial" w:cs="Arial" w:eastAsia="Arial" w:hAnsi="Arial"/>
                <w:sz w:val="18"/>
                <w:szCs w:val="18"/>
                <w:color w:val="auto"/>
              </w:rPr>
              <w:t>•   Adjusted</w:t>
            </w:r>
            <w:r>
              <w:rPr>
                <w:rFonts w:ascii="Arial" w:cs="Arial" w:eastAsia="Arial" w:hAnsi="Arial"/>
                <w:sz w:val="15"/>
                <w:szCs w:val="15"/>
                <w:color w:val="auto"/>
              </w:rPr>
              <w:t>(1)</w:t>
            </w:r>
            <w:r>
              <w:rPr>
                <w:rFonts w:ascii="Arial" w:cs="Arial" w:eastAsia="Arial" w:hAnsi="Arial"/>
                <w:sz w:val="18"/>
                <w:szCs w:val="18"/>
                <w:color w:val="auto"/>
              </w:rPr>
              <w:t xml:space="preserve"> diluted Core Earnings</w:t>
            </w:r>
            <w:r>
              <w:rPr>
                <w:rFonts w:ascii="Arial" w:cs="Arial" w:eastAsia="Arial" w:hAnsi="Arial"/>
                <w:sz w:val="15"/>
                <w:szCs w:val="15"/>
                <w:color w:val="auto"/>
              </w:rPr>
              <w:t>(2)</w:t>
            </w:r>
            <w:r>
              <w:rPr>
                <w:rFonts w:ascii="Arial" w:cs="Arial" w:eastAsia="Arial" w:hAnsi="Arial"/>
                <w:sz w:val="18"/>
                <w:szCs w:val="18"/>
                <w:color w:val="auto"/>
              </w:rPr>
              <w:t xml:space="preserve"> per share of $0.67 compared to $0.58 in the year-ago quarter.</w:t>
            </w:r>
          </w:p>
        </w:tc>
        <w:tc>
          <w:tcPr>
            <w:tcW w:w="0" w:type="dxa"/>
            <w:vAlign w:val="bottom"/>
          </w:tcPr>
          <w:p>
            <w:pPr>
              <w:spacing w:after="0"/>
              <w:rPr>
                <w:sz w:val="1"/>
                <w:szCs w:val="1"/>
                <w:color w:val="auto"/>
              </w:rPr>
            </w:pPr>
          </w:p>
        </w:tc>
      </w:tr>
      <w:tr>
        <w:trPr>
          <w:trHeight w:val="122"/>
        </w:trPr>
        <w:tc>
          <w:tcPr>
            <w:tcW w:w="1360" w:type="dxa"/>
            <w:vAlign w:val="bottom"/>
            <w:shd w:val="clear" w:color="auto" w:fill="D9CFE3"/>
          </w:tcPr>
          <w:p>
            <w:pPr>
              <w:spacing w:after="0"/>
              <w:rPr>
                <w:sz w:val="10"/>
                <w:szCs w:val="10"/>
                <w:color w:val="auto"/>
              </w:rPr>
            </w:pPr>
          </w:p>
        </w:tc>
        <w:tc>
          <w:tcPr>
            <w:tcW w:w="9660" w:type="dxa"/>
            <w:vAlign w:val="bottom"/>
            <w:vMerge w:val="continue"/>
            <w:shd w:val="clear" w:color="auto" w:fill="D9CFE3"/>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1360" w:type="dxa"/>
            <w:vAlign w:val="bottom"/>
            <w:shd w:val="clear" w:color="auto" w:fill="D9CFE3"/>
          </w:tcPr>
          <w:p>
            <w:pPr>
              <w:spacing w:after="0"/>
              <w:rPr>
                <w:sz w:val="24"/>
                <w:szCs w:val="24"/>
                <w:color w:val="auto"/>
              </w:rPr>
            </w:pPr>
          </w:p>
        </w:tc>
        <w:tc>
          <w:tcPr>
            <w:tcW w:w="9660" w:type="dxa"/>
            <w:vAlign w:val="bottom"/>
            <w:shd w:val="clear" w:color="auto" w:fill="D9CFE3"/>
          </w:tcPr>
          <w:p>
            <w:pPr>
              <w:ind w:left="280"/>
              <w:spacing w:after="0"/>
              <w:rPr>
                <w:sz w:val="20"/>
                <w:szCs w:val="20"/>
                <w:color w:val="auto"/>
              </w:rPr>
            </w:pPr>
            <w:r>
              <w:rPr>
                <w:rFonts w:ascii="Arial" w:cs="Arial" w:eastAsia="Arial" w:hAnsi="Arial"/>
                <w:sz w:val="18"/>
                <w:szCs w:val="18"/>
                <w:color w:val="auto"/>
              </w:rPr>
              <w:t>•   Core Earnings of $153 million ($0.69 diluted Core Earnings per share) compared to $140 million ($0.55 diluted</w:t>
            </w:r>
          </w:p>
        </w:tc>
        <w:tc>
          <w:tcPr>
            <w:tcW w:w="0" w:type="dxa"/>
            <w:vAlign w:val="bottom"/>
          </w:tcPr>
          <w:p>
            <w:pPr>
              <w:spacing w:after="0"/>
              <w:rPr>
                <w:sz w:val="1"/>
                <w:szCs w:val="1"/>
                <w:color w:val="auto"/>
              </w:rPr>
            </w:pPr>
          </w:p>
        </w:tc>
      </w:tr>
      <w:tr>
        <w:trPr>
          <w:trHeight w:val="217"/>
        </w:trPr>
        <w:tc>
          <w:tcPr>
            <w:tcW w:w="1360" w:type="dxa"/>
            <w:vAlign w:val="bottom"/>
            <w:shd w:val="clear" w:color="auto" w:fill="D9CFE3"/>
          </w:tcPr>
          <w:p>
            <w:pPr>
              <w:spacing w:after="0"/>
              <w:rPr>
                <w:sz w:val="18"/>
                <w:szCs w:val="18"/>
                <w:color w:val="auto"/>
              </w:rPr>
            </w:pPr>
          </w:p>
        </w:tc>
        <w:tc>
          <w:tcPr>
            <w:tcW w:w="9660" w:type="dxa"/>
            <w:vAlign w:val="bottom"/>
            <w:shd w:val="clear" w:color="auto" w:fill="D9CFE3"/>
          </w:tcPr>
          <w:p>
            <w:pPr>
              <w:ind w:left="600"/>
              <w:spacing w:after="0"/>
              <w:rPr>
                <w:sz w:val="20"/>
                <w:szCs w:val="20"/>
                <w:color w:val="auto"/>
              </w:rPr>
            </w:pPr>
            <w:r>
              <w:rPr>
                <w:rFonts w:ascii="Arial" w:cs="Arial" w:eastAsia="Arial" w:hAnsi="Arial"/>
                <w:sz w:val="18"/>
                <w:szCs w:val="18"/>
                <w:color w:val="auto"/>
              </w:rPr>
              <w:t>Core Earnings per share) in the year-ago quarter.</w:t>
            </w:r>
          </w:p>
        </w:tc>
        <w:tc>
          <w:tcPr>
            <w:tcW w:w="0" w:type="dxa"/>
            <w:vAlign w:val="bottom"/>
          </w:tcPr>
          <w:p>
            <w:pPr>
              <w:spacing w:after="0"/>
              <w:rPr>
                <w:sz w:val="1"/>
                <w:szCs w:val="1"/>
                <w:color w:val="auto"/>
              </w:rPr>
            </w:pPr>
          </w:p>
        </w:tc>
      </w:tr>
      <w:tr>
        <w:trPr>
          <w:trHeight w:val="504"/>
        </w:trPr>
        <w:tc>
          <w:tcPr>
            <w:tcW w:w="1360" w:type="dxa"/>
            <w:vAlign w:val="bottom"/>
            <w:shd w:val="clear" w:color="auto" w:fill="D9CFE3"/>
          </w:tcPr>
          <w:p>
            <w:pPr>
              <w:ind w:left="80"/>
              <w:spacing w:after="0"/>
              <w:rPr>
                <w:sz w:val="20"/>
                <w:szCs w:val="20"/>
                <w:color w:val="auto"/>
              </w:rPr>
            </w:pPr>
            <w:r>
              <w:rPr>
                <w:rFonts w:ascii="Arial" w:cs="Arial" w:eastAsia="Arial" w:hAnsi="Arial"/>
                <w:sz w:val="18"/>
                <w:szCs w:val="18"/>
                <w:b w:val="1"/>
                <w:bCs w:val="1"/>
                <w:color w:val="auto"/>
              </w:rPr>
              <w:t>FULL YEAR</w:t>
            </w:r>
          </w:p>
        </w:tc>
        <w:tc>
          <w:tcPr>
            <w:tcW w:w="9660" w:type="dxa"/>
            <w:vAlign w:val="bottom"/>
            <w:shd w:val="clear" w:color="auto" w:fill="D9CFE3"/>
          </w:tcPr>
          <w:p>
            <w:pPr>
              <w:ind w:left="280"/>
              <w:spacing w:after="0"/>
              <w:rPr>
                <w:sz w:val="20"/>
                <w:szCs w:val="20"/>
                <w:color w:val="auto"/>
              </w:rPr>
            </w:pPr>
            <w:r>
              <w:rPr>
                <w:rFonts w:ascii="Arial" w:cs="Arial" w:eastAsia="Arial" w:hAnsi="Arial"/>
                <w:sz w:val="18"/>
                <w:szCs w:val="18"/>
                <w:color w:val="auto"/>
              </w:rPr>
              <w:t>•   GAAP net income of $597 million ($2.56 diluted earnings per share) compared to $395 million ($1.49 diluted</w:t>
            </w:r>
          </w:p>
        </w:tc>
        <w:tc>
          <w:tcPr>
            <w:tcW w:w="0" w:type="dxa"/>
            <w:vAlign w:val="bottom"/>
          </w:tcPr>
          <w:p>
            <w:pPr>
              <w:spacing w:after="0"/>
              <w:rPr>
                <w:sz w:val="1"/>
                <w:szCs w:val="1"/>
                <w:color w:val="auto"/>
              </w:rPr>
            </w:pPr>
          </w:p>
        </w:tc>
      </w:tr>
      <w:tr>
        <w:trPr>
          <w:trHeight w:val="239"/>
        </w:trPr>
        <w:tc>
          <w:tcPr>
            <w:tcW w:w="1360" w:type="dxa"/>
            <w:vAlign w:val="bottom"/>
            <w:shd w:val="clear" w:color="auto" w:fill="D9CFE3"/>
          </w:tcPr>
          <w:p>
            <w:pPr>
              <w:ind w:left="80"/>
              <w:spacing w:after="0"/>
              <w:rPr>
                <w:sz w:val="20"/>
                <w:szCs w:val="20"/>
                <w:color w:val="auto"/>
              </w:rPr>
            </w:pPr>
            <w:r>
              <w:rPr>
                <w:rFonts w:ascii="Arial" w:cs="Arial" w:eastAsia="Arial" w:hAnsi="Arial"/>
                <w:sz w:val="18"/>
                <w:szCs w:val="18"/>
                <w:b w:val="1"/>
                <w:bCs w:val="1"/>
                <w:color w:val="auto"/>
              </w:rPr>
              <w:t>RESULTS</w:t>
            </w:r>
          </w:p>
        </w:tc>
        <w:tc>
          <w:tcPr>
            <w:tcW w:w="9660" w:type="dxa"/>
            <w:vAlign w:val="bottom"/>
            <w:shd w:val="clear" w:color="auto" w:fill="D9CFE3"/>
          </w:tcPr>
          <w:p>
            <w:pPr>
              <w:ind w:left="600"/>
              <w:spacing w:after="0"/>
              <w:rPr>
                <w:sz w:val="20"/>
                <w:szCs w:val="20"/>
                <w:color w:val="auto"/>
              </w:rPr>
            </w:pPr>
            <w:r>
              <w:rPr>
                <w:rFonts w:ascii="Arial" w:cs="Arial" w:eastAsia="Arial" w:hAnsi="Arial"/>
                <w:sz w:val="18"/>
                <w:szCs w:val="18"/>
                <w:color w:val="auto"/>
              </w:rPr>
              <w:t>earnings per share) in the year-ago period.</w:t>
            </w:r>
          </w:p>
        </w:tc>
        <w:tc>
          <w:tcPr>
            <w:tcW w:w="0" w:type="dxa"/>
            <w:vAlign w:val="bottom"/>
          </w:tcPr>
          <w:p>
            <w:pPr>
              <w:spacing w:after="0"/>
              <w:rPr>
                <w:sz w:val="1"/>
                <w:szCs w:val="1"/>
                <w:color w:val="auto"/>
              </w:rPr>
            </w:pPr>
          </w:p>
        </w:tc>
      </w:tr>
      <w:tr>
        <w:trPr>
          <w:trHeight w:val="324"/>
        </w:trPr>
        <w:tc>
          <w:tcPr>
            <w:tcW w:w="1360" w:type="dxa"/>
            <w:vAlign w:val="bottom"/>
            <w:shd w:val="clear" w:color="auto" w:fill="D9CFE3"/>
          </w:tcPr>
          <w:p>
            <w:pPr>
              <w:spacing w:after="0"/>
              <w:rPr>
                <w:sz w:val="24"/>
                <w:szCs w:val="24"/>
                <w:color w:val="auto"/>
              </w:rPr>
            </w:pPr>
          </w:p>
        </w:tc>
        <w:tc>
          <w:tcPr>
            <w:tcW w:w="9660" w:type="dxa"/>
            <w:vAlign w:val="bottom"/>
            <w:shd w:val="clear" w:color="auto" w:fill="D9CFE3"/>
          </w:tcPr>
          <w:p>
            <w:pPr>
              <w:ind w:left="280"/>
              <w:spacing w:after="0"/>
              <w:rPr>
                <w:sz w:val="20"/>
                <w:szCs w:val="20"/>
                <w:color w:val="auto"/>
              </w:rPr>
            </w:pPr>
            <w:r>
              <w:rPr>
                <w:rFonts w:ascii="Arial" w:cs="Arial" w:eastAsia="Arial" w:hAnsi="Arial"/>
                <w:sz w:val="18"/>
                <w:szCs w:val="18"/>
                <w:color w:val="auto"/>
              </w:rPr>
              <w:t>•   Adjusted</w:t>
            </w:r>
            <w:r>
              <w:rPr>
                <w:rFonts w:ascii="Arial" w:cs="Arial" w:eastAsia="Arial" w:hAnsi="Arial"/>
                <w:sz w:val="15"/>
                <w:szCs w:val="15"/>
                <w:color w:val="auto"/>
              </w:rPr>
              <w:t>(1)</w:t>
            </w:r>
            <w:r>
              <w:rPr>
                <w:rFonts w:ascii="Arial" w:cs="Arial" w:eastAsia="Arial" w:hAnsi="Arial"/>
                <w:sz w:val="18"/>
                <w:szCs w:val="18"/>
                <w:color w:val="auto"/>
              </w:rPr>
              <w:t xml:space="preserve"> diluted Core Earnings</w:t>
            </w:r>
            <w:r>
              <w:rPr>
                <w:rFonts w:ascii="Arial" w:cs="Arial" w:eastAsia="Arial" w:hAnsi="Arial"/>
                <w:sz w:val="15"/>
                <w:szCs w:val="15"/>
                <w:color w:val="auto"/>
              </w:rPr>
              <w:t>(2)</w:t>
            </w:r>
            <w:r>
              <w:rPr>
                <w:rFonts w:ascii="Arial" w:cs="Arial" w:eastAsia="Arial" w:hAnsi="Arial"/>
                <w:sz w:val="18"/>
                <w:szCs w:val="18"/>
                <w:color w:val="auto"/>
              </w:rPr>
              <w:t xml:space="preserve"> per share of $2.64 compared to $2.09 in the year-ago period.</w:t>
            </w:r>
          </w:p>
        </w:tc>
        <w:tc>
          <w:tcPr>
            <w:tcW w:w="0" w:type="dxa"/>
            <w:vAlign w:val="bottom"/>
          </w:tcPr>
          <w:p>
            <w:pPr>
              <w:spacing w:after="0"/>
              <w:rPr>
                <w:sz w:val="1"/>
                <w:szCs w:val="1"/>
                <w:color w:val="auto"/>
              </w:rPr>
            </w:pPr>
          </w:p>
        </w:tc>
      </w:tr>
      <w:tr>
        <w:trPr>
          <w:trHeight w:val="310"/>
        </w:trPr>
        <w:tc>
          <w:tcPr>
            <w:tcW w:w="1360" w:type="dxa"/>
            <w:vAlign w:val="bottom"/>
            <w:shd w:val="clear" w:color="auto" w:fill="D9CFE3"/>
          </w:tcPr>
          <w:p>
            <w:pPr>
              <w:spacing w:after="0"/>
              <w:rPr>
                <w:sz w:val="24"/>
                <w:szCs w:val="24"/>
                <w:color w:val="auto"/>
              </w:rPr>
            </w:pPr>
          </w:p>
        </w:tc>
        <w:tc>
          <w:tcPr>
            <w:tcW w:w="9660" w:type="dxa"/>
            <w:vAlign w:val="bottom"/>
            <w:shd w:val="clear" w:color="auto" w:fill="D9CFE3"/>
          </w:tcPr>
          <w:p>
            <w:pPr>
              <w:ind w:left="280"/>
              <w:spacing w:after="0"/>
              <w:rPr>
                <w:sz w:val="20"/>
                <w:szCs w:val="20"/>
                <w:color w:val="auto"/>
              </w:rPr>
            </w:pPr>
            <w:r>
              <w:rPr>
                <w:rFonts w:ascii="Arial" w:cs="Arial" w:eastAsia="Arial" w:hAnsi="Arial"/>
                <w:sz w:val="18"/>
                <w:szCs w:val="18"/>
                <w:color w:val="auto"/>
              </w:rPr>
              <w:t>•   Core Earnings of $607 million ($2.60 diluted Core Earnings per share) compared to $519 million ($1.96 diluted</w:t>
            </w:r>
          </w:p>
        </w:tc>
        <w:tc>
          <w:tcPr>
            <w:tcW w:w="0" w:type="dxa"/>
            <w:vAlign w:val="bottom"/>
          </w:tcPr>
          <w:p>
            <w:pPr>
              <w:spacing w:after="0"/>
              <w:rPr>
                <w:sz w:val="1"/>
                <w:szCs w:val="1"/>
                <w:color w:val="auto"/>
              </w:rPr>
            </w:pPr>
          </w:p>
        </w:tc>
      </w:tr>
      <w:tr>
        <w:trPr>
          <w:trHeight w:val="217"/>
        </w:trPr>
        <w:tc>
          <w:tcPr>
            <w:tcW w:w="1360" w:type="dxa"/>
            <w:vAlign w:val="bottom"/>
            <w:shd w:val="clear" w:color="auto" w:fill="D9CFE3"/>
          </w:tcPr>
          <w:p>
            <w:pPr>
              <w:spacing w:after="0"/>
              <w:rPr>
                <w:sz w:val="18"/>
                <w:szCs w:val="18"/>
                <w:color w:val="auto"/>
              </w:rPr>
            </w:pPr>
          </w:p>
        </w:tc>
        <w:tc>
          <w:tcPr>
            <w:tcW w:w="9660" w:type="dxa"/>
            <w:vAlign w:val="bottom"/>
            <w:shd w:val="clear" w:color="auto" w:fill="D9CFE3"/>
          </w:tcPr>
          <w:p>
            <w:pPr>
              <w:ind w:left="600"/>
              <w:spacing w:after="0"/>
              <w:rPr>
                <w:sz w:val="20"/>
                <w:szCs w:val="20"/>
                <w:color w:val="auto"/>
              </w:rPr>
            </w:pPr>
            <w:r>
              <w:rPr>
                <w:rFonts w:ascii="Arial" w:cs="Arial" w:eastAsia="Arial" w:hAnsi="Arial"/>
                <w:sz w:val="18"/>
                <w:szCs w:val="18"/>
                <w:color w:val="auto"/>
              </w:rPr>
              <w:t>Core Earnings per share) in the year-ago period.</w:t>
            </w:r>
          </w:p>
        </w:tc>
        <w:tc>
          <w:tcPr>
            <w:tcW w:w="0" w:type="dxa"/>
            <w:vAlign w:val="bottom"/>
          </w:tcPr>
          <w:p>
            <w:pPr>
              <w:spacing w:after="0"/>
              <w:rPr>
                <w:sz w:val="1"/>
                <w:szCs w:val="1"/>
                <w:color w:val="auto"/>
              </w:rPr>
            </w:pPr>
          </w:p>
        </w:tc>
      </w:tr>
      <w:tr>
        <w:trPr>
          <w:trHeight w:val="122"/>
        </w:trPr>
        <w:tc>
          <w:tcPr>
            <w:tcW w:w="1360" w:type="dxa"/>
            <w:vAlign w:val="bottom"/>
            <w:shd w:val="clear" w:color="auto" w:fill="D9CFE3"/>
          </w:tcPr>
          <w:p>
            <w:pPr>
              <w:spacing w:after="0"/>
              <w:rPr>
                <w:sz w:val="10"/>
                <w:szCs w:val="10"/>
                <w:color w:val="auto"/>
              </w:rPr>
            </w:pPr>
          </w:p>
        </w:tc>
        <w:tc>
          <w:tcPr>
            <w:tcW w:w="9660" w:type="dxa"/>
            <w:vAlign w:val="bottom"/>
            <w:shd w:val="clear" w:color="auto" w:fill="D9CFE3"/>
          </w:tcPr>
          <w:p>
            <w:pPr>
              <w:spacing w:after="0"/>
              <w:rPr>
                <w:sz w:val="10"/>
                <w:szCs w:val="1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b w:val="1"/>
          <w:bCs w:val="1"/>
          <w:color w:val="auto"/>
        </w:rPr>
        <w:t xml:space="preserve">CEO COMMENTARY </w:t>
      </w:r>
      <w:r>
        <w:rPr>
          <w:rFonts w:ascii="Arial" w:cs="Arial" w:eastAsia="Arial" w:hAnsi="Arial"/>
          <w:sz w:val="18"/>
          <w:szCs w:val="18"/>
          <w:color w:val="auto"/>
        </w:rPr>
        <w:t>– “Navient’s outstanding 2019 results showcase the strength of our business strategy and we look forward to</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continuing that momentum in 2020,” said Jack Remondi, president and CEO of Navient. “We delivered exceptional earnings growth, on higher net interest margins and improved business processing margins led by increased efficiency in borrowing costs and operating expense. Importantly, we also helped 72,000 people refinance their student loans with nearly $5 billion in originations and assisted more than 400,000 people who successfully paid off their education loans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6997700"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205740"/>
                    </a:xfrm>
                    <a:prstGeom prst="rect">
                      <a:avLst/>
                    </a:prstGeom>
                    <a:noFill/>
                  </pic:spPr>
                </pic:pic>
              </a:graphicData>
            </a:graphic>
          </wp:anchor>
        </w:drawing>
      </w:r>
    </w:p>
    <w:p>
      <w:pPr>
        <w:spacing w:after="0" w:line="25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FOURTH QUARTER HIGHLIGHTS</w:t>
      </w:r>
      <w:r>
        <w:rPr>
          <w:rFonts w:ascii="Arial" w:cs="Arial" w:eastAsia="Arial" w:hAnsi="Arial"/>
          <w:sz w:val="9"/>
          <w:szCs w:val="9"/>
          <w:color w:val="FFFFFF"/>
        </w:rPr>
        <w:t>(3)</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180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FEDERAL</w:t>
            </w:r>
          </w:p>
        </w:tc>
        <w:tc>
          <w:tcPr>
            <w:tcW w:w="9220" w:type="dxa"/>
            <w:vAlign w:val="bottom"/>
            <w:shd w:val="clear" w:color="auto" w:fill="F2F2F2"/>
          </w:tcPr>
          <w:p>
            <w:pPr>
              <w:ind w:left="160"/>
              <w:spacing w:after="0"/>
              <w:rPr>
                <w:sz w:val="20"/>
                <w:szCs w:val="20"/>
                <w:color w:val="auto"/>
              </w:rPr>
            </w:pPr>
            <w:r>
              <w:rPr>
                <w:rFonts w:ascii="Arial" w:cs="Arial" w:eastAsia="Arial" w:hAnsi="Arial"/>
                <w:sz w:val="18"/>
                <w:szCs w:val="18"/>
                <w:color w:val="auto"/>
              </w:rPr>
              <w:t>•   FFELP Loan charge-offs decreased 31%.</w:t>
            </w:r>
          </w:p>
        </w:tc>
        <w:tc>
          <w:tcPr>
            <w:tcW w:w="0" w:type="dxa"/>
            <w:vAlign w:val="bottom"/>
          </w:tcPr>
          <w:p>
            <w:pPr>
              <w:spacing w:after="0"/>
              <w:rPr>
                <w:sz w:val="1"/>
                <w:szCs w:val="1"/>
                <w:color w:val="auto"/>
              </w:rPr>
            </w:pPr>
          </w:p>
        </w:tc>
      </w:tr>
      <w:tr>
        <w:trPr>
          <w:trHeight w:val="203"/>
        </w:trPr>
        <w:tc>
          <w:tcPr>
            <w:tcW w:w="1800" w:type="dxa"/>
            <w:vAlign w:val="bottom"/>
            <w:shd w:val="clear" w:color="auto" w:fill="F2F2F2"/>
          </w:tcPr>
          <w:p>
            <w:pPr>
              <w:ind w:left="80"/>
              <w:spacing w:after="0" w:line="202" w:lineRule="exact"/>
              <w:rPr>
                <w:sz w:val="20"/>
                <w:szCs w:val="20"/>
                <w:color w:val="auto"/>
              </w:rPr>
            </w:pPr>
            <w:r>
              <w:rPr>
                <w:rFonts w:ascii="Arial" w:cs="Arial" w:eastAsia="Arial" w:hAnsi="Arial"/>
                <w:sz w:val="18"/>
                <w:szCs w:val="18"/>
                <w:b w:val="1"/>
                <w:bCs w:val="1"/>
                <w:color w:val="auto"/>
              </w:rPr>
              <w:t>EDUCATION</w:t>
            </w:r>
          </w:p>
        </w:tc>
        <w:tc>
          <w:tcPr>
            <w:tcW w:w="9220" w:type="dxa"/>
            <w:vAlign w:val="bottom"/>
            <w:vMerge w:val="restart"/>
            <w:shd w:val="clear" w:color="auto" w:fill="F2F2F2"/>
          </w:tcPr>
          <w:p>
            <w:pPr>
              <w:ind w:left="160"/>
              <w:spacing w:after="0"/>
              <w:rPr>
                <w:sz w:val="20"/>
                <w:szCs w:val="20"/>
                <w:color w:val="auto"/>
              </w:rPr>
            </w:pPr>
            <w:r>
              <w:rPr>
                <w:rFonts w:ascii="Arial" w:cs="Arial" w:eastAsia="Arial" w:hAnsi="Arial"/>
                <w:sz w:val="18"/>
                <w:szCs w:val="18"/>
                <w:color w:val="auto"/>
              </w:rPr>
              <w:t>•   Asset recovery revenue increased $14 million (27%).</w:t>
            </w:r>
          </w:p>
        </w:tc>
        <w:tc>
          <w:tcPr>
            <w:tcW w:w="0" w:type="dxa"/>
            <w:vAlign w:val="bottom"/>
          </w:tcPr>
          <w:p>
            <w:pPr>
              <w:spacing w:after="0"/>
              <w:rPr>
                <w:sz w:val="1"/>
                <w:szCs w:val="1"/>
                <w:color w:val="auto"/>
              </w:rPr>
            </w:pPr>
          </w:p>
        </w:tc>
      </w:tr>
      <w:tr>
        <w:trPr>
          <w:trHeight w:val="104"/>
        </w:trPr>
        <w:tc>
          <w:tcPr>
            <w:tcW w:w="1800" w:type="dxa"/>
            <w:vAlign w:val="bottom"/>
            <w:vMerge w:val="restart"/>
            <w:shd w:val="clear" w:color="auto" w:fill="F2F2F2"/>
          </w:tcPr>
          <w:p>
            <w:pPr>
              <w:ind w:left="80"/>
              <w:spacing w:after="0"/>
              <w:rPr>
                <w:sz w:val="20"/>
                <w:szCs w:val="20"/>
                <w:color w:val="auto"/>
              </w:rPr>
            </w:pPr>
            <w:r>
              <w:rPr>
                <w:rFonts w:ascii="Arial" w:cs="Arial" w:eastAsia="Arial" w:hAnsi="Arial"/>
                <w:sz w:val="18"/>
                <w:szCs w:val="18"/>
                <w:b w:val="1"/>
                <w:bCs w:val="1"/>
                <w:color w:val="auto"/>
              </w:rPr>
              <w:t>LOANS SEGMENT</w:t>
            </w:r>
          </w:p>
        </w:tc>
        <w:tc>
          <w:tcPr>
            <w:tcW w:w="9220" w:type="dxa"/>
            <w:vAlign w:val="bottom"/>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1800" w:type="dxa"/>
            <w:vAlign w:val="bottom"/>
            <w:tcBorders>
              <w:bottom w:val="single" w:sz="8" w:color="F2F2F2"/>
            </w:tcBorders>
            <w:vMerge w:val="continue"/>
            <w:shd w:val="clear" w:color="auto" w:fill="F2F2F2"/>
          </w:tcPr>
          <w:p>
            <w:pPr>
              <w:spacing w:after="0"/>
              <w:rPr>
                <w:sz w:val="13"/>
                <w:szCs w:val="13"/>
                <w:color w:val="auto"/>
              </w:rPr>
            </w:pPr>
          </w:p>
        </w:tc>
        <w:tc>
          <w:tcPr>
            <w:tcW w:w="9220" w:type="dxa"/>
            <w:vAlign w:val="bottom"/>
            <w:tcBorders>
              <w:bottom w:val="single" w:sz="8" w:color="F2F2F2"/>
            </w:tcBorders>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1800" w:type="dxa"/>
            <w:vAlign w:val="bottom"/>
          </w:tcPr>
          <w:p>
            <w:pPr>
              <w:ind w:left="80"/>
              <w:spacing w:after="0"/>
              <w:rPr>
                <w:sz w:val="20"/>
                <w:szCs w:val="20"/>
                <w:color w:val="auto"/>
              </w:rPr>
            </w:pPr>
            <w:r>
              <w:rPr>
                <w:rFonts w:ascii="Arial" w:cs="Arial" w:eastAsia="Arial" w:hAnsi="Arial"/>
                <w:sz w:val="18"/>
                <w:szCs w:val="18"/>
                <w:b w:val="1"/>
                <w:bCs w:val="1"/>
                <w:color w:val="auto"/>
              </w:rPr>
              <w:t>CONSUMER</w:t>
            </w:r>
          </w:p>
        </w:tc>
        <w:tc>
          <w:tcPr>
            <w:tcW w:w="9220" w:type="dxa"/>
            <w:vAlign w:val="bottom"/>
          </w:tcPr>
          <w:p>
            <w:pPr>
              <w:ind w:left="160"/>
              <w:spacing w:after="0"/>
              <w:rPr>
                <w:sz w:val="20"/>
                <w:szCs w:val="20"/>
                <w:color w:val="auto"/>
              </w:rPr>
            </w:pPr>
            <w:r>
              <w:rPr>
                <w:rFonts w:ascii="Arial" w:cs="Arial" w:eastAsia="Arial" w:hAnsi="Arial"/>
                <w:sz w:val="18"/>
                <w:szCs w:val="18"/>
                <w:color w:val="auto"/>
              </w:rPr>
              <w:t>•   Originated $1.6 billion of Private Education Refinance Loans, up 114%.</w:t>
            </w:r>
          </w:p>
        </w:tc>
        <w:tc>
          <w:tcPr>
            <w:tcW w:w="0" w:type="dxa"/>
            <w:vAlign w:val="bottom"/>
          </w:tcPr>
          <w:p>
            <w:pPr>
              <w:spacing w:after="0"/>
              <w:rPr>
                <w:sz w:val="1"/>
                <w:szCs w:val="1"/>
                <w:color w:val="auto"/>
              </w:rPr>
            </w:pPr>
          </w:p>
        </w:tc>
      </w:tr>
      <w:tr>
        <w:trPr>
          <w:trHeight w:val="203"/>
        </w:trPr>
        <w:tc>
          <w:tcPr>
            <w:tcW w:w="1800" w:type="dxa"/>
            <w:vAlign w:val="bottom"/>
          </w:tcPr>
          <w:p>
            <w:pPr>
              <w:ind w:left="80"/>
              <w:spacing w:after="0" w:line="202" w:lineRule="exact"/>
              <w:rPr>
                <w:sz w:val="20"/>
                <w:szCs w:val="20"/>
                <w:color w:val="auto"/>
              </w:rPr>
            </w:pPr>
            <w:r>
              <w:rPr>
                <w:rFonts w:ascii="Arial" w:cs="Arial" w:eastAsia="Arial" w:hAnsi="Arial"/>
                <w:sz w:val="18"/>
                <w:szCs w:val="18"/>
                <w:b w:val="1"/>
                <w:bCs w:val="1"/>
                <w:color w:val="auto"/>
              </w:rPr>
              <w:t>LENDING</w:t>
            </w:r>
          </w:p>
        </w:tc>
        <w:tc>
          <w:tcPr>
            <w:tcW w:w="9220" w:type="dxa"/>
            <w:vAlign w:val="bottom"/>
            <w:vMerge w:val="restart"/>
          </w:tcPr>
          <w:p>
            <w:pPr>
              <w:ind w:left="160"/>
              <w:spacing w:after="0"/>
              <w:rPr>
                <w:sz w:val="20"/>
                <w:szCs w:val="20"/>
                <w:color w:val="auto"/>
              </w:rPr>
            </w:pPr>
            <w:r>
              <w:rPr>
                <w:rFonts w:ascii="Arial" w:cs="Arial" w:eastAsia="Arial" w:hAnsi="Arial"/>
                <w:sz w:val="18"/>
                <w:szCs w:val="18"/>
                <w:color w:val="auto"/>
              </w:rPr>
              <w:t>•   Net interest income increased $6 million.</w:t>
            </w:r>
          </w:p>
        </w:tc>
        <w:tc>
          <w:tcPr>
            <w:tcW w:w="0" w:type="dxa"/>
            <w:vAlign w:val="bottom"/>
          </w:tcPr>
          <w:p>
            <w:pPr>
              <w:spacing w:after="0"/>
              <w:rPr>
                <w:sz w:val="1"/>
                <w:szCs w:val="1"/>
                <w:color w:val="auto"/>
              </w:rPr>
            </w:pPr>
          </w:p>
        </w:tc>
      </w:tr>
      <w:tr>
        <w:trPr>
          <w:trHeight w:val="104"/>
        </w:trPr>
        <w:tc>
          <w:tcPr>
            <w:tcW w:w="18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SEGMENT</w:t>
            </w:r>
          </w:p>
        </w:tc>
        <w:tc>
          <w:tcPr>
            <w:tcW w:w="9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00" w:type="dxa"/>
            <w:vAlign w:val="bottom"/>
            <w:vMerge w:val="continue"/>
          </w:tcPr>
          <w:p>
            <w:pPr>
              <w:spacing w:after="0"/>
              <w:rPr>
                <w:sz w:val="11"/>
                <w:szCs w:val="11"/>
                <w:color w:val="auto"/>
              </w:rPr>
            </w:pPr>
          </w:p>
        </w:tc>
        <w:tc>
          <w:tcPr>
            <w:tcW w:w="9220" w:type="dxa"/>
            <w:vAlign w:val="bottom"/>
            <w:vMerge w:val="restart"/>
          </w:tcPr>
          <w:p>
            <w:pPr>
              <w:ind w:left="160"/>
              <w:spacing w:after="0"/>
              <w:rPr>
                <w:sz w:val="20"/>
                <w:szCs w:val="20"/>
                <w:color w:val="auto"/>
              </w:rPr>
            </w:pPr>
            <w:r>
              <w:rPr>
                <w:rFonts w:ascii="Arial" w:cs="Arial" w:eastAsia="Arial" w:hAnsi="Arial"/>
                <w:sz w:val="18"/>
                <w:szCs w:val="18"/>
                <w:color w:val="auto"/>
              </w:rPr>
              <w:t>•   Private Education Loan delinquency rate declined 22%.</w:t>
            </w: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9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180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BUSINESS</w:t>
            </w:r>
          </w:p>
        </w:tc>
        <w:tc>
          <w:tcPr>
            <w:tcW w:w="9220" w:type="dxa"/>
            <w:vAlign w:val="bottom"/>
            <w:shd w:val="clear" w:color="auto" w:fill="F2F2F2"/>
          </w:tcPr>
          <w:p>
            <w:pPr>
              <w:ind w:left="160"/>
              <w:spacing w:after="0"/>
              <w:rPr>
                <w:sz w:val="20"/>
                <w:szCs w:val="20"/>
                <w:color w:val="auto"/>
              </w:rPr>
            </w:pPr>
            <w:r>
              <w:rPr>
                <w:rFonts w:ascii="Arial" w:cs="Arial" w:eastAsia="Arial" w:hAnsi="Arial"/>
                <w:sz w:val="18"/>
                <w:szCs w:val="18"/>
                <w:color w:val="auto"/>
              </w:rPr>
              <w:t>•   EBITDA</w:t>
            </w:r>
            <w:r>
              <w:rPr>
                <w:rFonts w:ascii="Arial" w:cs="Arial" w:eastAsia="Arial" w:hAnsi="Arial"/>
                <w:sz w:val="15"/>
                <w:szCs w:val="15"/>
                <w:color w:val="auto"/>
              </w:rPr>
              <w:t>(2)</w:t>
            </w:r>
            <w:r>
              <w:rPr>
                <w:rFonts w:ascii="Arial" w:cs="Arial" w:eastAsia="Arial" w:hAnsi="Arial"/>
                <w:sz w:val="18"/>
                <w:szCs w:val="18"/>
                <w:color w:val="auto"/>
              </w:rPr>
              <w:t xml:space="preserve"> margin increased to 18%.</w:t>
            </w:r>
          </w:p>
        </w:tc>
        <w:tc>
          <w:tcPr>
            <w:tcW w:w="0" w:type="dxa"/>
            <w:vAlign w:val="bottom"/>
          </w:tcPr>
          <w:p>
            <w:pPr>
              <w:spacing w:after="0"/>
              <w:rPr>
                <w:sz w:val="1"/>
                <w:szCs w:val="1"/>
                <w:color w:val="auto"/>
              </w:rPr>
            </w:pPr>
          </w:p>
        </w:tc>
      </w:tr>
      <w:tr>
        <w:trPr>
          <w:trHeight w:val="203"/>
        </w:trPr>
        <w:tc>
          <w:tcPr>
            <w:tcW w:w="1800" w:type="dxa"/>
            <w:vAlign w:val="bottom"/>
            <w:shd w:val="clear" w:color="auto" w:fill="F2F2F2"/>
          </w:tcPr>
          <w:p>
            <w:pPr>
              <w:ind w:left="80"/>
              <w:spacing w:after="0" w:line="202" w:lineRule="exact"/>
              <w:rPr>
                <w:sz w:val="20"/>
                <w:szCs w:val="20"/>
                <w:color w:val="auto"/>
              </w:rPr>
            </w:pPr>
            <w:r>
              <w:rPr>
                <w:rFonts w:ascii="Arial" w:cs="Arial" w:eastAsia="Arial" w:hAnsi="Arial"/>
                <w:sz w:val="18"/>
                <w:szCs w:val="18"/>
                <w:b w:val="1"/>
                <w:bCs w:val="1"/>
                <w:color w:val="auto"/>
              </w:rPr>
              <w:t>PROCESSING</w:t>
            </w:r>
          </w:p>
        </w:tc>
        <w:tc>
          <w:tcPr>
            <w:tcW w:w="9220" w:type="dxa"/>
            <w:vAlign w:val="bottom"/>
            <w:vMerge w:val="restart"/>
            <w:shd w:val="clear" w:color="auto" w:fill="F2F2F2"/>
          </w:tcPr>
          <w:p>
            <w:pPr>
              <w:ind w:left="160"/>
              <w:spacing w:after="0"/>
              <w:rPr>
                <w:sz w:val="20"/>
                <w:szCs w:val="20"/>
                <w:color w:val="auto"/>
              </w:rPr>
            </w:pPr>
            <w:r>
              <w:rPr>
                <w:rFonts w:ascii="Arial" w:cs="Arial" w:eastAsia="Arial" w:hAnsi="Arial"/>
                <w:sz w:val="18"/>
                <w:szCs w:val="18"/>
                <w:color w:val="auto"/>
              </w:rPr>
              <w:t>•   Contingent collections receivables inventory increased 3% to $14.9 billion.</w:t>
            </w:r>
          </w:p>
        </w:tc>
        <w:tc>
          <w:tcPr>
            <w:tcW w:w="0" w:type="dxa"/>
            <w:vAlign w:val="bottom"/>
          </w:tcPr>
          <w:p>
            <w:pPr>
              <w:spacing w:after="0"/>
              <w:rPr>
                <w:sz w:val="1"/>
                <w:szCs w:val="1"/>
                <w:color w:val="auto"/>
              </w:rPr>
            </w:pPr>
          </w:p>
        </w:tc>
      </w:tr>
      <w:tr>
        <w:trPr>
          <w:trHeight w:val="104"/>
        </w:trPr>
        <w:tc>
          <w:tcPr>
            <w:tcW w:w="1800" w:type="dxa"/>
            <w:vAlign w:val="bottom"/>
            <w:vMerge w:val="restart"/>
            <w:shd w:val="clear" w:color="auto" w:fill="F2F2F2"/>
          </w:tcPr>
          <w:p>
            <w:pPr>
              <w:ind w:left="80"/>
              <w:spacing w:after="0"/>
              <w:rPr>
                <w:sz w:val="20"/>
                <w:szCs w:val="20"/>
                <w:color w:val="auto"/>
              </w:rPr>
            </w:pPr>
            <w:r>
              <w:rPr>
                <w:rFonts w:ascii="Arial" w:cs="Arial" w:eastAsia="Arial" w:hAnsi="Arial"/>
                <w:sz w:val="18"/>
                <w:szCs w:val="18"/>
                <w:b w:val="1"/>
                <w:bCs w:val="1"/>
                <w:color w:val="auto"/>
              </w:rPr>
              <w:t>SEGMENT</w:t>
            </w:r>
          </w:p>
        </w:tc>
        <w:tc>
          <w:tcPr>
            <w:tcW w:w="9220" w:type="dxa"/>
            <w:vAlign w:val="bottom"/>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1800" w:type="dxa"/>
            <w:vAlign w:val="bottom"/>
            <w:tcBorders>
              <w:bottom w:val="single" w:sz="8" w:color="F2F2F2"/>
            </w:tcBorders>
            <w:vMerge w:val="continue"/>
            <w:shd w:val="clear" w:color="auto" w:fill="F2F2F2"/>
          </w:tcPr>
          <w:p>
            <w:pPr>
              <w:spacing w:after="0"/>
              <w:rPr>
                <w:sz w:val="13"/>
                <w:szCs w:val="13"/>
                <w:color w:val="auto"/>
              </w:rPr>
            </w:pPr>
          </w:p>
        </w:tc>
        <w:tc>
          <w:tcPr>
            <w:tcW w:w="9220" w:type="dxa"/>
            <w:vAlign w:val="bottom"/>
            <w:tcBorders>
              <w:bottom w:val="single" w:sz="8" w:color="F2F2F2"/>
            </w:tcBorders>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1800" w:type="dxa"/>
            <w:vAlign w:val="bottom"/>
          </w:tcPr>
          <w:p>
            <w:pPr>
              <w:ind w:left="80"/>
              <w:spacing w:after="0"/>
              <w:rPr>
                <w:sz w:val="20"/>
                <w:szCs w:val="20"/>
                <w:color w:val="auto"/>
              </w:rPr>
            </w:pPr>
            <w:r>
              <w:rPr>
                <w:rFonts w:ascii="Arial" w:cs="Arial" w:eastAsia="Arial" w:hAnsi="Arial"/>
                <w:sz w:val="18"/>
                <w:szCs w:val="18"/>
                <w:b w:val="1"/>
                <w:bCs w:val="1"/>
                <w:color w:val="auto"/>
              </w:rPr>
              <w:t>CAPITAL</w:t>
            </w:r>
          </w:p>
        </w:tc>
        <w:tc>
          <w:tcPr>
            <w:tcW w:w="9220" w:type="dxa"/>
            <w:vAlign w:val="bottom"/>
          </w:tcPr>
          <w:p>
            <w:pPr>
              <w:ind w:left="160"/>
              <w:spacing w:after="0"/>
              <w:rPr>
                <w:sz w:val="20"/>
                <w:szCs w:val="20"/>
                <w:color w:val="auto"/>
              </w:rPr>
            </w:pPr>
            <w:r>
              <w:rPr>
                <w:rFonts w:ascii="Arial" w:cs="Arial" w:eastAsia="Arial" w:hAnsi="Arial"/>
                <w:sz w:val="18"/>
                <w:szCs w:val="18"/>
                <w:color w:val="auto"/>
              </w:rPr>
              <w:t>•   Repurchased 5.8 million common shares.</w:t>
            </w:r>
          </w:p>
        </w:tc>
        <w:tc>
          <w:tcPr>
            <w:tcW w:w="0" w:type="dxa"/>
            <w:vAlign w:val="bottom"/>
          </w:tcPr>
          <w:p>
            <w:pPr>
              <w:spacing w:after="0"/>
              <w:rPr>
                <w:sz w:val="1"/>
                <w:szCs w:val="1"/>
                <w:color w:val="auto"/>
              </w:rPr>
            </w:pPr>
          </w:p>
        </w:tc>
      </w:tr>
      <w:tr>
        <w:trPr>
          <w:trHeight w:val="256"/>
        </w:trPr>
        <w:tc>
          <w:tcPr>
            <w:tcW w:w="1800" w:type="dxa"/>
            <w:vAlign w:val="bottom"/>
          </w:tcPr>
          <w:p>
            <w:pPr>
              <w:spacing w:after="0"/>
              <w:rPr>
                <w:sz w:val="22"/>
                <w:szCs w:val="22"/>
                <w:color w:val="auto"/>
              </w:rPr>
            </w:pPr>
          </w:p>
        </w:tc>
        <w:tc>
          <w:tcPr>
            <w:tcW w:w="9220" w:type="dxa"/>
            <w:vAlign w:val="bottom"/>
          </w:tcPr>
          <w:p>
            <w:pPr>
              <w:ind w:left="160"/>
              <w:spacing w:after="0"/>
              <w:rPr>
                <w:sz w:val="20"/>
                <w:szCs w:val="20"/>
                <w:color w:val="auto"/>
              </w:rPr>
            </w:pPr>
            <w:r>
              <w:rPr>
                <w:rFonts w:ascii="Arial" w:cs="Arial" w:eastAsia="Arial" w:hAnsi="Arial"/>
                <w:sz w:val="18"/>
                <w:szCs w:val="18"/>
                <w:color w:val="auto"/>
              </w:rPr>
              <w:t>•   In October 2019, our board of directors approved an additional $1 billion multi-year share repurchase</w:t>
            </w:r>
          </w:p>
        </w:tc>
        <w:tc>
          <w:tcPr>
            <w:tcW w:w="0" w:type="dxa"/>
            <w:vAlign w:val="bottom"/>
          </w:tcPr>
          <w:p>
            <w:pPr>
              <w:spacing w:after="0"/>
              <w:rPr>
                <w:sz w:val="1"/>
                <w:szCs w:val="1"/>
                <w:color w:val="auto"/>
              </w:rPr>
            </w:pPr>
          </w:p>
        </w:tc>
      </w:tr>
      <w:tr>
        <w:trPr>
          <w:trHeight w:val="217"/>
        </w:trPr>
        <w:tc>
          <w:tcPr>
            <w:tcW w:w="1800" w:type="dxa"/>
            <w:vAlign w:val="bottom"/>
          </w:tcPr>
          <w:p>
            <w:pPr>
              <w:spacing w:after="0"/>
              <w:rPr>
                <w:sz w:val="18"/>
                <w:szCs w:val="18"/>
                <w:color w:val="auto"/>
              </w:rPr>
            </w:pPr>
          </w:p>
        </w:tc>
        <w:tc>
          <w:tcPr>
            <w:tcW w:w="9220" w:type="dxa"/>
            <w:vAlign w:val="bottom"/>
          </w:tcPr>
          <w:p>
            <w:pPr>
              <w:ind w:left="500"/>
              <w:spacing w:after="0"/>
              <w:rPr>
                <w:sz w:val="20"/>
                <w:szCs w:val="20"/>
                <w:color w:val="auto"/>
              </w:rPr>
            </w:pPr>
            <w:r>
              <w:rPr>
                <w:rFonts w:ascii="Arial" w:cs="Arial" w:eastAsia="Arial" w:hAnsi="Arial"/>
                <w:sz w:val="18"/>
                <w:szCs w:val="18"/>
                <w:color w:val="auto"/>
              </w:rPr>
              <w:t>program.</w:t>
            </w:r>
          </w:p>
        </w:tc>
        <w:tc>
          <w:tcPr>
            <w:tcW w:w="0" w:type="dxa"/>
            <w:vAlign w:val="bottom"/>
          </w:tcPr>
          <w:p>
            <w:pPr>
              <w:spacing w:after="0"/>
              <w:rPr>
                <w:sz w:val="1"/>
                <w:szCs w:val="1"/>
                <w:color w:val="auto"/>
              </w:rPr>
            </w:pPr>
          </w:p>
        </w:tc>
      </w:tr>
      <w:tr>
        <w:trPr>
          <w:trHeight w:val="270"/>
        </w:trPr>
        <w:tc>
          <w:tcPr>
            <w:tcW w:w="1800" w:type="dxa"/>
            <w:vAlign w:val="bottom"/>
          </w:tcPr>
          <w:p>
            <w:pPr>
              <w:spacing w:after="0"/>
              <w:rPr>
                <w:sz w:val="23"/>
                <w:szCs w:val="23"/>
                <w:color w:val="auto"/>
              </w:rPr>
            </w:pPr>
          </w:p>
        </w:tc>
        <w:tc>
          <w:tcPr>
            <w:tcW w:w="9220" w:type="dxa"/>
            <w:vAlign w:val="bottom"/>
          </w:tcPr>
          <w:p>
            <w:pPr>
              <w:ind w:left="160"/>
              <w:spacing w:after="0"/>
              <w:rPr>
                <w:sz w:val="20"/>
                <w:szCs w:val="20"/>
                <w:color w:val="auto"/>
              </w:rPr>
            </w:pPr>
            <w:r>
              <w:rPr>
                <w:rFonts w:ascii="Arial" w:cs="Arial" w:eastAsia="Arial" w:hAnsi="Arial"/>
                <w:sz w:val="18"/>
                <w:szCs w:val="18"/>
                <w:color w:val="auto"/>
              </w:rPr>
              <w:t>•   Paid $34 million in common stock dividends.</w:t>
            </w:r>
          </w:p>
        </w:tc>
        <w:tc>
          <w:tcPr>
            <w:tcW w:w="0" w:type="dxa"/>
            <w:vAlign w:val="bottom"/>
          </w:tcPr>
          <w:p>
            <w:pPr>
              <w:spacing w:after="0"/>
              <w:rPr>
                <w:sz w:val="1"/>
                <w:szCs w:val="1"/>
                <w:color w:val="auto"/>
              </w:rPr>
            </w:pPr>
          </w:p>
        </w:tc>
      </w:tr>
      <w:tr>
        <w:trPr>
          <w:trHeight w:val="247"/>
        </w:trPr>
        <w:tc>
          <w:tcPr>
            <w:tcW w:w="180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FUNDING &amp;</w:t>
            </w:r>
          </w:p>
        </w:tc>
        <w:tc>
          <w:tcPr>
            <w:tcW w:w="9220" w:type="dxa"/>
            <w:vAlign w:val="bottom"/>
            <w:shd w:val="clear" w:color="auto" w:fill="F2F2F2"/>
          </w:tcPr>
          <w:p>
            <w:pPr>
              <w:ind w:left="160"/>
              <w:spacing w:after="0"/>
              <w:rPr>
                <w:sz w:val="20"/>
                <w:szCs w:val="20"/>
                <w:color w:val="auto"/>
              </w:rPr>
            </w:pPr>
            <w:r>
              <w:rPr>
                <w:rFonts w:ascii="Arial" w:cs="Arial" w:eastAsia="Arial" w:hAnsi="Arial"/>
                <w:sz w:val="18"/>
                <w:szCs w:val="18"/>
                <w:color w:val="auto"/>
              </w:rPr>
              <w:t>•   Issued $1.7 billion in term ABS.</w:t>
            </w:r>
          </w:p>
        </w:tc>
        <w:tc>
          <w:tcPr>
            <w:tcW w:w="0" w:type="dxa"/>
            <w:vAlign w:val="bottom"/>
          </w:tcPr>
          <w:p>
            <w:pPr>
              <w:spacing w:after="0"/>
              <w:rPr>
                <w:sz w:val="1"/>
                <w:szCs w:val="1"/>
                <w:color w:val="auto"/>
              </w:rPr>
            </w:pPr>
          </w:p>
        </w:tc>
      </w:tr>
      <w:tr>
        <w:trPr>
          <w:trHeight w:val="239"/>
        </w:trPr>
        <w:tc>
          <w:tcPr>
            <w:tcW w:w="180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LIQUIDITY</w:t>
            </w:r>
          </w:p>
        </w:tc>
        <w:tc>
          <w:tcPr>
            <w:tcW w:w="9220" w:type="dxa"/>
            <w:vAlign w:val="bottom"/>
            <w:vMerge w:val="restart"/>
            <w:shd w:val="clear" w:color="auto" w:fill="F2F2F2"/>
          </w:tcPr>
          <w:p>
            <w:pPr>
              <w:ind w:left="160"/>
              <w:spacing w:after="0"/>
              <w:rPr>
                <w:sz w:val="20"/>
                <w:szCs w:val="20"/>
                <w:color w:val="auto"/>
              </w:rPr>
            </w:pPr>
            <w:r>
              <w:rPr>
                <w:rFonts w:ascii="Arial" w:cs="Arial" w:eastAsia="Arial" w:hAnsi="Arial"/>
                <w:sz w:val="18"/>
                <w:szCs w:val="18"/>
                <w:color w:val="auto"/>
              </w:rPr>
              <w:t>•   Repurchased $1.0 billion of senior unsecured debt, resulting in a $14 million pre-tax Core Earnings loss. In</w:t>
            </w:r>
          </w:p>
        </w:tc>
        <w:tc>
          <w:tcPr>
            <w:tcW w:w="0" w:type="dxa"/>
            <w:vAlign w:val="bottom"/>
          </w:tcPr>
          <w:p>
            <w:pPr>
              <w:spacing w:after="0"/>
              <w:rPr>
                <w:sz w:val="1"/>
                <w:szCs w:val="1"/>
                <w:color w:val="auto"/>
              </w:rPr>
            </w:pPr>
          </w:p>
        </w:tc>
      </w:tr>
      <w:tr>
        <w:trPr>
          <w:trHeight w:val="53"/>
        </w:trPr>
        <w:tc>
          <w:tcPr>
            <w:tcW w:w="1800" w:type="dxa"/>
            <w:vAlign w:val="bottom"/>
            <w:shd w:val="clear" w:color="auto" w:fill="F2F2F2"/>
          </w:tcPr>
          <w:p>
            <w:pPr>
              <w:spacing w:after="0"/>
              <w:rPr>
                <w:sz w:val="4"/>
                <w:szCs w:val="4"/>
                <w:color w:val="auto"/>
              </w:rPr>
            </w:pPr>
          </w:p>
        </w:tc>
        <w:tc>
          <w:tcPr>
            <w:tcW w:w="9220" w:type="dxa"/>
            <w:vAlign w:val="bottom"/>
            <w:vMerge w:val="continue"/>
            <w:shd w:val="clear" w:color="auto" w:fill="F2F2F2"/>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800" w:type="dxa"/>
            <w:vAlign w:val="bottom"/>
            <w:shd w:val="clear" w:color="auto" w:fill="F2F2F2"/>
          </w:tcPr>
          <w:p>
            <w:pPr>
              <w:spacing w:after="0"/>
              <w:rPr>
                <w:sz w:val="17"/>
                <w:szCs w:val="17"/>
                <w:color w:val="auto"/>
              </w:rPr>
            </w:pPr>
          </w:p>
        </w:tc>
        <w:tc>
          <w:tcPr>
            <w:tcW w:w="9220" w:type="dxa"/>
            <w:vAlign w:val="bottom"/>
            <w:shd w:val="clear" w:color="auto" w:fill="F2F2F2"/>
          </w:tcPr>
          <w:p>
            <w:pPr>
              <w:ind w:left="500"/>
              <w:spacing w:after="0" w:line="202" w:lineRule="exact"/>
              <w:rPr>
                <w:sz w:val="20"/>
                <w:szCs w:val="20"/>
                <w:color w:val="auto"/>
              </w:rPr>
            </w:pPr>
            <w:r>
              <w:rPr>
                <w:rFonts w:ascii="Arial" w:cs="Arial" w:eastAsia="Arial" w:hAnsi="Arial"/>
                <w:sz w:val="18"/>
                <w:szCs w:val="18"/>
                <w:color w:val="auto"/>
              </w:rPr>
              <w:t>the year-ago quarter, repurchased $1.4 billion of senior unsecured debt resulting in an $18 million pre-tax</w:t>
            </w:r>
          </w:p>
        </w:tc>
        <w:tc>
          <w:tcPr>
            <w:tcW w:w="0" w:type="dxa"/>
            <w:vAlign w:val="bottom"/>
          </w:tcPr>
          <w:p>
            <w:pPr>
              <w:spacing w:after="0"/>
              <w:rPr>
                <w:sz w:val="1"/>
                <w:szCs w:val="1"/>
                <w:color w:val="auto"/>
              </w:rPr>
            </w:pPr>
          </w:p>
        </w:tc>
      </w:tr>
      <w:tr>
        <w:trPr>
          <w:trHeight w:val="217"/>
        </w:trPr>
        <w:tc>
          <w:tcPr>
            <w:tcW w:w="1800" w:type="dxa"/>
            <w:vAlign w:val="bottom"/>
            <w:shd w:val="clear" w:color="auto" w:fill="F2F2F2"/>
          </w:tcPr>
          <w:p>
            <w:pPr>
              <w:spacing w:after="0"/>
              <w:rPr>
                <w:sz w:val="18"/>
                <w:szCs w:val="18"/>
                <w:color w:val="auto"/>
              </w:rPr>
            </w:pPr>
          </w:p>
        </w:tc>
        <w:tc>
          <w:tcPr>
            <w:tcW w:w="9220" w:type="dxa"/>
            <w:vAlign w:val="bottom"/>
            <w:shd w:val="clear" w:color="auto" w:fill="F2F2F2"/>
          </w:tcPr>
          <w:p>
            <w:pPr>
              <w:ind w:left="500"/>
              <w:spacing w:after="0"/>
              <w:rPr>
                <w:sz w:val="20"/>
                <w:szCs w:val="20"/>
                <w:color w:val="auto"/>
              </w:rPr>
            </w:pPr>
            <w:r>
              <w:rPr>
                <w:rFonts w:ascii="Arial" w:cs="Arial" w:eastAsia="Arial" w:hAnsi="Arial"/>
                <w:sz w:val="18"/>
                <w:szCs w:val="18"/>
                <w:color w:val="auto"/>
              </w:rPr>
              <w:t>Core Earnings gain.</w:t>
            </w:r>
          </w:p>
        </w:tc>
        <w:tc>
          <w:tcPr>
            <w:tcW w:w="0" w:type="dxa"/>
            <w:vAlign w:val="bottom"/>
          </w:tcPr>
          <w:p>
            <w:pPr>
              <w:spacing w:after="0"/>
              <w:rPr>
                <w:sz w:val="1"/>
                <w:szCs w:val="1"/>
                <w:color w:val="auto"/>
              </w:rPr>
            </w:pPr>
          </w:p>
        </w:tc>
      </w:tr>
      <w:tr>
        <w:trPr>
          <w:trHeight w:val="284"/>
        </w:trPr>
        <w:tc>
          <w:tcPr>
            <w:tcW w:w="1800" w:type="dxa"/>
            <w:vAlign w:val="bottom"/>
          </w:tcPr>
          <w:p>
            <w:pPr>
              <w:ind w:left="80"/>
              <w:spacing w:after="0"/>
              <w:rPr>
                <w:sz w:val="20"/>
                <w:szCs w:val="20"/>
                <w:color w:val="auto"/>
              </w:rPr>
            </w:pPr>
            <w:r>
              <w:rPr>
                <w:rFonts w:ascii="Arial" w:cs="Arial" w:eastAsia="Arial" w:hAnsi="Arial"/>
                <w:sz w:val="18"/>
                <w:szCs w:val="18"/>
                <w:b w:val="1"/>
                <w:bCs w:val="1"/>
                <w:color w:val="auto"/>
              </w:rPr>
              <w:t>EXPENSES</w:t>
            </w:r>
          </w:p>
        </w:tc>
        <w:tc>
          <w:tcPr>
            <w:tcW w:w="9220" w:type="dxa"/>
            <w:vAlign w:val="bottom"/>
          </w:tcPr>
          <w:p>
            <w:pPr>
              <w:ind w:left="160"/>
              <w:spacing w:after="0"/>
              <w:rPr>
                <w:sz w:val="20"/>
                <w:szCs w:val="20"/>
                <w:color w:val="auto"/>
              </w:rPr>
            </w:pPr>
            <w:r>
              <w:rPr>
                <w:rFonts w:ascii="Arial" w:cs="Arial" w:eastAsia="Arial" w:hAnsi="Arial"/>
                <w:sz w:val="18"/>
                <w:szCs w:val="18"/>
                <w:color w:val="auto"/>
              </w:rPr>
              <w:t>•   Adjusted Core Earnings expenses</w:t>
            </w:r>
            <w:r>
              <w:rPr>
                <w:rFonts w:ascii="Arial" w:cs="Arial" w:eastAsia="Arial" w:hAnsi="Arial"/>
                <w:sz w:val="15"/>
                <w:szCs w:val="15"/>
                <w:color w:val="auto"/>
              </w:rPr>
              <w:t>(4)</w:t>
            </w:r>
            <w:r>
              <w:rPr>
                <w:rFonts w:ascii="Arial" w:cs="Arial" w:eastAsia="Arial" w:hAnsi="Arial"/>
                <w:sz w:val="18"/>
                <w:szCs w:val="18"/>
                <w:color w:val="auto"/>
              </w:rPr>
              <w:t xml:space="preserve"> remained unchanged at $244 million.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ind w:left="320" w:right="20" w:hanging="316"/>
        <w:spacing w:after="0" w:line="199" w:lineRule="auto"/>
        <w:tabs>
          <w:tab w:leader="none" w:pos="320" w:val="left"/>
        </w:tabs>
        <w:numPr>
          <w:ilvl w:val="0"/>
          <w:numId w:val="4"/>
        </w:numPr>
        <w:rPr>
          <w:rFonts w:ascii="Arial" w:cs="Arial" w:eastAsia="Arial" w:hAnsi="Arial"/>
          <w:sz w:val="24"/>
          <w:szCs w:val="24"/>
          <w:color w:val="auto"/>
          <w:vertAlign w:val="superscript"/>
        </w:rPr>
      </w:pPr>
      <w:r>
        <w:rPr>
          <w:rFonts w:ascii="Arial" w:cs="Arial" w:eastAsia="Arial" w:hAnsi="Arial"/>
          <w:sz w:val="14"/>
          <w:szCs w:val="14"/>
          <w:color w:val="auto"/>
        </w:rPr>
        <w:t>Adjusted diluted Core Earnings per share, a non-GAAP financial measure, excludes $(7) million and $12 million of net restructuring and regulatory-related expenses in fourth-quarters 2019 and 2018, respectively, and $12 million and $42 million in full-years 2019 and 2018, respectively. Fourth-quarter and full-year 2019 regulatory costs are net of $20 million and $30 million in insurance reimbursements, respectively, for covered costs related to such matters.</w:t>
      </w:r>
    </w:p>
    <w:p>
      <w:pPr>
        <w:ind w:left="320" w:hanging="316"/>
        <w:spacing w:after="0" w:line="199" w:lineRule="auto"/>
        <w:tabs>
          <w:tab w:leader="none" w:pos="320" w:val="left"/>
        </w:tabs>
        <w:numPr>
          <w:ilvl w:val="0"/>
          <w:numId w:val="4"/>
        </w:numPr>
        <w:rPr>
          <w:rFonts w:ascii="Arial" w:cs="Arial" w:eastAsia="Arial" w:hAnsi="Arial"/>
          <w:sz w:val="24"/>
          <w:szCs w:val="24"/>
          <w:color w:val="auto"/>
          <w:vertAlign w:val="superscript"/>
        </w:rPr>
      </w:pPr>
      <w:r>
        <w:rPr>
          <w:rFonts w:ascii="Arial" w:cs="Arial" w:eastAsia="Arial" w:hAnsi="Arial"/>
          <w:sz w:val="14"/>
          <w:szCs w:val="14"/>
          <w:color w:val="auto"/>
        </w:rPr>
        <w:t>Item is a non-GAAP financial measure. For an explanation and reconciliation of our non-GAAP financial measures, see page 4.</w:t>
      </w:r>
    </w:p>
    <w:p>
      <w:pPr>
        <w:spacing w:after="0" w:line="58" w:lineRule="exact"/>
        <w:rPr>
          <w:rFonts w:ascii="Arial" w:cs="Arial" w:eastAsia="Arial" w:hAnsi="Arial"/>
          <w:sz w:val="24"/>
          <w:szCs w:val="24"/>
          <w:color w:val="auto"/>
          <w:vertAlign w:val="superscript"/>
        </w:rPr>
      </w:pPr>
    </w:p>
    <w:p>
      <w:pPr>
        <w:ind w:left="320" w:hanging="316"/>
        <w:spacing w:after="0" w:line="189" w:lineRule="auto"/>
        <w:tabs>
          <w:tab w:leader="none" w:pos="320" w:val="left"/>
        </w:tabs>
        <w:numPr>
          <w:ilvl w:val="0"/>
          <w:numId w:val="4"/>
        </w:numPr>
        <w:rPr>
          <w:rFonts w:ascii="Arial" w:cs="Arial" w:eastAsia="Arial" w:hAnsi="Arial"/>
          <w:sz w:val="19"/>
          <w:szCs w:val="19"/>
          <w:color w:val="auto"/>
          <w:vertAlign w:val="superscript"/>
        </w:rPr>
      </w:pPr>
      <w:r>
        <w:rPr>
          <w:rFonts w:ascii="Arial" w:cs="Arial" w:eastAsia="Arial" w:hAnsi="Arial"/>
          <w:sz w:val="12"/>
          <w:szCs w:val="12"/>
          <w:color w:val="auto"/>
        </w:rPr>
        <w:t>Comparative to year-ago quarter unless stated otherwise.</w:t>
      </w:r>
    </w:p>
    <w:p>
      <w:pPr>
        <w:spacing w:after="0" w:line="57" w:lineRule="exact"/>
        <w:rPr>
          <w:rFonts w:ascii="Arial" w:cs="Arial" w:eastAsia="Arial" w:hAnsi="Arial"/>
          <w:sz w:val="19"/>
          <w:szCs w:val="19"/>
          <w:color w:val="auto"/>
          <w:vertAlign w:val="superscript"/>
        </w:rPr>
      </w:pPr>
    </w:p>
    <w:p>
      <w:pPr>
        <w:ind w:left="320" w:right="60" w:hanging="316"/>
        <w:spacing w:after="0" w:line="199" w:lineRule="auto"/>
        <w:tabs>
          <w:tab w:leader="none" w:pos="320" w:val="left"/>
        </w:tabs>
        <w:numPr>
          <w:ilvl w:val="0"/>
          <w:numId w:val="4"/>
        </w:numPr>
        <w:rPr>
          <w:rFonts w:ascii="Arial" w:cs="Arial" w:eastAsia="Arial" w:hAnsi="Arial"/>
          <w:sz w:val="24"/>
          <w:szCs w:val="24"/>
          <w:color w:val="auto"/>
          <w:vertAlign w:val="superscript"/>
        </w:rPr>
      </w:pPr>
      <w:r>
        <w:rPr>
          <w:rFonts w:ascii="Arial" w:cs="Arial" w:eastAsia="Arial" w:hAnsi="Arial"/>
          <w:sz w:val="14"/>
          <w:szCs w:val="14"/>
          <w:color w:val="auto"/>
        </w:rPr>
        <w:t>Adjusted Core Earnings expenses, a non-GAAP financial measure, exclude $(7) million and $12 million of net restructuring and regulatory-related expenses in fourth-quarter 2019 and fourth-quarter 2018, respectively. Fourth-quarter 2019 regulatory costs are net of $20 million in insurance reimbursements for covered costs related to such matters.</w:t>
      </w:r>
    </w:p>
    <w:p>
      <w:pPr>
        <w:sectPr>
          <w:pgSz w:w="11900" w:h="16838" w:orient="portrait"/>
          <w:cols w:equalWidth="0" w:num="1">
            <w:col w:w="11040"/>
          </w:cols>
          <w:pgMar w:left="440" w:top="118" w:right="419" w:bottom="1440" w:gutter="0" w:footer="0" w:header="0"/>
        </w:sectPr>
      </w:pPr>
    </w:p>
    <w:bookmarkStart w:id="5" w:name="page6"/>
    <w:bookmarkEnd w:id="5"/>
    <w:p>
      <w:pPr>
        <w:ind w:left="10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6997700"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7700" cy="205740"/>
                    </a:xfrm>
                    <a:prstGeom prst="rect">
                      <a:avLst/>
                    </a:prstGeom>
                    <a:noFill/>
                  </pic:spPr>
                </pic:pic>
              </a:graphicData>
            </a:graphic>
          </wp:anchor>
        </w:drawing>
        <w:t>SEGMENT RESULTS — CORE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6997700" cy="205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7700" cy="205740"/>
                    </a:xfrm>
                    <a:prstGeom prst="rect">
                      <a:avLst/>
                    </a:prstGeom>
                    <a:noFill/>
                  </pic:spPr>
                </pic:pic>
              </a:graphicData>
            </a:graphic>
          </wp:anchor>
        </w:drawing>
      </w:r>
    </w:p>
    <w:p>
      <w:pPr>
        <w:spacing w:after="0" w:line="34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FEDERAL EDUCATION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6997700" cy="3600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7700" cy="360045"/>
                    </a:xfrm>
                    <a:prstGeom prst="rect">
                      <a:avLst/>
                    </a:prstGeom>
                    <a:noFill/>
                  </pic:spPr>
                </pic:pic>
              </a:graphicData>
            </a:graphic>
          </wp:anchor>
        </w:drawing>
      </w:r>
    </w:p>
    <w:p>
      <w:pPr>
        <w:spacing w:after="0" w:line="119" w:lineRule="exact"/>
        <w:rPr>
          <w:sz w:val="20"/>
          <w:szCs w:val="20"/>
          <w:color w:val="auto"/>
        </w:rPr>
      </w:pPr>
    </w:p>
    <w:p>
      <w:pPr>
        <w:ind w:left="180" w:right="60"/>
        <w:spacing w:after="0" w:line="246" w:lineRule="auto"/>
        <w:rPr>
          <w:sz w:val="20"/>
          <w:szCs w:val="20"/>
          <w:color w:val="auto"/>
        </w:rPr>
      </w:pPr>
      <w:r>
        <w:rPr>
          <w:rFonts w:ascii="Arial" w:cs="Arial" w:eastAsia="Arial" w:hAnsi="Arial"/>
          <w:sz w:val="18"/>
          <w:szCs w:val="18"/>
          <w:color w:val="auto"/>
        </w:rPr>
        <w:t>In this segment, Navient holds and acquires FFELP Loans and performs servicing and asset recovery services on its own loan portfolio, federal education loans owned by the U.S. Department of Education and other institutions.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AND KEY PERFORMANCE METRICS</w:t>
      </w:r>
    </w:p>
    <w:p>
      <w:pPr>
        <w:spacing w:after="0" w:line="243" w:lineRule="exact"/>
        <w:rPr>
          <w:sz w:val="20"/>
          <w:szCs w:val="20"/>
          <w:color w:val="auto"/>
        </w:rPr>
      </w:pPr>
    </w:p>
    <w:tbl>
      <w:tblPr>
        <w:tblLayout w:type="fixed"/>
        <w:tblInd w:w="1120" w:type="dxa"/>
        <w:tblCellMar>
          <w:top w:w="0" w:type="dxa"/>
          <w:left w:w="0" w:type="dxa"/>
          <w:bottom w:w="0" w:type="dxa"/>
          <w:right w:w="0" w:type="dxa"/>
        </w:tblCellMar>
      </w:tblPr>
      <w:tr>
        <w:trPr>
          <w:trHeight w:val="221"/>
        </w:trPr>
        <w:tc>
          <w:tcPr>
            <w:tcW w:w="5320" w:type="dxa"/>
            <w:vAlign w:val="bottom"/>
            <w:gridSpan w:val="2"/>
          </w:tcPr>
          <w:p>
            <w:pPr>
              <w:spacing w:after="0"/>
              <w:rPr>
                <w:sz w:val="20"/>
                <w:szCs w:val="20"/>
                <w:color w:val="auto"/>
              </w:rPr>
            </w:pPr>
            <w:r>
              <w:rPr>
                <w:rFonts w:ascii="Arial" w:cs="Arial" w:eastAsia="Arial" w:hAnsi="Arial"/>
                <w:sz w:val="16"/>
                <w:szCs w:val="16"/>
                <w:b w:val="1"/>
                <w:bCs w:val="1"/>
                <w:color w:val="auto"/>
              </w:rPr>
              <w:t>(Dollars in millions)</w:t>
            </w:r>
          </w:p>
        </w:tc>
        <w:tc>
          <w:tcPr>
            <w:tcW w:w="140" w:type="dxa"/>
            <w:vAlign w:val="bottom"/>
          </w:tcPr>
          <w:p>
            <w:pPr>
              <w:spacing w:after="0"/>
              <w:rPr>
                <w:sz w:val="19"/>
                <w:szCs w:val="19"/>
                <w:color w:val="auto"/>
              </w:rPr>
            </w:pPr>
          </w:p>
        </w:tc>
        <w:tc>
          <w:tcPr>
            <w:tcW w:w="700" w:type="dxa"/>
            <w:vAlign w:val="bottom"/>
          </w:tcPr>
          <w:p>
            <w:pPr>
              <w:jc w:val="right"/>
              <w:ind w:right="99"/>
              <w:spacing w:after="0"/>
              <w:rPr>
                <w:sz w:val="20"/>
                <w:szCs w:val="20"/>
                <w:color w:val="auto"/>
              </w:rPr>
            </w:pPr>
            <w:r>
              <w:rPr>
                <w:rFonts w:ascii="Arial" w:cs="Arial" w:eastAsia="Arial" w:hAnsi="Arial"/>
                <w:sz w:val="16"/>
                <w:szCs w:val="16"/>
                <w:b w:val="1"/>
                <w:bCs w:val="1"/>
                <w:color w:val="auto"/>
              </w:rPr>
              <w:t>4Q19</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99"/>
              <w:spacing w:after="0"/>
              <w:rPr>
                <w:sz w:val="20"/>
                <w:szCs w:val="20"/>
                <w:color w:val="auto"/>
              </w:rPr>
            </w:pPr>
            <w:r>
              <w:rPr>
                <w:rFonts w:ascii="Arial" w:cs="Arial" w:eastAsia="Arial" w:hAnsi="Arial"/>
                <w:sz w:val="16"/>
                <w:szCs w:val="16"/>
                <w:b w:val="1"/>
                <w:bCs w:val="1"/>
                <w:color w:val="auto"/>
              </w:rPr>
              <w:t>3Q19</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4Q18</w:t>
            </w:r>
          </w:p>
        </w:tc>
      </w:tr>
      <w:tr>
        <w:trPr>
          <w:trHeight w:val="34"/>
        </w:trPr>
        <w:tc>
          <w:tcPr>
            <w:tcW w:w="500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interest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148</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144</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165</w:t>
            </w:r>
          </w:p>
        </w:tc>
        <w:tc>
          <w:tcPr>
            <w:tcW w:w="60" w:type="dxa"/>
            <w:vAlign w:val="bottom"/>
            <w:shd w:val="clear" w:color="auto" w:fill="CCEEFF"/>
          </w:tcPr>
          <w:p>
            <w:pPr>
              <w:spacing w:after="0"/>
              <w:rPr>
                <w:sz w:val="16"/>
                <w:szCs w:val="16"/>
                <w:color w:val="auto"/>
              </w:rPr>
            </w:pPr>
          </w:p>
        </w:tc>
      </w:tr>
      <w:tr>
        <w:trPr>
          <w:trHeight w:val="189"/>
        </w:trPr>
        <w:tc>
          <w:tcPr>
            <w:tcW w:w="5320" w:type="dxa"/>
            <w:vAlign w:val="bottom"/>
            <w:gridSpan w:val="2"/>
          </w:tcPr>
          <w:p>
            <w:pPr>
              <w:spacing w:after="0"/>
              <w:rPr>
                <w:sz w:val="20"/>
                <w:szCs w:val="20"/>
                <w:color w:val="auto"/>
              </w:rPr>
            </w:pPr>
            <w:r>
              <w:rPr>
                <w:rFonts w:ascii="Arial" w:cs="Arial" w:eastAsia="Arial" w:hAnsi="Arial"/>
                <w:sz w:val="16"/>
                <w:szCs w:val="16"/>
                <w:color w:val="auto"/>
              </w:rPr>
              <w:t>Provision for loan losses</w:t>
            </w:r>
          </w:p>
        </w:tc>
        <w:tc>
          <w:tcPr>
            <w:tcW w:w="140" w:type="dxa"/>
            <w:vAlign w:val="bottom"/>
          </w:tcPr>
          <w:p>
            <w:pPr>
              <w:spacing w:after="0"/>
              <w:rPr>
                <w:sz w:val="16"/>
                <w:szCs w:val="16"/>
                <w:color w:val="auto"/>
              </w:rPr>
            </w:pP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8</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8</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Arial" w:cs="Arial" w:eastAsia="Arial" w:hAnsi="Arial"/>
                <w:sz w:val="16"/>
                <w:szCs w:val="16"/>
                <w:color w:val="auto"/>
              </w:rPr>
              <w:t>10</w:t>
            </w:r>
          </w:p>
        </w:tc>
        <w:tc>
          <w:tcPr>
            <w:tcW w:w="60" w:type="dxa"/>
            <w:vAlign w:val="bottom"/>
          </w:tcPr>
          <w:p>
            <w:pPr>
              <w:spacing w:after="0"/>
              <w:rPr>
                <w:sz w:val="16"/>
                <w:szCs w:val="16"/>
                <w:color w:val="auto"/>
              </w:rPr>
            </w:pPr>
          </w:p>
        </w:tc>
      </w:tr>
      <w:tr>
        <w:trPr>
          <w:trHeight w:val="189"/>
        </w:trPr>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revenue</w:t>
            </w: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127</w:t>
            </w:r>
          </w:p>
        </w:tc>
        <w:tc>
          <w:tcPr>
            <w:tcW w:w="4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120</w:t>
            </w:r>
          </w:p>
        </w:tc>
        <w:tc>
          <w:tcPr>
            <w:tcW w:w="4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116</w:t>
            </w:r>
          </w:p>
        </w:tc>
        <w:tc>
          <w:tcPr>
            <w:tcW w:w="60" w:type="dxa"/>
            <w:vAlign w:val="bottom"/>
            <w:shd w:val="clear" w:color="auto" w:fill="CCEEFF"/>
          </w:tcPr>
          <w:p>
            <w:pPr>
              <w:spacing w:after="0"/>
              <w:rPr>
                <w:sz w:val="16"/>
                <w:szCs w:val="16"/>
                <w:color w:val="auto"/>
              </w:rPr>
            </w:pPr>
          </w:p>
        </w:tc>
      </w:tr>
      <w:tr>
        <w:trPr>
          <w:trHeight w:val="196"/>
        </w:trPr>
        <w:tc>
          <w:tcPr>
            <w:tcW w:w="5320" w:type="dxa"/>
            <w:vAlign w:val="bottom"/>
            <w:gridSpan w:val="2"/>
          </w:tcPr>
          <w:p>
            <w:pPr>
              <w:spacing w:after="0"/>
              <w:rPr>
                <w:sz w:val="20"/>
                <w:szCs w:val="20"/>
                <w:color w:val="auto"/>
              </w:rPr>
            </w:pPr>
            <w:r>
              <w:rPr>
                <w:rFonts w:ascii="Arial" w:cs="Arial" w:eastAsia="Arial" w:hAnsi="Arial"/>
                <w:sz w:val="16"/>
                <w:szCs w:val="16"/>
                <w:color w:val="auto"/>
              </w:rPr>
              <w:t>Total revenue</w:t>
            </w:r>
          </w:p>
        </w:tc>
        <w:tc>
          <w:tcPr>
            <w:tcW w:w="140" w:type="dxa"/>
            <w:vAlign w:val="bottom"/>
          </w:tcPr>
          <w:p>
            <w:pPr>
              <w:spacing w:after="0"/>
              <w:rPr>
                <w:sz w:val="17"/>
                <w:szCs w:val="17"/>
                <w:color w:val="auto"/>
              </w:rPr>
            </w:pP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267</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256</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99"/>
              <w:spacing w:after="0"/>
              <w:rPr>
                <w:sz w:val="20"/>
                <w:szCs w:val="20"/>
                <w:color w:val="auto"/>
              </w:rPr>
            </w:pPr>
            <w:r>
              <w:rPr>
                <w:rFonts w:ascii="Arial" w:cs="Arial" w:eastAsia="Arial" w:hAnsi="Arial"/>
                <w:sz w:val="16"/>
                <w:szCs w:val="16"/>
                <w:color w:val="auto"/>
              </w:rPr>
              <w:t>271</w:t>
            </w:r>
          </w:p>
        </w:tc>
        <w:tc>
          <w:tcPr>
            <w:tcW w:w="60" w:type="dxa"/>
            <w:vAlign w:val="bottom"/>
          </w:tcPr>
          <w:p>
            <w:pPr>
              <w:spacing w:after="0"/>
              <w:rPr>
                <w:sz w:val="17"/>
                <w:szCs w:val="17"/>
                <w:color w:val="auto"/>
              </w:rPr>
            </w:pPr>
          </w:p>
        </w:tc>
      </w:tr>
      <w:tr>
        <w:trPr>
          <w:trHeight w:val="189"/>
        </w:trPr>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Expenses</w:t>
            </w: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89</w:t>
            </w:r>
          </w:p>
        </w:tc>
        <w:tc>
          <w:tcPr>
            <w:tcW w:w="4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89</w:t>
            </w:r>
          </w:p>
        </w:tc>
        <w:tc>
          <w:tcPr>
            <w:tcW w:w="4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89</w:t>
            </w:r>
          </w:p>
        </w:tc>
        <w:tc>
          <w:tcPr>
            <w:tcW w:w="60" w:type="dxa"/>
            <w:vAlign w:val="bottom"/>
            <w:shd w:val="clear" w:color="auto" w:fill="CCEEFF"/>
          </w:tcPr>
          <w:p>
            <w:pPr>
              <w:spacing w:after="0"/>
              <w:rPr>
                <w:sz w:val="16"/>
                <w:szCs w:val="16"/>
                <w:color w:val="auto"/>
              </w:rPr>
            </w:pPr>
          </w:p>
        </w:tc>
      </w:tr>
      <w:tr>
        <w:trPr>
          <w:trHeight w:val="203"/>
        </w:trPr>
        <w:tc>
          <w:tcPr>
            <w:tcW w:w="5320" w:type="dxa"/>
            <w:vAlign w:val="bottom"/>
            <w:gridSpan w:val="2"/>
          </w:tcPr>
          <w:p>
            <w:pPr>
              <w:spacing w:after="0"/>
              <w:rPr>
                <w:sz w:val="20"/>
                <w:szCs w:val="20"/>
                <w:color w:val="auto"/>
              </w:rPr>
            </w:pPr>
            <w:r>
              <w:rPr>
                <w:rFonts w:ascii="Arial" w:cs="Arial" w:eastAsia="Arial" w:hAnsi="Arial"/>
                <w:sz w:val="16"/>
                <w:szCs w:val="16"/>
                <w:color w:val="auto"/>
              </w:rPr>
              <w:t>Pre-tax income</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178</w:t>
            </w:r>
          </w:p>
        </w:tc>
        <w:tc>
          <w:tcPr>
            <w:tcW w:w="4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167</w:t>
            </w:r>
          </w:p>
        </w:tc>
        <w:tc>
          <w:tcPr>
            <w:tcW w:w="4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182</w:t>
            </w:r>
          </w:p>
        </w:tc>
        <w:tc>
          <w:tcPr>
            <w:tcW w:w="60" w:type="dxa"/>
            <w:vAlign w:val="bottom"/>
          </w:tcPr>
          <w:p>
            <w:pPr>
              <w:spacing w:after="0"/>
              <w:rPr>
                <w:sz w:val="17"/>
                <w:szCs w:val="17"/>
                <w:color w:val="auto"/>
              </w:rPr>
            </w:pPr>
          </w:p>
        </w:tc>
      </w:tr>
      <w:tr>
        <w:trPr>
          <w:trHeight w:val="189"/>
        </w:trPr>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136</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128</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147</w:t>
            </w:r>
          </w:p>
        </w:tc>
        <w:tc>
          <w:tcPr>
            <w:tcW w:w="60" w:type="dxa"/>
            <w:vAlign w:val="bottom"/>
            <w:shd w:val="clear" w:color="auto" w:fill="CCEEFF"/>
          </w:tcPr>
          <w:p>
            <w:pPr>
              <w:spacing w:after="0"/>
              <w:rPr>
                <w:sz w:val="16"/>
                <w:szCs w:val="16"/>
                <w:color w:val="auto"/>
              </w:rPr>
            </w:pPr>
          </w:p>
        </w:tc>
      </w:tr>
      <w:tr>
        <w:trPr>
          <w:trHeight w:val="20"/>
        </w:trPr>
        <w:tc>
          <w:tcPr>
            <w:tcW w:w="5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1"/>
        </w:trPr>
        <w:tc>
          <w:tcPr>
            <w:tcW w:w="5320" w:type="dxa"/>
            <w:vAlign w:val="bottom"/>
            <w:gridSpan w:val="2"/>
          </w:tcPr>
          <w:p>
            <w:pPr>
              <w:spacing w:after="0"/>
              <w:rPr>
                <w:sz w:val="20"/>
                <w:szCs w:val="20"/>
                <w:color w:val="auto"/>
              </w:rPr>
            </w:pPr>
            <w:r>
              <w:rPr>
                <w:rFonts w:ascii="Arial" w:cs="Arial" w:eastAsia="Arial" w:hAnsi="Arial"/>
                <w:sz w:val="16"/>
                <w:szCs w:val="16"/>
                <w:color w:val="auto"/>
              </w:rPr>
              <w:t>Segment net interest margin</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.87%</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.82%</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.86%</w:t>
            </w:r>
          </w:p>
        </w:tc>
        <w:tc>
          <w:tcPr>
            <w:tcW w:w="60" w:type="dxa"/>
            <w:vAlign w:val="bottom"/>
          </w:tcPr>
          <w:p>
            <w:pPr>
              <w:spacing w:after="0"/>
              <w:rPr>
                <w:sz w:val="24"/>
                <w:szCs w:val="24"/>
                <w:color w:val="auto"/>
              </w:rPr>
            </w:pPr>
          </w:p>
        </w:tc>
      </w:tr>
      <w:tr>
        <w:trPr>
          <w:trHeight w:val="189"/>
        </w:trPr>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FFELP Loans:</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5320" w:type="dxa"/>
            <w:vAlign w:val="bottom"/>
            <w:gridSpan w:val="2"/>
          </w:tcPr>
          <w:p>
            <w:pPr>
              <w:ind w:left="420"/>
              <w:spacing w:after="0"/>
              <w:rPr>
                <w:sz w:val="20"/>
                <w:szCs w:val="20"/>
                <w:color w:val="auto"/>
              </w:rPr>
            </w:pPr>
            <w:r>
              <w:rPr>
                <w:rFonts w:ascii="Arial" w:cs="Arial" w:eastAsia="Arial" w:hAnsi="Arial"/>
                <w:sz w:val="16"/>
                <w:szCs w:val="16"/>
                <w:color w:val="auto"/>
              </w:rPr>
              <w:t>FFELP Loan spread</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.93%</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.88%</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.92%</w:t>
            </w:r>
          </w:p>
        </w:tc>
        <w:tc>
          <w:tcPr>
            <w:tcW w:w="60" w:type="dxa"/>
            <w:vAlign w:val="bottom"/>
          </w:tcPr>
          <w:p>
            <w:pPr>
              <w:spacing w:after="0"/>
              <w:rPr>
                <w:sz w:val="16"/>
                <w:szCs w:val="16"/>
                <w:color w:val="auto"/>
              </w:rPr>
            </w:pPr>
          </w:p>
        </w:tc>
      </w:tr>
      <w:tr>
        <w:trPr>
          <w:trHeight w:val="189"/>
        </w:trPr>
        <w:tc>
          <w:tcPr>
            <w:tcW w:w="53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Provision for loan losses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w:t>
            </w:r>
          </w:p>
        </w:tc>
        <w:tc>
          <w:tcPr>
            <w:tcW w:w="60" w:type="dxa"/>
            <w:vAlign w:val="bottom"/>
            <w:shd w:val="clear" w:color="auto" w:fill="CCEEFF"/>
          </w:tcPr>
          <w:p>
            <w:pPr>
              <w:spacing w:after="0"/>
              <w:rPr>
                <w:sz w:val="16"/>
                <w:szCs w:val="16"/>
                <w:color w:val="auto"/>
              </w:rPr>
            </w:pPr>
          </w:p>
        </w:tc>
      </w:tr>
      <w:tr>
        <w:trPr>
          <w:trHeight w:val="189"/>
        </w:trPr>
        <w:tc>
          <w:tcPr>
            <w:tcW w:w="5320" w:type="dxa"/>
            <w:vAlign w:val="bottom"/>
            <w:gridSpan w:val="2"/>
          </w:tcPr>
          <w:p>
            <w:pPr>
              <w:ind w:left="420"/>
              <w:spacing w:after="0"/>
              <w:rPr>
                <w:sz w:val="20"/>
                <w:szCs w:val="20"/>
                <w:color w:val="auto"/>
              </w:rPr>
            </w:pPr>
            <w:r>
              <w:rPr>
                <w:rFonts w:ascii="Arial" w:cs="Arial" w:eastAsia="Arial" w:hAnsi="Arial"/>
                <w:sz w:val="16"/>
                <w:szCs w:val="16"/>
                <w:color w:val="auto"/>
              </w:rPr>
              <w:t>Charge-offs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9</w:t>
            </w: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9</w:t>
            </w: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99"/>
              <w:spacing w:after="0"/>
              <w:rPr>
                <w:sz w:val="20"/>
                <w:szCs w:val="20"/>
                <w:color w:val="auto"/>
              </w:rPr>
            </w:pPr>
            <w:r>
              <w:rPr>
                <w:rFonts w:ascii="Arial" w:cs="Arial" w:eastAsia="Arial" w:hAnsi="Arial"/>
                <w:sz w:val="16"/>
                <w:szCs w:val="16"/>
                <w:color w:val="auto"/>
              </w:rPr>
              <w:t>13</w:t>
            </w:r>
          </w:p>
        </w:tc>
        <w:tc>
          <w:tcPr>
            <w:tcW w:w="60" w:type="dxa"/>
            <w:vAlign w:val="bottom"/>
          </w:tcPr>
          <w:p>
            <w:pPr>
              <w:spacing w:after="0"/>
              <w:rPr>
                <w:sz w:val="16"/>
                <w:szCs w:val="16"/>
                <w:color w:val="auto"/>
              </w:rPr>
            </w:pPr>
          </w:p>
        </w:tc>
      </w:tr>
      <w:tr>
        <w:trPr>
          <w:trHeight w:val="189"/>
        </w:trPr>
        <w:tc>
          <w:tcPr>
            <w:tcW w:w="53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Charge-off rate</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60" w:type="dxa"/>
            <w:vAlign w:val="bottom"/>
            <w:shd w:val="clear" w:color="auto" w:fill="CCEEFF"/>
          </w:tcPr>
          <w:p>
            <w:pPr>
              <w:spacing w:after="0"/>
              <w:rPr>
                <w:sz w:val="16"/>
                <w:szCs w:val="16"/>
                <w:color w:val="auto"/>
              </w:rPr>
            </w:pPr>
          </w:p>
        </w:tc>
      </w:tr>
      <w:tr>
        <w:trPr>
          <w:trHeight w:val="189"/>
        </w:trPr>
        <w:tc>
          <w:tcPr>
            <w:tcW w:w="5320" w:type="dxa"/>
            <w:vAlign w:val="bottom"/>
            <w:gridSpan w:val="2"/>
          </w:tcPr>
          <w:p>
            <w:pPr>
              <w:ind w:left="420"/>
              <w:spacing w:after="0"/>
              <w:rPr>
                <w:sz w:val="20"/>
                <w:szCs w:val="20"/>
                <w:color w:val="auto"/>
              </w:rPr>
            </w:pPr>
            <w:r>
              <w:rPr>
                <w:rFonts w:ascii="Arial" w:cs="Arial" w:eastAsia="Arial" w:hAnsi="Arial"/>
                <w:sz w:val="16"/>
                <w:szCs w:val="16"/>
                <w:color w:val="auto"/>
              </w:rPr>
              <w:t>Greater than 30-days delinquency rate</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11.7%</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10.3%</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10.2%</w:t>
            </w:r>
          </w:p>
        </w:tc>
        <w:tc>
          <w:tcPr>
            <w:tcW w:w="60" w:type="dxa"/>
            <w:vAlign w:val="bottom"/>
          </w:tcPr>
          <w:p>
            <w:pPr>
              <w:spacing w:after="0"/>
              <w:rPr>
                <w:sz w:val="16"/>
                <w:szCs w:val="16"/>
                <w:color w:val="auto"/>
              </w:rPr>
            </w:pPr>
          </w:p>
        </w:tc>
      </w:tr>
      <w:tr>
        <w:trPr>
          <w:trHeight w:val="189"/>
        </w:trPr>
        <w:tc>
          <w:tcPr>
            <w:tcW w:w="53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Greater than 90-days delinquency rate</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60" w:type="dxa"/>
            <w:vAlign w:val="bottom"/>
            <w:shd w:val="clear" w:color="auto" w:fill="CCEEFF"/>
          </w:tcPr>
          <w:p>
            <w:pPr>
              <w:spacing w:after="0"/>
              <w:rPr>
                <w:sz w:val="16"/>
                <w:szCs w:val="16"/>
                <w:color w:val="auto"/>
              </w:rPr>
            </w:pPr>
          </w:p>
        </w:tc>
      </w:tr>
      <w:tr>
        <w:trPr>
          <w:trHeight w:val="189"/>
        </w:trPr>
        <w:tc>
          <w:tcPr>
            <w:tcW w:w="5320" w:type="dxa"/>
            <w:vAlign w:val="bottom"/>
            <w:gridSpan w:val="2"/>
          </w:tcPr>
          <w:p>
            <w:pPr>
              <w:ind w:left="420"/>
              <w:spacing w:after="0"/>
              <w:rPr>
                <w:sz w:val="20"/>
                <w:szCs w:val="20"/>
                <w:color w:val="auto"/>
              </w:rPr>
            </w:pPr>
            <w:r>
              <w:rPr>
                <w:rFonts w:ascii="Arial" w:cs="Arial" w:eastAsia="Arial" w:hAnsi="Arial"/>
                <w:sz w:val="16"/>
                <w:szCs w:val="16"/>
                <w:color w:val="auto"/>
              </w:rPr>
              <w:t>Forbearance rate</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12.2%</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12.6%</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12.3%</w:t>
            </w:r>
          </w:p>
        </w:tc>
        <w:tc>
          <w:tcPr>
            <w:tcW w:w="60" w:type="dxa"/>
            <w:vAlign w:val="bottom"/>
          </w:tcPr>
          <w:p>
            <w:pPr>
              <w:spacing w:after="0"/>
              <w:rPr>
                <w:sz w:val="16"/>
                <w:szCs w:val="16"/>
                <w:color w:val="auto"/>
              </w:rPr>
            </w:pPr>
          </w:p>
        </w:tc>
      </w:tr>
      <w:tr>
        <w:trPr>
          <w:trHeight w:val="189"/>
        </w:trPr>
        <w:tc>
          <w:tcPr>
            <w:tcW w:w="53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Average FFELP Loans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8"/>
              </w:rPr>
              <w:t>65,642</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8"/>
              </w:rPr>
              <w:t>67,206</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98"/>
              </w:rPr>
              <w:t>73,425</w:t>
            </w:r>
          </w:p>
        </w:tc>
        <w:tc>
          <w:tcPr>
            <w:tcW w:w="60" w:type="dxa"/>
            <w:vAlign w:val="bottom"/>
            <w:shd w:val="clear" w:color="auto" w:fill="CCEEFF"/>
          </w:tcPr>
          <w:p>
            <w:pPr>
              <w:spacing w:after="0"/>
              <w:rPr>
                <w:sz w:val="16"/>
                <w:szCs w:val="16"/>
                <w:color w:val="auto"/>
              </w:rPr>
            </w:pPr>
          </w:p>
        </w:tc>
      </w:tr>
      <w:tr>
        <w:trPr>
          <w:trHeight w:val="197"/>
        </w:trPr>
        <w:tc>
          <w:tcPr>
            <w:tcW w:w="5320" w:type="dxa"/>
            <w:vAlign w:val="bottom"/>
            <w:gridSpan w:val="2"/>
          </w:tcPr>
          <w:p>
            <w:pPr>
              <w:ind w:left="420"/>
              <w:spacing w:after="0"/>
              <w:rPr>
                <w:sz w:val="20"/>
                <w:szCs w:val="20"/>
                <w:color w:val="auto"/>
              </w:rPr>
            </w:pPr>
            <w:r>
              <w:rPr>
                <w:rFonts w:ascii="Arial" w:cs="Arial" w:eastAsia="Arial" w:hAnsi="Arial"/>
                <w:sz w:val="16"/>
                <w:szCs w:val="16"/>
                <w:color w:val="auto"/>
              </w:rPr>
              <w:t>Ending FFELP Loans, net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19"/>
              <w:spacing w:after="0"/>
              <w:rPr>
                <w:sz w:val="20"/>
                <w:szCs w:val="20"/>
                <w:color w:val="auto"/>
              </w:rPr>
            </w:pPr>
            <w:r>
              <w:rPr>
                <w:rFonts w:ascii="Arial" w:cs="Arial" w:eastAsia="Arial" w:hAnsi="Arial"/>
                <w:sz w:val="16"/>
                <w:szCs w:val="16"/>
                <w:color w:val="auto"/>
                <w:w w:val="98"/>
              </w:rPr>
              <w:t>64,575</w:t>
            </w: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19"/>
              <w:spacing w:after="0"/>
              <w:rPr>
                <w:sz w:val="20"/>
                <w:szCs w:val="20"/>
                <w:color w:val="auto"/>
              </w:rPr>
            </w:pPr>
            <w:r>
              <w:rPr>
                <w:rFonts w:ascii="Arial" w:cs="Arial" w:eastAsia="Arial" w:hAnsi="Arial"/>
                <w:sz w:val="16"/>
                <w:szCs w:val="16"/>
                <w:color w:val="auto"/>
                <w:w w:val="98"/>
              </w:rPr>
              <w:t>66,087</w:t>
            </w: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99"/>
              <w:spacing w:after="0"/>
              <w:rPr>
                <w:sz w:val="20"/>
                <w:szCs w:val="20"/>
                <w:color w:val="auto"/>
              </w:rPr>
            </w:pPr>
            <w:r>
              <w:rPr>
                <w:rFonts w:ascii="Arial" w:cs="Arial" w:eastAsia="Arial" w:hAnsi="Arial"/>
                <w:sz w:val="16"/>
                <w:szCs w:val="16"/>
                <w:color w:val="auto"/>
                <w:w w:val="98"/>
              </w:rPr>
              <w:t>72,253</w:t>
            </w:r>
          </w:p>
        </w:tc>
        <w:tc>
          <w:tcPr>
            <w:tcW w:w="60" w:type="dxa"/>
            <w:vAlign w:val="bottom"/>
          </w:tcPr>
          <w:p>
            <w:pPr>
              <w:spacing w:after="0"/>
              <w:rPr>
                <w:sz w:val="17"/>
                <w:szCs w:val="17"/>
                <w:color w:val="auto"/>
              </w:rPr>
            </w:pPr>
          </w:p>
        </w:tc>
      </w:tr>
      <w:tr>
        <w:trPr>
          <w:trHeight w:val="408"/>
        </w:trPr>
        <w:tc>
          <w:tcPr>
            <w:tcW w:w="50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(Dollars in billions)</w:t>
            </w:r>
          </w:p>
        </w:tc>
        <w:tc>
          <w:tcPr>
            <w:tcW w:w="3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r>
      <w:tr>
        <w:trPr>
          <w:trHeight w:val="186"/>
        </w:trPr>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Number of accounts serviced for ED (in millions)</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5.6</w:t>
            </w: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5.7</w:t>
            </w: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5.9</w:t>
            </w:r>
          </w:p>
        </w:tc>
        <w:tc>
          <w:tcPr>
            <w:tcW w:w="60" w:type="dxa"/>
            <w:vAlign w:val="bottom"/>
            <w:shd w:val="clear" w:color="auto" w:fill="CCEEFF"/>
          </w:tcPr>
          <w:p>
            <w:pPr>
              <w:spacing w:after="0"/>
              <w:rPr>
                <w:sz w:val="16"/>
                <w:szCs w:val="16"/>
                <w:color w:val="auto"/>
              </w:rPr>
            </w:pPr>
          </w:p>
        </w:tc>
      </w:tr>
      <w:tr>
        <w:trPr>
          <w:trHeight w:val="189"/>
        </w:trPr>
        <w:tc>
          <w:tcPr>
            <w:tcW w:w="5320" w:type="dxa"/>
            <w:vAlign w:val="bottom"/>
            <w:gridSpan w:val="2"/>
          </w:tcPr>
          <w:p>
            <w:pPr>
              <w:spacing w:after="0"/>
              <w:rPr>
                <w:sz w:val="20"/>
                <w:szCs w:val="20"/>
                <w:color w:val="auto"/>
              </w:rPr>
            </w:pPr>
            <w:r>
              <w:rPr>
                <w:rFonts w:ascii="Arial" w:cs="Arial" w:eastAsia="Arial" w:hAnsi="Arial"/>
                <w:sz w:val="16"/>
                <w:szCs w:val="16"/>
                <w:color w:val="auto"/>
              </w:rPr>
              <w:t>Total federal loans serviced</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287</w:t>
            </w: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289</w:t>
            </w: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99"/>
              <w:spacing w:after="0"/>
              <w:rPr>
                <w:sz w:val="20"/>
                <w:szCs w:val="20"/>
                <w:color w:val="auto"/>
              </w:rPr>
            </w:pPr>
            <w:r>
              <w:rPr>
                <w:rFonts w:ascii="Arial" w:cs="Arial" w:eastAsia="Arial" w:hAnsi="Arial"/>
                <w:sz w:val="16"/>
                <w:szCs w:val="16"/>
                <w:color w:val="auto"/>
              </w:rPr>
              <w:t>292</w:t>
            </w:r>
          </w:p>
        </w:tc>
        <w:tc>
          <w:tcPr>
            <w:tcW w:w="60" w:type="dxa"/>
            <w:vAlign w:val="bottom"/>
          </w:tcPr>
          <w:p>
            <w:pPr>
              <w:spacing w:after="0"/>
              <w:rPr>
                <w:sz w:val="16"/>
                <w:szCs w:val="16"/>
                <w:color w:val="auto"/>
              </w:rPr>
            </w:pPr>
          </w:p>
        </w:tc>
      </w:tr>
      <w:tr>
        <w:trPr>
          <w:trHeight w:val="223"/>
        </w:trPr>
        <w:tc>
          <w:tcPr>
            <w:tcW w:w="5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Contingent collections receivables inventory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19.0</w:t>
            </w: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23.3</w:t>
            </w: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28.3</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
        </w:trPr>
        <w:tc>
          <w:tcPr>
            <w:tcW w:w="50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RESULTS — 4Q19 vs. 4Q18</w:t>
      </w:r>
    </w:p>
    <w:p>
      <w:pPr>
        <w:spacing w:after="0" w:line="139" w:lineRule="exact"/>
        <w:rPr>
          <w:sz w:val="20"/>
          <w:szCs w:val="20"/>
          <w:color w:val="auto"/>
        </w:rPr>
      </w:pPr>
    </w:p>
    <w:p>
      <w:pPr>
        <w:ind w:left="440" w:hanging="436"/>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Core Earnings were $136 million compared to $147 million in the year-ago quarter.</w:t>
      </w:r>
    </w:p>
    <w:p>
      <w:pPr>
        <w:spacing w:after="0" w:line="117" w:lineRule="exact"/>
        <w:rPr>
          <w:rFonts w:ascii="Arial" w:cs="Arial" w:eastAsia="Arial" w:hAnsi="Arial"/>
          <w:sz w:val="18"/>
          <w:szCs w:val="18"/>
          <w:color w:val="auto"/>
        </w:rPr>
      </w:pPr>
    </w:p>
    <w:p>
      <w:pPr>
        <w:ind w:left="440" w:hanging="436"/>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interest income decreased $17 million primarily due to the continued natural paydown of the portfolio.</w:t>
      </w:r>
    </w:p>
    <w:p>
      <w:pPr>
        <w:spacing w:after="0" w:line="117" w:lineRule="exact"/>
        <w:rPr>
          <w:rFonts w:ascii="Arial" w:cs="Arial" w:eastAsia="Arial" w:hAnsi="Arial"/>
          <w:sz w:val="18"/>
          <w:szCs w:val="18"/>
          <w:color w:val="auto"/>
        </w:rPr>
      </w:pPr>
    </w:p>
    <w:p>
      <w:pPr>
        <w:ind w:left="440" w:hanging="436"/>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Provision for loan losses decreased $2 million. Charge-offs declined 31% to $9 million from the year-ago quarter.</w:t>
      </w:r>
    </w:p>
    <w:p>
      <w:pPr>
        <w:spacing w:after="0" w:line="117" w:lineRule="exact"/>
        <w:rPr>
          <w:rFonts w:ascii="Arial" w:cs="Arial" w:eastAsia="Arial" w:hAnsi="Arial"/>
          <w:sz w:val="18"/>
          <w:szCs w:val="18"/>
          <w:color w:val="auto"/>
        </w:rPr>
      </w:pPr>
    </w:p>
    <w:p>
      <w:pPr>
        <w:ind w:left="440" w:right="120" w:hanging="436"/>
        <w:spacing w:after="0" w:line="246"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revenue increased $11 million primarily due to a $14 million (27%) increase in asset recovery revenue, primarily as a result of higher account resolution.</w:t>
      </w:r>
    </w:p>
    <w:p>
      <w:pPr>
        <w:spacing w:after="0" w:line="102" w:lineRule="exact"/>
        <w:rPr>
          <w:rFonts w:ascii="Arial" w:cs="Arial" w:eastAsia="Arial" w:hAnsi="Arial"/>
          <w:sz w:val="18"/>
          <w:szCs w:val="18"/>
          <w:color w:val="auto"/>
        </w:rPr>
      </w:pPr>
    </w:p>
    <w:p>
      <w:pPr>
        <w:ind w:left="440" w:right="40" w:hanging="436"/>
        <w:spacing w:after="0" w:line="246"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expenses were unchanged primarily due to the increase in asset recovery revenue which was offset by reduced expenses in connection with efficiency initiatives.</w:t>
      </w:r>
    </w:p>
    <w:p>
      <w:pPr>
        <w:spacing w:after="0" w:line="102" w:lineRule="exact"/>
        <w:rPr>
          <w:rFonts w:ascii="Arial" w:cs="Arial" w:eastAsia="Arial" w:hAnsi="Arial"/>
          <w:sz w:val="18"/>
          <w:szCs w:val="18"/>
          <w:color w:val="auto"/>
        </w:rPr>
      </w:pPr>
    </w:p>
    <w:p>
      <w:pPr>
        <w:ind w:left="440" w:hanging="436"/>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acquired $280 million of FFELP Loans in the quarter.</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020"/>
          </w:cols>
          <w:pgMar w:left="440" w:top="333" w:right="439" w:bottom="1440" w:gutter="0" w:footer="0" w:header="0"/>
        </w:sectPr>
      </w:pPr>
    </w:p>
    <w:bookmarkStart w:id="6" w:name="page7"/>
    <w:bookmarkEnd w:id="6"/>
    <w:p>
      <w:pPr>
        <w:ind w:left="12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283845</wp:posOffset>
            </wp:positionH>
            <wp:positionV relativeFrom="page">
              <wp:posOffset>180975</wp:posOffset>
            </wp:positionV>
            <wp:extent cx="7002145" cy="407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2145" cy="407035"/>
                    </a:xfrm>
                    <a:prstGeom prst="rect">
                      <a:avLst/>
                    </a:prstGeom>
                    <a:noFill/>
                  </pic:spPr>
                </pic:pic>
              </a:graphicData>
            </a:graphic>
          </wp:anchor>
        </w:drawing>
        <w:t>CONSUMER LENDING</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this segment, Navient holds, originates and acquires consumer loans and performs servicing activities on its own loan portfolio.</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AND KEY PERFORMANCE METRICS</w:t>
      </w:r>
    </w:p>
    <w:p>
      <w:pPr>
        <w:spacing w:after="0" w:line="243" w:lineRule="exact"/>
        <w:rPr>
          <w:sz w:val="20"/>
          <w:szCs w:val="20"/>
          <w:color w:val="auto"/>
        </w:rPr>
      </w:pPr>
    </w:p>
    <w:tbl>
      <w:tblPr>
        <w:tblLayout w:type="fixed"/>
        <w:tblInd w:w="1000" w:type="dxa"/>
        <w:tblCellMar>
          <w:top w:w="0" w:type="dxa"/>
          <w:left w:w="0" w:type="dxa"/>
          <w:bottom w:w="0" w:type="dxa"/>
          <w:right w:w="0" w:type="dxa"/>
        </w:tblCellMar>
      </w:tblPr>
      <w:tr>
        <w:trPr>
          <w:trHeight w:val="221"/>
        </w:trPr>
        <w:tc>
          <w:tcPr>
            <w:tcW w:w="6160" w:type="dxa"/>
            <w:vAlign w:val="bottom"/>
            <w:gridSpan w:val="2"/>
          </w:tcPr>
          <w:p>
            <w:pPr>
              <w:spacing w:after="0"/>
              <w:rPr>
                <w:sz w:val="20"/>
                <w:szCs w:val="20"/>
                <w:color w:val="auto"/>
              </w:rPr>
            </w:pPr>
            <w:r>
              <w:rPr>
                <w:rFonts w:ascii="Arial" w:cs="Arial" w:eastAsia="Arial" w:hAnsi="Arial"/>
                <w:sz w:val="16"/>
                <w:szCs w:val="16"/>
                <w:b w:val="1"/>
                <w:bCs w:val="1"/>
                <w:color w:val="auto"/>
              </w:rPr>
              <w:t>(Dollars in millions)</w:t>
            </w:r>
          </w:p>
        </w:tc>
        <w:tc>
          <w:tcPr>
            <w:tcW w:w="160" w:type="dxa"/>
            <w:vAlign w:val="bottom"/>
          </w:tcPr>
          <w:p>
            <w:pPr>
              <w:spacing w:after="0"/>
              <w:rPr>
                <w:sz w:val="19"/>
                <w:szCs w:val="19"/>
                <w:color w:val="auto"/>
              </w:rPr>
            </w:pPr>
          </w:p>
        </w:tc>
        <w:tc>
          <w:tcPr>
            <w:tcW w:w="680" w:type="dxa"/>
            <w:vAlign w:val="bottom"/>
          </w:tcPr>
          <w:p>
            <w:pPr>
              <w:jc w:val="right"/>
              <w:ind w:right="139"/>
              <w:spacing w:after="0"/>
              <w:rPr>
                <w:sz w:val="20"/>
                <w:szCs w:val="20"/>
                <w:color w:val="auto"/>
              </w:rPr>
            </w:pPr>
            <w:r>
              <w:rPr>
                <w:rFonts w:ascii="Arial" w:cs="Arial" w:eastAsia="Arial" w:hAnsi="Arial"/>
                <w:sz w:val="16"/>
                <w:szCs w:val="16"/>
                <w:b w:val="1"/>
                <w:bCs w:val="1"/>
                <w:color w:val="auto"/>
              </w:rPr>
              <w:t>4Q19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139"/>
              <w:spacing w:after="0"/>
              <w:rPr>
                <w:sz w:val="20"/>
                <w:szCs w:val="20"/>
                <w:color w:val="auto"/>
              </w:rPr>
            </w:pPr>
            <w:r>
              <w:rPr>
                <w:rFonts w:ascii="Arial" w:cs="Arial" w:eastAsia="Arial" w:hAnsi="Arial"/>
                <w:sz w:val="16"/>
                <w:szCs w:val="16"/>
                <w:b w:val="1"/>
                <w:bCs w:val="1"/>
                <w:color w:val="auto"/>
              </w:rPr>
              <w:t>3Q19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ind w:left="80"/>
              <w:spacing w:after="0"/>
              <w:rPr>
                <w:sz w:val="20"/>
                <w:szCs w:val="20"/>
                <w:color w:val="auto"/>
              </w:rPr>
            </w:pPr>
            <w:r>
              <w:rPr>
                <w:rFonts w:ascii="Arial" w:cs="Arial" w:eastAsia="Arial" w:hAnsi="Arial"/>
                <w:sz w:val="16"/>
                <w:szCs w:val="16"/>
                <w:b w:val="1"/>
                <w:bCs w:val="1"/>
                <w:color w:val="auto"/>
              </w:rPr>
              <w:t>4Q18</w:t>
            </w:r>
          </w:p>
        </w:tc>
      </w:tr>
      <w:tr>
        <w:trPr>
          <w:trHeight w:val="34"/>
        </w:trPr>
        <w:tc>
          <w:tcPr>
            <w:tcW w:w="60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6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interest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189</w:t>
            </w:r>
          </w:p>
        </w:tc>
        <w:tc>
          <w:tcPr>
            <w:tcW w:w="60" w:type="dxa"/>
            <w:vAlign w:val="bottom"/>
            <w:shd w:val="clear" w:color="auto" w:fill="CCEEFF"/>
          </w:tcPr>
          <w:p>
            <w:pPr>
              <w:spacing w:after="0"/>
              <w:rPr>
                <w:sz w:val="16"/>
                <w:szCs w:val="16"/>
                <w:color w:val="auto"/>
              </w:rPr>
            </w:pPr>
          </w:p>
        </w:tc>
      </w:tr>
      <w:tr>
        <w:trPr>
          <w:trHeight w:val="189"/>
        </w:trPr>
        <w:tc>
          <w:tcPr>
            <w:tcW w:w="6160" w:type="dxa"/>
            <w:vAlign w:val="bottom"/>
            <w:gridSpan w:val="2"/>
          </w:tcPr>
          <w:p>
            <w:pPr>
              <w:spacing w:after="0"/>
              <w:rPr>
                <w:sz w:val="20"/>
                <w:szCs w:val="20"/>
                <w:color w:val="auto"/>
              </w:rPr>
            </w:pPr>
            <w:r>
              <w:rPr>
                <w:rFonts w:ascii="Arial" w:cs="Arial" w:eastAsia="Arial" w:hAnsi="Arial"/>
                <w:sz w:val="16"/>
                <w:szCs w:val="16"/>
                <w:color w:val="auto"/>
              </w:rPr>
              <w:t>Provision for loan losses</w:t>
            </w:r>
          </w:p>
        </w:tc>
        <w:tc>
          <w:tcPr>
            <w:tcW w:w="16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Arial" w:cs="Arial" w:eastAsia="Arial" w:hAnsi="Arial"/>
                <w:sz w:val="16"/>
                <w:szCs w:val="16"/>
                <w:color w:val="auto"/>
              </w:rPr>
              <w:t>42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56</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75</w:t>
            </w:r>
          </w:p>
        </w:tc>
        <w:tc>
          <w:tcPr>
            <w:tcW w:w="60" w:type="dxa"/>
            <w:vAlign w:val="bottom"/>
          </w:tcPr>
          <w:p>
            <w:pPr>
              <w:spacing w:after="0"/>
              <w:rPr>
                <w:sz w:val="16"/>
                <w:szCs w:val="16"/>
                <w:color w:val="auto"/>
              </w:rPr>
            </w:pPr>
          </w:p>
        </w:tc>
      </w:tr>
      <w:tr>
        <w:trPr>
          <w:trHeight w:val="189"/>
        </w:trPr>
        <w:tc>
          <w:tcPr>
            <w:tcW w:w="6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revenue</w:t>
            </w: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w:t>
            </w:r>
          </w:p>
        </w:tc>
        <w:tc>
          <w:tcPr>
            <w:tcW w:w="60" w:type="dxa"/>
            <w:vAlign w:val="bottom"/>
            <w:shd w:val="clear" w:color="auto" w:fill="CCEEFF"/>
          </w:tcPr>
          <w:p>
            <w:pPr>
              <w:spacing w:after="0"/>
              <w:rPr>
                <w:sz w:val="16"/>
                <w:szCs w:val="16"/>
                <w:color w:val="auto"/>
              </w:rPr>
            </w:pPr>
          </w:p>
        </w:tc>
      </w:tr>
      <w:tr>
        <w:trPr>
          <w:trHeight w:val="196"/>
        </w:trPr>
        <w:tc>
          <w:tcPr>
            <w:tcW w:w="6160" w:type="dxa"/>
            <w:vAlign w:val="bottom"/>
            <w:gridSpan w:val="2"/>
          </w:tcPr>
          <w:p>
            <w:pPr>
              <w:spacing w:after="0"/>
              <w:rPr>
                <w:sz w:val="20"/>
                <w:szCs w:val="20"/>
                <w:color w:val="auto"/>
              </w:rPr>
            </w:pPr>
            <w:r>
              <w:rPr>
                <w:rFonts w:ascii="Arial" w:cs="Arial" w:eastAsia="Arial" w:hAnsi="Arial"/>
                <w:sz w:val="16"/>
                <w:szCs w:val="16"/>
                <w:color w:val="auto"/>
              </w:rPr>
              <w:t>Total revenue</w:t>
            </w:r>
          </w:p>
        </w:tc>
        <w:tc>
          <w:tcPr>
            <w:tcW w:w="160" w:type="dxa"/>
            <w:vAlign w:val="bottom"/>
          </w:tcPr>
          <w:p>
            <w:pPr>
              <w:spacing w:after="0"/>
              <w:rPr>
                <w:sz w:val="17"/>
                <w:szCs w:val="17"/>
                <w:color w:val="auto"/>
              </w:rPr>
            </w:pPr>
          </w:p>
        </w:tc>
        <w:tc>
          <w:tcPr>
            <w:tcW w:w="680" w:type="dxa"/>
            <w:vAlign w:val="bottom"/>
          </w:tcPr>
          <w:p>
            <w:pPr>
              <w:jc w:val="right"/>
              <w:ind w:right="99"/>
              <w:spacing w:after="0"/>
              <w:rPr>
                <w:sz w:val="20"/>
                <w:szCs w:val="20"/>
                <w:color w:val="auto"/>
              </w:rPr>
            </w:pPr>
            <w:r>
              <w:rPr>
                <w:rFonts w:ascii="Arial" w:cs="Arial" w:eastAsia="Arial" w:hAnsi="Arial"/>
                <w:sz w:val="16"/>
                <w:szCs w:val="16"/>
                <w:color w:val="auto"/>
              </w:rPr>
              <w:t>155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146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117</w:t>
            </w:r>
          </w:p>
        </w:tc>
        <w:tc>
          <w:tcPr>
            <w:tcW w:w="60" w:type="dxa"/>
            <w:vAlign w:val="bottom"/>
          </w:tcPr>
          <w:p>
            <w:pPr>
              <w:spacing w:after="0"/>
              <w:rPr>
                <w:sz w:val="17"/>
                <w:szCs w:val="17"/>
                <w:color w:val="auto"/>
              </w:rPr>
            </w:pPr>
          </w:p>
        </w:tc>
      </w:tr>
      <w:tr>
        <w:trPr>
          <w:trHeight w:val="189"/>
        </w:trPr>
        <w:tc>
          <w:tcPr>
            <w:tcW w:w="6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Expenses</w:t>
            </w: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40</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44</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36</w:t>
            </w:r>
          </w:p>
        </w:tc>
        <w:tc>
          <w:tcPr>
            <w:tcW w:w="60" w:type="dxa"/>
            <w:vAlign w:val="bottom"/>
            <w:shd w:val="clear" w:color="auto" w:fill="CCEEFF"/>
          </w:tcPr>
          <w:p>
            <w:pPr>
              <w:spacing w:after="0"/>
              <w:rPr>
                <w:sz w:val="16"/>
                <w:szCs w:val="16"/>
                <w:color w:val="auto"/>
              </w:rPr>
            </w:pPr>
          </w:p>
        </w:tc>
      </w:tr>
      <w:tr>
        <w:trPr>
          <w:trHeight w:val="203"/>
        </w:trPr>
        <w:tc>
          <w:tcPr>
            <w:tcW w:w="6160" w:type="dxa"/>
            <w:vAlign w:val="bottom"/>
            <w:gridSpan w:val="2"/>
          </w:tcPr>
          <w:p>
            <w:pPr>
              <w:spacing w:after="0"/>
              <w:rPr>
                <w:sz w:val="20"/>
                <w:szCs w:val="20"/>
                <w:color w:val="auto"/>
              </w:rPr>
            </w:pPr>
            <w:r>
              <w:rPr>
                <w:rFonts w:ascii="Arial" w:cs="Arial" w:eastAsia="Arial" w:hAnsi="Arial"/>
                <w:sz w:val="16"/>
                <w:szCs w:val="16"/>
                <w:color w:val="auto"/>
              </w:rPr>
              <w:t>Pre-tax income</w:t>
            </w: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115</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102</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81</w:t>
            </w:r>
          </w:p>
        </w:tc>
        <w:tc>
          <w:tcPr>
            <w:tcW w:w="60" w:type="dxa"/>
            <w:vAlign w:val="bottom"/>
          </w:tcPr>
          <w:p>
            <w:pPr>
              <w:spacing w:after="0"/>
              <w:rPr>
                <w:sz w:val="17"/>
                <w:szCs w:val="17"/>
                <w:color w:val="auto"/>
              </w:rPr>
            </w:pPr>
          </w:p>
        </w:tc>
      </w:tr>
      <w:tr>
        <w:trPr>
          <w:trHeight w:val="189"/>
        </w:trPr>
        <w:tc>
          <w:tcPr>
            <w:tcW w:w="6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66</w:t>
            </w:r>
          </w:p>
        </w:tc>
        <w:tc>
          <w:tcPr>
            <w:tcW w:w="60" w:type="dxa"/>
            <w:vAlign w:val="bottom"/>
            <w:shd w:val="clear" w:color="auto" w:fill="CCEEFF"/>
          </w:tcPr>
          <w:p>
            <w:pPr>
              <w:spacing w:after="0"/>
              <w:rPr>
                <w:sz w:val="16"/>
                <w:szCs w:val="16"/>
                <w:color w:val="auto"/>
              </w:rPr>
            </w:pPr>
          </w:p>
        </w:tc>
      </w:tr>
      <w:tr>
        <w:trPr>
          <w:trHeight w:val="20"/>
        </w:trPr>
        <w:tc>
          <w:tcPr>
            <w:tcW w:w="6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1"/>
        </w:trPr>
        <w:tc>
          <w:tcPr>
            <w:tcW w:w="6160" w:type="dxa"/>
            <w:vAlign w:val="bottom"/>
            <w:gridSpan w:val="2"/>
          </w:tcPr>
          <w:p>
            <w:pPr>
              <w:spacing w:after="0"/>
              <w:rPr>
                <w:sz w:val="20"/>
                <w:szCs w:val="20"/>
                <w:color w:val="auto"/>
              </w:rPr>
            </w:pPr>
            <w:r>
              <w:rPr>
                <w:rFonts w:ascii="Arial" w:cs="Arial" w:eastAsia="Arial" w:hAnsi="Arial"/>
                <w:sz w:val="16"/>
                <w:szCs w:val="16"/>
                <w:color w:val="auto"/>
              </w:rPr>
              <w:t>Segment net interest margin</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3.31%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3.45%</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3.18%</w:t>
            </w:r>
          </w:p>
        </w:tc>
        <w:tc>
          <w:tcPr>
            <w:tcW w:w="60" w:type="dxa"/>
            <w:vAlign w:val="bottom"/>
          </w:tcPr>
          <w:p>
            <w:pPr>
              <w:spacing w:after="0"/>
              <w:rPr>
                <w:sz w:val="24"/>
                <w:szCs w:val="24"/>
                <w:color w:val="auto"/>
              </w:rPr>
            </w:pPr>
          </w:p>
        </w:tc>
      </w:tr>
      <w:tr>
        <w:trPr>
          <w:trHeight w:val="189"/>
        </w:trPr>
        <w:tc>
          <w:tcPr>
            <w:tcW w:w="6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Private Education Loans (including Refinance Loans):</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6160" w:type="dxa"/>
            <w:vAlign w:val="bottom"/>
            <w:gridSpan w:val="2"/>
          </w:tcPr>
          <w:p>
            <w:pPr>
              <w:ind w:left="420"/>
              <w:spacing w:after="0"/>
              <w:rPr>
                <w:sz w:val="20"/>
                <w:szCs w:val="20"/>
                <w:color w:val="auto"/>
              </w:rPr>
            </w:pPr>
            <w:r>
              <w:rPr>
                <w:rFonts w:ascii="Arial" w:cs="Arial" w:eastAsia="Arial" w:hAnsi="Arial"/>
                <w:sz w:val="16"/>
                <w:szCs w:val="16"/>
                <w:color w:val="auto"/>
              </w:rPr>
              <w:t>Private Education Loan spread</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3.41%</w:t>
            </w:r>
          </w:p>
        </w:tc>
        <w:tc>
          <w:tcPr>
            <w:tcW w:w="60" w:type="dxa"/>
            <w:vAlign w:val="bottom"/>
          </w:tcPr>
          <w:p>
            <w:pPr>
              <w:spacing w:after="0"/>
              <w:rPr>
                <w:sz w:val="16"/>
                <w:szCs w:val="16"/>
                <w:color w:val="auto"/>
              </w:rPr>
            </w:pPr>
          </w:p>
        </w:tc>
      </w:tr>
      <w:tr>
        <w:trPr>
          <w:trHeight w:val="189"/>
        </w:trPr>
        <w:tc>
          <w:tcPr>
            <w:tcW w:w="61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Provision for loan losses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75</w:t>
            </w:r>
          </w:p>
        </w:tc>
        <w:tc>
          <w:tcPr>
            <w:tcW w:w="60" w:type="dxa"/>
            <w:vAlign w:val="bottom"/>
            <w:shd w:val="clear" w:color="auto" w:fill="CCEEFF"/>
          </w:tcPr>
          <w:p>
            <w:pPr>
              <w:spacing w:after="0"/>
              <w:rPr>
                <w:sz w:val="16"/>
                <w:szCs w:val="16"/>
                <w:color w:val="auto"/>
              </w:rPr>
            </w:pPr>
          </w:p>
        </w:tc>
      </w:tr>
      <w:tr>
        <w:trPr>
          <w:trHeight w:val="189"/>
        </w:trPr>
        <w:tc>
          <w:tcPr>
            <w:tcW w:w="6160" w:type="dxa"/>
            <w:vAlign w:val="bottom"/>
            <w:gridSpan w:val="2"/>
          </w:tcPr>
          <w:p>
            <w:pPr>
              <w:ind w:left="420"/>
              <w:spacing w:after="0" w:line="189" w:lineRule="exact"/>
              <w:rPr>
                <w:sz w:val="20"/>
                <w:szCs w:val="20"/>
                <w:color w:val="auto"/>
              </w:rPr>
            </w:pPr>
            <w:r>
              <w:rPr>
                <w:rFonts w:ascii="Arial" w:cs="Arial" w:eastAsia="Arial" w:hAnsi="Arial"/>
                <w:sz w:val="13"/>
                <w:szCs w:val="13"/>
                <w:color w:val="auto"/>
              </w:rPr>
              <w:t>Charge-offs</w:t>
            </w:r>
            <w:r>
              <w:rPr>
                <w:rFonts w:ascii="Arial" w:cs="Arial" w:eastAsia="Arial" w:hAnsi="Arial"/>
                <w:sz w:val="21"/>
                <w:szCs w:val="21"/>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99"/>
              <w:spacing w:after="0"/>
              <w:rPr>
                <w:sz w:val="20"/>
                <w:szCs w:val="20"/>
                <w:color w:val="auto"/>
              </w:rPr>
            </w:pPr>
            <w:r>
              <w:rPr>
                <w:rFonts w:ascii="Arial" w:cs="Arial" w:eastAsia="Arial" w:hAnsi="Arial"/>
                <w:sz w:val="16"/>
                <w:szCs w:val="16"/>
                <w:color w:val="auto"/>
              </w:rPr>
              <w:t>97</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87</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102</w:t>
            </w:r>
          </w:p>
        </w:tc>
        <w:tc>
          <w:tcPr>
            <w:tcW w:w="60" w:type="dxa"/>
            <w:vAlign w:val="bottom"/>
          </w:tcPr>
          <w:p>
            <w:pPr>
              <w:spacing w:after="0"/>
              <w:rPr>
                <w:sz w:val="16"/>
                <w:szCs w:val="16"/>
                <w:color w:val="auto"/>
              </w:rPr>
            </w:pPr>
          </w:p>
        </w:tc>
      </w:tr>
      <w:tr>
        <w:trPr>
          <w:trHeight w:val="189"/>
        </w:trPr>
        <w:tc>
          <w:tcPr>
            <w:tcW w:w="6160" w:type="dxa"/>
            <w:vAlign w:val="bottom"/>
            <w:gridSpan w:val="2"/>
            <w:shd w:val="clear" w:color="auto" w:fill="CCEEFF"/>
          </w:tcPr>
          <w:p>
            <w:pPr>
              <w:ind w:left="420"/>
              <w:spacing w:after="0" w:line="189" w:lineRule="exact"/>
              <w:rPr>
                <w:sz w:val="20"/>
                <w:szCs w:val="20"/>
                <w:color w:val="auto"/>
              </w:rPr>
            </w:pPr>
            <w:r>
              <w:rPr>
                <w:rFonts w:ascii="Arial" w:cs="Arial" w:eastAsia="Arial" w:hAnsi="Arial"/>
                <w:sz w:val="13"/>
                <w:szCs w:val="13"/>
                <w:color w:val="auto"/>
              </w:rPr>
              <w:t>Charge-off rate</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60" w:type="dxa"/>
            <w:vAlign w:val="bottom"/>
            <w:shd w:val="clear" w:color="auto" w:fill="CCEEFF"/>
          </w:tcPr>
          <w:p>
            <w:pPr>
              <w:spacing w:after="0"/>
              <w:rPr>
                <w:sz w:val="16"/>
                <w:szCs w:val="16"/>
                <w:color w:val="auto"/>
              </w:rPr>
            </w:pPr>
          </w:p>
        </w:tc>
      </w:tr>
      <w:tr>
        <w:trPr>
          <w:trHeight w:val="189"/>
        </w:trPr>
        <w:tc>
          <w:tcPr>
            <w:tcW w:w="6160" w:type="dxa"/>
            <w:vAlign w:val="bottom"/>
            <w:gridSpan w:val="2"/>
          </w:tcPr>
          <w:p>
            <w:pPr>
              <w:ind w:left="420"/>
              <w:spacing w:after="0"/>
              <w:rPr>
                <w:sz w:val="20"/>
                <w:szCs w:val="20"/>
                <w:color w:val="auto"/>
              </w:rPr>
            </w:pPr>
            <w:r>
              <w:rPr>
                <w:rFonts w:ascii="Arial" w:cs="Arial" w:eastAsia="Arial" w:hAnsi="Arial"/>
                <w:sz w:val="16"/>
                <w:szCs w:val="16"/>
                <w:color w:val="auto"/>
              </w:rPr>
              <w:t>Greater than 30-days delinquency rate</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4.8%</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5.9%</w:t>
            </w:r>
          </w:p>
        </w:tc>
        <w:tc>
          <w:tcPr>
            <w:tcW w:w="60" w:type="dxa"/>
            <w:vAlign w:val="bottom"/>
          </w:tcPr>
          <w:p>
            <w:pPr>
              <w:spacing w:after="0"/>
              <w:rPr>
                <w:sz w:val="16"/>
                <w:szCs w:val="16"/>
                <w:color w:val="auto"/>
              </w:rPr>
            </w:pPr>
          </w:p>
        </w:tc>
      </w:tr>
      <w:tr>
        <w:trPr>
          <w:trHeight w:val="189"/>
        </w:trPr>
        <w:tc>
          <w:tcPr>
            <w:tcW w:w="61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Greater than 90-days delinquency rate</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60" w:type="dxa"/>
            <w:vAlign w:val="bottom"/>
            <w:shd w:val="clear" w:color="auto" w:fill="CCEEFF"/>
          </w:tcPr>
          <w:p>
            <w:pPr>
              <w:spacing w:after="0"/>
              <w:rPr>
                <w:sz w:val="16"/>
                <w:szCs w:val="16"/>
                <w:color w:val="auto"/>
              </w:rPr>
            </w:pPr>
          </w:p>
        </w:tc>
      </w:tr>
      <w:tr>
        <w:trPr>
          <w:trHeight w:val="189"/>
        </w:trPr>
        <w:tc>
          <w:tcPr>
            <w:tcW w:w="6160" w:type="dxa"/>
            <w:vAlign w:val="bottom"/>
            <w:gridSpan w:val="2"/>
          </w:tcPr>
          <w:p>
            <w:pPr>
              <w:ind w:left="420"/>
              <w:spacing w:after="0"/>
              <w:rPr>
                <w:sz w:val="20"/>
                <w:szCs w:val="20"/>
                <w:color w:val="auto"/>
              </w:rPr>
            </w:pPr>
            <w:r>
              <w:rPr>
                <w:rFonts w:ascii="Arial" w:cs="Arial" w:eastAsia="Arial" w:hAnsi="Arial"/>
                <w:sz w:val="16"/>
                <w:szCs w:val="16"/>
                <w:color w:val="auto"/>
              </w:rPr>
              <w:t>Forbearance rate</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w:t>
            </w:r>
          </w:p>
        </w:tc>
        <w:tc>
          <w:tcPr>
            <w:tcW w:w="60" w:type="dxa"/>
            <w:vAlign w:val="bottom"/>
          </w:tcPr>
          <w:p>
            <w:pPr>
              <w:spacing w:after="0"/>
              <w:rPr>
                <w:sz w:val="16"/>
                <w:szCs w:val="16"/>
                <w:color w:val="auto"/>
              </w:rPr>
            </w:pPr>
          </w:p>
        </w:tc>
      </w:tr>
      <w:tr>
        <w:trPr>
          <w:trHeight w:val="189"/>
        </w:trPr>
        <w:tc>
          <w:tcPr>
            <w:tcW w:w="61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Average Private Education Loans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98"/>
              </w:rPr>
              <w:t>22,624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22,205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22,955</w:t>
            </w:r>
          </w:p>
        </w:tc>
        <w:tc>
          <w:tcPr>
            <w:tcW w:w="60" w:type="dxa"/>
            <w:vAlign w:val="bottom"/>
            <w:shd w:val="clear" w:color="auto" w:fill="CCEEFF"/>
          </w:tcPr>
          <w:p>
            <w:pPr>
              <w:spacing w:after="0"/>
              <w:rPr>
                <w:sz w:val="16"/>
                <w:szCs w:val="16"/>
                <w:color w:val="auto"/>
              </w:rPr>
            </w:pPr>
          </w:p>
        </w:tc>
      </w:tr>
      <w:tr>
        <w:trPr>
          <w:trHeight w:val="189"/>
        </w:trPr>
        <w:tc>
          <w:tcPr>
            <w:tcW w:w="6160" w:type="dxa"/>
            <w:vAlign w:val="bottom"/>
            <w:gridSpan w:val="2"/>
          </w:tcPr>
          <w:p>
            <w:pPr>
              <w:ind w:left="420"/>
              <w:spacing w:after="0"/>
              <w:rPr>
                <w:sz w:val="20"/>
                <w:szCs w:val="20"/>
                <w:color w:val="auto"/>
              </w:rPr>
            </w:pPr>
            <w:r>
              <w:rPr>
                <w:rFonts w:ascii="Arial" w:cs="Arial" w:eastAsia="Arial" w:hAnsi="Arial"/>
                <w:sz w:val="16"/>
                <w:szCs w:val="16"/>
                <w:color w:val="auto"/>
              </w:rPr>
              <w:t>Ending Private Education Loans, net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99"/>
              <w:spacing w:after="0"/>
              <w:rPr>
                <w:sz w:val="20"/>
                <w:szCs w:val="20"/>
                <w:color w:val="auto"/>
              </w:rPr>
            </w:pPr>
            <w:r>
              <w:rPr>
                <w:rFonts w:ascii="Arial" w:cs="Arial" w:eastAsia="Arial" w:hAnsi="Arial"/>
                <w:sz w:val="16"/>
                <w:szCs w:val="16"/>
                <w:color w:val="auto"/>
                <w:w w:val="98"/>
              </w:rPr>
              <w:t>22,245</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21,846</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22,245</w:t>
            </w:r>
          </w:p>
        </w:tc>
        <w:tc>
          <w:tcPr>
            <w:tcW w:w="60" w:type="dxa"/>
            <w:vAlign w:val="bottom"/>
          </w:tcPr>
          <w:p>
            <w:pPr>
              <w:spacing w:after="0"/>
              <w:rPr>
                <w:sz w:val="16"/>
                <w:szCs w:val="16"/>
                <w:color w:val="auto"/>
              </w:rPr>
            </w:pPr>
          </w:p>
        </w:tc>
      </w:tr>
      <w:tr>
        <w:trPr>
          <w:trHeight w:val="189"/>
        </w:trPr>
        <w:tc>
          <w:tcPr>
            <w:tcW w:w="6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Private Education Refinance Loans:</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6160" w:type="dxa"/>
            <w:vAlign w:val="bottom"/>
            <w:gridSpan w:val="2"/>
          </w:tcPr>
          <w:p>
            <w:pPr>
              <w:ind w:left="420"/>
              <w:spacing w:after="0"/>
              <w:rPr>
                <w:sz w:val="20"/>
                <w:szCs w:val="20"/>
                <w:color w:val="auto"/>
              </w:rPr>
            </w:pPr>
            <w:r>
              <w:rPr>
                <w:rFonts w:ascii="Arial" w:cs="Arial" w:eastAsia="Arial" w:hAnsi="Arial"/>
                <w:sz w:val="16"/>
                <w:szCs w:val="16"/>
                <w:color w:val="auto"/>
              </w:rPr>
              <w:t>Charge-offs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6"/>
                <w:szCs w:val="16"/>
                <w:color w:val="auto"/>
              </w:rPr>
            </w:pPr>
          </w:p>
        </w:tc>
      </w:tr>
      <w:tr>
        <w:trPr>
          <w:trHeight w:val="189"/>
        </w:trPr>
        <w:tc>
          <w:tcPr>
            <w:tcW w:w="61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Greater than 90-days delinquency rate</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6160" w:type="dxa"/>
            <w:vAlign w:val="bottom"/>
            <w:gridSpan w:val="2"/>
          </w:tcPr>
          <w:p>
            <w:pPr>
              <w:ind w:left="420"/>
              <w:spacing w:after="0"/>
              <w:rPr>
                <w:sz w:val="20"/>
                <w:szCs w:val="20"/>
                <w:color w:val="auto"/>
              </w:rPr>
            </w:pPr>
            <w:r>
              <w:rPr>
                <w:rFonts w:ascii="Arial" w:cs="Arial" w:eastAsia="Arial" w:hAnsi="Arial"/>
                <w:sz w:val="16"/>
                <w:szCs w:val="16"/>
                <w:color w:val="auto"/>
              </w:rPr>
              <w:t>Average Private Education Refinance Loans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99"/>
              <w:spacing w:after="0"/>
              <w:rPr>
                <w:sz w:val="20"/>
                <w:szCs w:val="20"/>
                <w:color w:val="auto"/>
              </w:rPr>
            </w:pPr>
            <w:r>
              <w:rPr>
                <w:rFonts w:ascii="Arial" w:cs="Arial" w:eastAsia="Arial" w:hAnsi="Arial"/>
                <w:sz w:val="16"/>
                <w:szCs w:val="16"/>
                <w:color w:val="auto"/>
              </w:rPr>
              <w:t>5,976</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4,778</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2,962</w:t>
            </w:r>
          </w:p>
        </w:tc>
        <w:tc>
          <w:tcPr>
            <w:tcW w:w="60" w:type="dxa"/>
            <w:vAlign w:val="bottom"/>
          </w:tcPr>
          <w:p>
            <w:pPr>
              <w:spacing w:after="0"/>
              <w:rPr>
                <w:sz w:val="16"/>
                <w:szCs w:val="16"/>
                <w:color w:val="auto"/>
              </w:rPr>
            </w:pPr>
          </w:p>
        </w:tc>
      </w:tr>
      <w:tr>
        <w:trPr>
          <w:trHeight w:val="189"/>
        </w:trPr>
        <w:tc>
          <w:tcPr>
            <w:tcW w:w="61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Ending Private Education Refinance Loans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6,423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5,313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3,212</w:t>
            </w:r>
          </w:p>
        </w:tc>
        <w:tc>
          <w:tcPr>
            <w:tcW w:w="60" w:type="dxa"/>
            <w:vAlign w:val="bottom"/>
            <w:shd w:val="clear" w:color="auto" w:fill="CCEEFF"/>
          </w:tcPr>
          <w:p>
            <w:pPr>
              <w:spacing w:after="0"/>
              <w:rPr>
                <w:sz w:val="16"/>
                <w:szCs w:val="16"/>
                <w:color w:val="auto"/>
              </w:rPr>
            </w:pPr>
          </w:p>
        </w:tc>
      </w:tr>
      <w:tr>
        <w:trPr>
          <w:trHeight w:val="210"/>
        </w:trPr>
        <w:tc>
          <w:tcPr>
            <w:tcW w:w="6160" w:type="dxa"/>
            <w:vAlign w:val="bottom"/>
            <w:tcBorders>
              <w:bottom w:val="single" w:sz="8" w:color="auto"/>
            </w:tcBorders>
            <w:gridSpan w:val="2"/>
          </w:tcPr>
          <w:p>
            <w:pPr>
              <w:ind w:left="420"/>
              <w:spacing w:after="0"/>
              <w:rPr>
                <w:sz w:val="20"/>
                <w:szCs w:val="20"/>
                <w:color w:val="auto"/>
              </w:rPr>
            </w:pPr>
            <w:r>
              <w:rPr>
                <w:rFonts w:ascii="Arial" w:cs="Arial" w:eastAsia="Arial" w:hAnsi="Arial"/>
                <w:sz w:val="16"/>
                <w:szCs w:val="16"/>
                <w:color w:val="auto"/>
              </w:rPr>
              <w:t>Private Education Refinance Loan originations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1,643</w:t>
            </w:r>
          </w:p>
        </w:tc>
        <w:tc>
          <w:tcPr>
            <w:tcW w:w="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1,420</w:t>
            </w: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769</w:t>
            </w:r>
          </w:p>
        </w:tc>
        <w:tc>
          <w:tcPr>
            <w:tcW w:w="60" w:type="dxa"/>
            <w:vAlign w:val="bottom"/>
            <w:tcBorders>
              <w:bottom w:val="single" w:sz="8" w:color="auto"/>
            </w:tcBorders>
          </w:tcPr>
          <w:p>
            <w:pPr>
              <w:spacing w:after="0"/>
              <w:rPr>
                <w:sz w:val="18"/>
                <w:szCs w:val="18"/>
                <w:color w:val="auto"/>
              </w:rPr>
            </w:pPr>
          </w:p>
        </w:tc>
      </w:tr>
    </w:tbl>
    <w:p>
      <w:pPr>
        <w:spacing w:after="0" w:line="126" w:lineRule="exact"/>
        <w:rPr>
          <w:sz w:val="20"/>
          <w:szCs w:val="20"/>
          <w:color w:val="auto"/>
        </w:rPr>
      </w:pPr>
    </w:p>
    <w:p>
      <w:pPr>
        <w:ind w:left="1420" w:right="280" w:hanging="322"/>
        <w:spacing w:after="0" w:line="183" w:lineRule="auto"/>
        <w:tabs>
          <w:tab w:leader="none" w:pos="1420" w:val="left"/>
        </w:tabs>
        <w:numPr>
          <w:ilvl w:val="0"/>
          <w:numId w:val="6"/>
        </w:numPr>
        <w:rPr>
          <w:rFonts w:ascii="Arial" w:cs="Arial" w:eastAsia="Arial" w:hAnsi="Arial"/>
          <w:sz w:val="24"/>
          <w:szCs w:val="24"/>
          <w:color w:val="auto"/>
          <w:vertAlign w:val="superscript"/>
        </w:rPr>
      </w:pPr>
      <w:r>
        <w:rPr>
          <w:rFonts w:ascii="Arial" w:cs="Arial" w:eastAsia="Arial" w:hAnsi="Arial"/>
          <w:sz w:val="14"/>
          <w:szCs w:val="14"/>
          <w:color w:val="auto"/>
        </w:rPr>
        <w:t>Third-quarter 2019 excludes the $21 million of charge-offs on the receivable for partially charged-off loans that occurred as a result of changing the charge-off rate from 80.5% to 81% in third-quarter 2019.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RESULTS — 4Q19 vs. 4Q18</w:t>
      </w:r>
    </w:p>
    <w:p>
      <w:pPr>
        <w:spacing w:after="0" w:line="139" w:lineRule="exact"/>
        <w:rPr>
          <w:sz w:val="20"/>
          <w:szCs w:val="20"/>
          <w:color w:val="auto"/>
        </w:rPr>
      </w:pPr>
    </w:p>
    <w:p>
      <w:pPr>
        <w:ind w:left="440" w:hanging="43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Originated $1.6 billion of Private Education Refinance Loans compared to $769 million in the year-ago quarter.</w:t>
      </w:r>
    </w:p>
    <w:p>
      <w:pPr>
        <w:spacing w:after="0" w:line="117" w:lineRule="exact"/>
        <w:rPr>
          <w:rFonts w:ascii="Arial" w:cs="Arial" w:eastAsia="Arial" w:hAnsi="Arial"/>
          <w:sz w:val="18"/>
          <w:szCs w:val="18"/>
          <w:color w:val="auto"/>
        </w:rPr>
      </w:pPr>
    </w:p>
    <w:p>
      <w:pPr>
        <w:ind w:left="440" w:hanging="43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Core Earnings were $89 million compared to $66 million in the year-ago quarter.</w:t>
      </w:r>
    </w:p>
    <w:p>
      <w:pPr>
        <w:spacing w:after="0" w:line="117" w:lineRule="exact"/>
        <w:rPr>
          <w:rFonts w:ascii="Arial" w:cs="Arial" w:eastAsia="Arial" w:hAnsi="Arial"/>
          <w:sz w:val="18"/>
          <w:szCs w:val="18"/>
          <w:color w:val="auto"/>
        </w:rPr>
      </w:pPr>
    </w:p>
    <w:p>
      <w:pPr>
        <w:ind w:left="440" w:hanging="43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interest income increased $6 million primarily due to the growth of the Refinance Loan portfolio and an improved cost of funds.</w:t>
      </w:r>
    </w:p>
    <w:p>
      <w:pPr>
        <w:spacing w:after="0" w:line="117" w:lineRule="exact"/>
        <w:rPr>
          <w:rFonts w:ascii="Arial" w:cs="Arial" w:eastAsia="Arial" w:hAnsi="Arial"/>
          <w:sz w:val="18"/>
          <w:szCs w:val="18"/>
          <w:color w:val="auto"/>
        </w:rPr>
      </w:pPr>
    </w:p>
    <w:p>
      <w:pPr>
        <w:ind w:left="440" w:hanging="43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Provision for loan losses decreased $33 million. Private Education Loan performance results include:</w:t>
      </w:r>
    </w:p>
    <w:p>
      <w:pPr>
        <w:spacing w:after="0" w:line="117" w:lineRule="exact"/>
        <w:rPr>
          <w:rFonts w:ascii="Arial" w:cs="Arial" w:eastAsia="Arial" w:hAnsi="Arial"/>
          <w:sz w:val="18"/>
          <w:szCs w:val="18"/>
          <w:color w:val="auto"/>
        </w:rPr>
      </w:pPr>
    </w:p>
    <w:p>
      <w:pPr>
        <w:ind w:left="1740" w:hanging="426"/>
        <w:spacing w:after="0"/>
        <w:tabs>
          <w:tab w:leader="none" w:pos="1740" w:val="left"/>
        </w:tabs>
        <w:numPr>
          <w:ilvl w:val="1"/>
          <w:numId w:val="7"/>
        </w:numPr>
        <w:rPr>
          <w:rFonts w:ascii="Arial" w:cs="Arial" w:eastAsia="Arial" w:hAnsi="Arial"/>
          <w:sz w:val="15"/>
          <w:szCs w:val="15"/>
          <w:color w:val="auto"/>
        </w:rPr>
      </w:pPr>
      <w:r>
        <w:rPr>
          <w:rFonts w:ascii="Arial" w:cs="Arial" w:eastAsia="Arial" w:hAnsi="Arial"/>
          <w:sz w:val="18"/>
          <w:szCs w:val="18"/>
          <w:color w:val="auto"/>
        </w:rPr>
        <w:t>Charge-offs were $97 million compared with $102 million in fourth-quarter 2018.</w:t>
      </w:r>
    </w:p>
    <w:p>
      <w:pPr>
        <w:spacing w:after="0" w:line="117" w:lineRule="exact"/>
        <w:rPr>
          <w:rFonts w:ascii="Arial" w:cs="Arial" w:eastAsia="Arial" w:hAnsi="Arial"/>
          <w:sz w:val="15"/>
          <w:szCs w:val="15"/>
          <w:color w:val="auto"/>
        </w:rPr>
      </w:pPr>
    </w:p>
    <w:p>
      <w:pPr>
        <w:ind w:left="1740" w:right="340" w:hanging="426"/>
        <w:spacing w:after="0" w:line="246" w:lineRule="auto"/>
        <w:tabs>
          <w:tab w:leader="none" w:pos="1740" w:val="left"/>
        </w:tabs>
        <w:numPr>
          <w:ilvl w:val="1"/>
          <w:numId w:val="7"/>
        </w:numPr>
        <w:rPr>
          <w:rFonts w:ascii="Arial" w:cs="Arial" w:eastAsia="Arial" w:hAnsi="Arial"/>
          <w:sz w:val="15"/>
          <w:szCs w:val="15"/>
          <w:color w:val="auto"/>
        </w:rPr>
      </w:pPr>
      <w:r>
        <w:rPr>
          <w:rFonts w:ascii="Arial" w:cs="Arial" w:eastAsia="Arial" w:hAnsi="Arial"/>
          <w:sz w:val="18"/>
          <w:szCs w:val="18"/>
          <w:color w:val="auto"/>
        </w:rPr>
        <w:t>Private Education Loan delinquencies greater than 90 days: $439 million, down $175 million from $614 million in fourth-quarter 2018.</w:t>
      </w:r>
    </w:p>
    <w:p>
      <w:pPr>
        <w:spacing w:after="0" w:line="102" w:lineRule="exact"/>
        <w:rPr>
          <w:rFonts w:ascii="Arial" w:cs="Arial" w:eastAsia="Arial" w:hAnsi="Arial"/>
          <w:sz w:val="15"/>
          <w:szCs w:val="15"/>
          <w:color w:val="auto"/>
        </w:rPr>
      </w:pPr>
    </w:p>
    <w:p>
      <w:pPr>
        <w:ind w:left="1740" w:right="540" w:hanging="426"/>
        <w:spacing w:after="0" w:line="246" w:lineRule="auto"/>
        <w:tabs>
          <w:tab w:leader="none" w:pos="1740" w:val="left"/>
        </w:tabs>
        <w:numPr>
          <w:ilvl w:val="1"/>
          <w:numId w:val="7"/>
        </w:numPr>
        <w:rPr>
          <w:rFonts w:ascii="Arial" w:cs="Arial" w:eastAsia="Arial" w:hAnsi="Arial"/>
          <w:sz w:val="15"/>
          <w:szCs w:val="15"/>
          <w:color w:val="auto"/>
        </w:rPr>
      </w:pPr>
      <w:r>
        <w:rPr>
          <w:rFonts w:ascii="Arial" w:cs="Arial" w:eastAsia="Arial" w:hAnsi="Arial"/>
          <w:sz w:val="18"/>
          <w:szCs w:val="18"/>
          <w:color w:val="auto"/>
        </w:rPr>
        <w:t>Private Education Loan delinquencies greater than 30 days: $1.0 billion, down $290 million from $1.3 billion in fourth-quarter 2018.</w:t>
      </w:r>
    </w:p>
    <w:p>
      <w:pPr>
        <w:spacing w:after="0" w:line="102" w:lineRule="exact"/>
        <w:rPr>
          <w:rFonts w:ascii="Arial" w:cs="Arial" w:eastAsia="Arial" w:hAnsi="Arial"/>
          <w:sz w:val="15"/>
          <w:szCs w:val="15"/>
          <w:color w:val="auto"/>
        </w:rPr>
      </w:pPr>
    </w:p>
    <w:p>
      <w:pPr>
        <w:ind w:left="1740" w:hanging="426"/>
        <w:spacing w:after="0"/>
        <w:tabs>
          <w:tab w:leader="none" w:pos="1740" w:val="left"/>
        </w:tabs>
        <w:numPr>
          <w:ilvl w:val="1"/>
          <w:numId w:val="7"/>
        </w:numPr>
        <w:rPr>
          <w:rFonts w:ascii="Arial" w:cs="Arial" w:eastAsia="Arial" w:hAnsi="Arial"/>
          <w:sz w:val="15"/>
          <w:szCs w:val="15"/>
          <w:color w:val="auto"/>
        </w:rPr>
      </w:pPr>
      <w:r>
        <w:rPr>
          <w:rFonts w:ascii="Arial" w:cs="Arial" w:eastAsia="Arial" w:hAnsi="Arial"/>
          <w:sz w:val="18"/>
          <w:szCs w:val="18"/>
          <w:color w:val="auto"/>
        </w:rPr>
        <w:t>Private Education Loan forbearances: $604 million, down $72 million from $676 million in fourth-quarter 2018.</w:t>
      </w:r>
    </w:p>
    <w:p>
      <w:pPr>
        <w:spacing w:after="0" w:line="117" w:lineRule="exact"/>
        <w:rPr>
          <w:rFonts w:ascii="Arial" w:cs="Arial" w:eastAsia="Arial" w:hAnsi="Arial"/>
          <w:sz w:val="15"/>
          <w:szCs w:val="15"/>
          <w:color w:val="auto"/>
        </w:rPr>
      </w:pPr>
    </w:p>
    <w:p>
      <w:pPr>
        <w:ind w:left="440" w:hanging="43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were $4 million higher primarily due to the increase in loan originations.</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020"/>
          </w:cols>
          <w:pgMar w:left="440" w:top="319" w:right="439" w:bottom="1440" w:gutter="0" w:footer="0" w:header="0"/>
        </w:sectPr>
      </w:pPr>
    </w:p>
    <w:bookmarkStart w:id="7" w:name="page8"/>
    <w:bookmarkEnd w:id="7"/>
    <w:p>
      <w:pPr>
        <w:ind w:left="12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283845</wp:posOffset>
            </wp:positionH>
            <wp:positionV relativeFrom="page">
              <wp:posOffset>180975</wp:posOffset>
            </wp:positionV>
            <wp:extent cx="7002145" cy="387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2145" cy="387985"/>
                    </a:xfrm>
                    <a:prstGeom prst="rect">
                      <a:avLst/>
                    </a:prstGeom>
                    <a:noFill/>
                  </pic:spPr>
                </pic:pic>
              </a:graphicData>
            </a:graphic>
          </wp:anchor>
        </w:drawing>
        <w:t>BUSINESS PROCESSING</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this segment, Navient performs business processing services for non-education related government and healthcare clients.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AND KEY PERFORMANCE METRICS</w:t>
      </w:r>
    </w:p>
    <w:p>
      <w:pPr>
        <w:spacing w:after="0" w:line="243" w:lineRule="exact"/>
        <w:rPr>
          <w:sz w:val="20"/>
          <w:szCs w:val="20"/>
          <w:color w:val="auto"/>
        </w:rPr>
      </w:pPr>
    </w:p>
    <w:tbl>
      <w:tblPr>
        <w:tblLayout w:type="fixed"/>
        <w:tblInd w:w="1120" w:type="dxa"/>
        <w:tblCellMar>
          <w:top w:w="0" w:type="dxa"/>
          <w:left w:w="0" w:type="dxa"/>
          <w:bottom w:w="0" w:type="dxa"/>
          <w:right w:w="0" w:type="dxa"/>
        </w:tblCellMar>
      </w:tblPr>
      <w:tr>
        <w:trPr>
          <w:trHeight w:val="221"/>
        </w:trPr>
        <w:tc>
          <w:tcPr>
            <w:tcW w:w="5040" w:type="dxa"/>
            <w:vAlign w:val="bottom"/>
            <w:gridSpan w:val="2"/>
          </w:tcPr>
          <w:p>
            <w:pPr>
              <w:spacing w:after="0"/>
              <w:rPr>
                <w:sz w:val="20"/>
                <w:szCs w:val="20"/>
                <w:color w:val="auto"/>
              </w:rPr>
            </w:pPr>
            <w:r>
              <w:rPr>
                <w:rFonts w:ascii="Arial" w:cs="Arial" w:eastAsia="Arial" w:hAnsi="Arial"/>
                <w:sz w:val="16"/>
                <w:szCs w:val="16"/>
                <w:b w:val="1"/>
                <w:bCs w:val="1"/>
                <w:color w:val="auto"/>
              </w:rPr>
              <w:t>(Dollars in millions)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ind w:right="99"/>
              <w:spacing w:after="0"/>
              <w:rPr>
                <w:sz w:val="20"/>
                <w:szCs w:val="20"/>
                <w:color w:val="auto"/>
              </w:rPr>
            </w:pPr>
            <w:r>
              <w:rPr>
                <w:rFonts w:ascii="Arial" w:cs="Arial" w:eastAsia="Arial" w:hAnsi="Arial"/>
                <w:sz w:val="16"/>
                <w:szCs w:val="16"/>
                <w:b w:val="1"/>
                <w:bCs w:val="1"/>
                <w:color w:val="auto"/>
              </w:rPr>
              <w:t>4Q19</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ind w:right="99"/>
              <w:spacing w:after="0"/>
              <w:rPr>
                <w:sz w:val="20"/>
                <w:szCs w:val="20"/>
                <w:color w:val="auto"/>
              </w:rPr>
            </w:pPr>
            <w:r>
              <w:rPr>
                <w:rFonts w:ascii="Arial" w:cs="Arial" w:eastAsia="Arial" w:hAnsi="Arial"/>
                <w:sz w:val="16"/>
                <w:szCs w:val="16"/>
                <w:b w:val="1"/>
                <w:bCs w:val="1"/>
                <w:color w:val="auto"/>
              </w:rPr>
              <w:t>3Q19</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4Q18</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02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Revenue from government services</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34</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41</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40" w:type="dxa"/>
            <w:vAlign w:val="bottom"/>
            <w:gridSpan w:val="2"/>
          </w:tcPr>
          <w:p>
            <w:pPr>
              <w:spacing w:after="0"/>
              <w:rPr>
                <w:sz w:val="20"/>
                <w:szCs w:val="20"/>
                <w:color w:val="auto"/>
              </w:rPr>
            </w:pPr>
            <w:r>
              <w:rPr>
                <w:rFonts w:ascii="Arial" w:cs="Arial" w:eastAsia="Arial" w:hAnsi="Arial"/>
                <w:sz w:val="16"/>
                <w:szCs w:val="16"/>
                <w:color w:val="auto"/>
              </w:rPr>
              <w:t>Revenue from healthcare services</w:t>
            </w:r>
          </w:p>
        </w:tc>
        <w:tc>
          <w:tcPr>
            <w:tcW w:w="3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25</w:t>
            </w:r>
          </w:p>
        </w:tc>
        <w:tc>
          <w:tcPr>
            <w:tcW w:w="5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27</w:t>
            </w:r>
          </w:p>
        </w:tc>
        <w:tc>
          <w:tcPr>
            <w:tcW w:w="5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Total fee revenue</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59</w:t>
            </w: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66</w:t>
            </w: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40" w:type="dxa"/>
            <w:vAlign w:val="bottom"/>
            <w:gridSpan w:val="2"/>
          </w:tcPr>
          <w:p>
            <w:pPr>
              <w:spacing w:after="0"/>
              <w:rPr>
                <w:sz w:val="20"/>
                <w:szCs w:val="20"/>
                <w:color w:val="auto"/>
              </w:rPr>
            </w:pPr>
            <w:r>
              <w:rPr>
                <w:rFonts w:ascii="Arial" w:cs="Arial" w:eastAsia="Arial" w:hAnsi="Arial"/>
                <w:sz w:val="16"/>
                <w:szCs w:val="16"/>
                <w:color w:val="auto"/>
              </w:rPr>
              <w:t>Expenses</w:t>
            </w:r>
          </w:p>
        </w:tc>
        <w:tc>
          <w:tcPr>
            <w:tcW w:w="3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49</w:t>
            </w:r>
          </w:p>
        </w:tc>
        <w:tc>
          <w:tcPr>
            <w:tcW w:w="5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54</w:t>
            </w:r>
          </w:p>
        </w:tc>
        <w:tc>
          <w:tcPr>
            <w:tcW w:w="5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Pre-tax income</w:t>
            </w:r>
          </w:p>
        </w:tc>
        <w:tc>
          <w:tcPr>
            <w:tcW w:w="3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w:t>
            </w:r>
          </w:p>
        </w:tc>
        <w:tc>
          <w:tcPr>
            <w:tcW w:w="5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12</w:t>
            </w:r>
          </w:p>
        </w:tc>
        <w:tc>
          <w:tcPr>
            <w:tcW w:w="5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4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8</w:t>
            </w: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9</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99"/>
              <w:spacing w:after="0"/>
              <w:rPr>
                <w:sz w:val="20"/>
                <w:szCs w:val="20"/>
                <w:color w:val="auto"/>
              </w:rPr>
            </w:pPr>
            <w:r>
              <w:rPr>
                <w:rFonts w:ascii="Arial" w:cs="Arial" w:eastAsia="Arial" w:hAnsi="Arial"/>
                <w:sz w:val="16"/>
                <w:szCs w:val="16"/>
                <w:color w:val="auto"/>
              </w:rPr>
              <w:t>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02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EBITDA</w:t>
            </w:r>
            <w:r>
              <w:rPr>
                <w:rFonts w:ascii="Arial" w:cs="Arial" w:eastAsia="Arial" w:hAnsi="Arial"/>
                <w:sz w:val="21"/>
                <w:szCs w:val="21"/>
                <w:color w:val="auto"/>
                <w:vertAlign w:val="superscript"/>
              </w:rPr>
              <w:t>(1)</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20" w:type="dxa"/>
            <w:vAlign w:val="bottom"/>
          </w:tcPr>
          <w:p>
            <w:pPr>
              <w:spacing w:after="0" w:line="189" w:lineRule="exact"/>
              <w:rPr>
                <w:sz w:val="20"/>
                <w:szCs w:val="20"/>
                <w:color w:val="auto"/>
              </w:rPr>
            </w:pPr>
            <w:r>
              <w:rPr>
                <w:rFonts w:ascii="Arial" w:cs="Arial" w:eastAsia="Arial" w:hAnsi="Arial"/>
                <w:sz w:val="13"/>
                <w:szCs w:val="13"/>
                <w:color w:val="auto"/>
              </w:rPr>
              <w:t>EBITDA Margin</w:t>
            </w:r>
            <w:r>
              <w:rPr>
                <w:rFonts w:ascii="Arial" w:cs="Arial" w:eastAsia="Arial" w:hAnsi="Arial"/>
                <w:sz w:val="21"/>
                <w:szCs w:val="21"/>
                <w:color w:val="auto"/>
                <w:vertAlign w:val="superscript"/>
              </w:rPr>
              <w:t>(1)</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Contingent collections receivables inventory (in billions)</w:t>
            </w:r>
          </w:p>
        </w:tc>
        <w:tc>
          <w:tcPr>
            <w:tcW w:w="5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14.9</w:t>
            </w: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14.2</w:t>
            </w:r>
          </w:p>
        </w:tc>
        <w:tc>
          <w:tcPr>
            <w:tcW w:w="6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14.4</w:t>
            </w:r>
          </w:p>
        </w:tc>
        <w:tc>
          <w:tcPr>
            <w:tcW w:w="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1540" w:hanging="334"/>
        <w:spacing w:after="0"/>
        <w:tabs>
          <w:tab w:leader="none" w:pos="1540" w:val="left"/>
        </w:tabs>
        <w:numPr>
          <w:ilvl w:val="0"/>
          <w:numId w:val="8"/>
        </w:numPr>
        <w:rPr>
          <w:rFonts w:ascii="Arial" w:cs="Arial" w:eastAsia="Arial" w:hAnsi="Arial"/>
          <w:sz w:val="24"/>
          <w:szCs w:val="24"/>
          <w:color w:val="auto"/>
          <w:vertAlign w:val="superscript"/>
        </w:rPr>
      </w:pPr>
      <w:r>
        <w:rPr>
          <w:rFonts w:ascii="Arial" w:cs="Arial" w:eastAsia="Arial" w:hAnsi="Arial"/>
          <w:sz w:val="14"/>
          <w:szCs w:val="14"/>
          <w:color w:val="auto"/>
        </w:rPr>
        <w:t>Item is a non-GAAP financial measure. For an explanation and reconciliation of our non-GAAP financial measures, see below.</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RESULTS — 4Q19 vs. 4Q18</w:t>
      </w:r>
    </w:p>
    <w:p>
      <w:pPr>
        <w:spacing w:after="0" w:line="139" w:lineRule="exact"/>
        <w:rPr>
          <w:sz w:val="20"/>
          <w:szCs w:val="20"/>
          <w:color w:val="auto"/>
        </w:rPr>
      </w:pPr>
    </w:p>
    <w:p>
      <w:pPr>
        <w:ind w:left="440" w:hanging="436"/>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Core Earnings were $8 million compared to $7 million in the year-ago quarter.</w:t>
      </w:r>
    </w:p>
    <w:p>
      <w:pPr>
        <w:spacing w:after="0" w:line="117" w:lineRule="exact"/>
        <w:rPr>
          <w:rFonts w:ascii="Arial" w:cs="Arial" w:eastAsia="Arial" w:hAnsi="Arial"/>
          <w:sz w:val="18"/>
          <w:szCs w:val="18"/>
          <w:color w:val="auto"/>
        </w:rPr>
      </w:pPr>
    </w:p>
    <w:p>
      <w:pPr>
        <w:ind w:left="440" w:hanging="436"/>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EBITDA was $11 million, up 10% from the year-ago quarter with the EBITDA margin increasing 20% from 15% to 18%.</w:t>
      </w:r>
    </w:p>
    <w:p>
      <w:pPr>
        <w:spacing w:after="0" w:line="117" w:lineRule="exact"/>
        <w:rPr>
          <w:rFonts w:ascii="Arial" w:cs="Arial" w:eastAsia="Arial" w:hAnsi="Arial"/>
          <w:sz w:val="18"/>
          <w:szCs w:val="18"/>
          <w:color w:val="auto"/>
        </w:rPr>
      </w:pPr>
    </w:p>
    <w:p>
      <w:pPr>
        <w:ind w:left="440" w:hanging="436"/>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increase in Core Earnings and EBITDA is primarily from reduced expenses in connection with efficiency initiatives.</w:t>
      </w:r>
    </w:p>
    <w:p>
      <w:pPr>
        <w:spacing w:after="0" w:line="117" w:lineRule="exact"/>
        <w:rPr>
          <w:rFonts w:ascii="Arial" w:cs="Arial" w:eastAsia="Arial" w:hAnsi="Arial"/>
          <w:sz w:val="18"/>
          <w:szCs w:val="18"/>
          <w:color w:val="auto"/>
        </w:rPr>
      </w:pPr>
    </w:p>
    <w:p>
      <w:pPr>
        <w:ind w:left="440" w:hanging="436"/>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declined $7 million primarily as a result of contract terminations.</w:t>
      </w:r>
    </w:p>
    <w:p>
      <w:pPr>
        <w:spacing w:after="0" w:line="117" w:lineRule="exact"/>
        <w:rPr>
          <w:rFonts w:ascii="Arial" w:cs="Arial" w:eastAsia="Arial" w:hAnsi="Arial"/>
          <w:sz w:val="18"/>
          <w:szCs w:val="18"/>
          <w:color w:val="auto"/>
        </w:rPr>
      </w:pPr>
    </w:p>
    <w:p>
      <w:pPr>
        <w:ind w:left="440" w:hanging="436"/>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Contingent collections receivables inventory increased 3% to $14.9 billion from the year-ago quarter as a result of new placements.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152400</wp:posOffset>
            </wp:positionV>
            <wp:extent cx="6997700"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7700" cy="188595"/>
                    </a:xfrm>
                    <a:prstGeom prst="rect">
                      <a:avLst/>
                    </a:prstGeom>
                    <a:noFill/>
                  </pic:spPr>
                </pic:pic>
              </a:graphicData>
            </a:graphic>
          </wp:anchor>
        </w:drawing>
      </w:r>
    </w:p>
    <w:p>
      <w:pPr>
        <w:spacing w:after="0" w:line="23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NON-GAAP FINANCIAL MEASURES</w:t>
      </w:r>
    </w:p>
    <w:p>
      <w:pPr>
        <w:spacing w:after="0" w:line="288"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In addition to financial results reported on a GAAP basis, Navient also provides certain performance measures which are non-GAAP financial measures. The following non-GAAP financial measures are presented within this Earnings Release: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Core Earnings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difference between the company’s Core Earnings and its GAAP results is that Core Earnings excludes the impacts of:</w:t>
      </w:r>
    </w:p>
    <w:p>
      <w:pPr>
        <w:ind w:right="100" w:firstLine="4"/>
        <w:spacing w:after="0" w:line="238" w:lineRule="auto"/>
        <w:tabs>
          <w:tab w:leader="none" w:pos="2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mark-to-market gains/losses on derivatives and (2) goodwill and acquired intangible asset amortization and impairment. Management uses Core Earnings in making decisions regarding the company’s performance and the allocation of corporate resources and, as a result, our segment results are presented using Core Earnings. In addition, Navient’s equity investors, credit rating agencies and debt capital investors use these Core Earnings measures to monitor the company’s business performance. See “Core Earnings” on pages 13 – 22 for a reconciliation between GAAP net income and Core Earnings.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Earnings before Interest, Taxes, Depreciation and Amortization Expense (“EBITDA”)</w:t>
      </w:r>
    </w:p>
    <w:p>
      <w:pPr>
        <w:spacing w:after="0" w:line="126"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This metric measures the operating performance of the Business Processing segment and is used by management and our equity investors to monitor operating performance and determine the value of those businesses. See “Earnings before Interest, Taxes, Depreciation and Amortization Expense (‘EBITDA’)” on page 23 for a reconciliation of the EBITDA calculation for the Business Processing segment.</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020"/>
          </w:cols>
          <w:pgMar w:left="440" w:top="319" w:right="4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 *</w:t>
      </w:r>
    </w:p>
    <w:p>
      <w:pPr>
        <w:spacing w:after="0" w:line="10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Definitions for capitalized terms in this release can be found in Navient’s Annual Report on Form 10-K for the year ended December 31, 2018 (filed with the SEC on February 26, 2019). Certain reclassifications have been made to the balances as of and for the three months ended December 31, 2018, to be consistent with classifications adopted for 2019, and had no effect on net income, total assets or total liabilities.</w:t>
      </w:r>
    </w:p>
    <w:p>
      <w:pPr>
        <w:spacing w:after="0" w:line="20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Navient will host an earnings conference call tomorrow, January 22, 2020, at 8 a.m. ET. Navient executives will be on hand to discuss various highlights of the quarter and to answer questions related to the company’s performance. To participate, join a live audio webcast at navient.com/investors or dial 855-838-4156 (USA and Canada) or dial 267-751-3600 (international) and use access code 5498068 starting at 7:45 a.m. ET.</w:t>
      </w:r>
    </w:p>
    <w:p>
      <w:pPr>
        <w:spacing w:after="0" w:line="202"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Presentation slides for the conference call, as well as additional information about the company’s loan portfolios, operating segments and other details, may be accessed at www.navient.com/investors under the webcasts tab.</w:t>
      </w:r>
    </w:p>
    <w:p>
      <w:pPr>
        <w:spacing w:after="0" w:line="197" w:lineRule="exact"/>
        <w:rPr>
          <w:sz w:val="20"/>
          <w:szCs w:val="20"/>
          <w:color w:val="auto"/>
        </w:rPr>
      </w:pPr>
    </w:p>
    <w:p>
      <w:pPr>
        <w:ind w:right="760"/>
        <w:spacing w:after="0" w:line="246" w:lineRule="auto"/>
        <w:rPr>
          <w:sz w:val="20"/>
          <w:szCs w:val="20"/>
          <w:color w:val="auto"/>
        </w:rPr>
      </w:pPr>
      <w:r>
        <w:rPr>
          <w:rFonts w:ascii="Arial" w:cs="Arial" w:eastAsia="Arial" w:hAnsi="Arial"/>
          <w:sz w:val="18"/>
          <w:szCs w:val="18"/>
          <w:color w:val="auto"/>
        </w:rPr>
        <w:t>A replay of the conference call will be available approximately two hours after the call’s conclusion through February 5, 2020, at navient.com/investors or by dialing 855-859-2056 (USA and Canada) or 404-537-3406 (international) with access code 5498068.</w:t>
      </w:r>
    </w:p>
    <w:p>
      <w:pPr>
        <w:spacing w:after="0" w:line="17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b w:val="1"/>
          <w:bCs w:val="1"/>
          <w:color w:val="auto"/>
        </w:rPr>
        <w:t xml:space="preserve">This news release contains “forward-looking statements,” within the meaning of the federal securities law, about our business and prospects and other information that is based on management’s current expectations as of the date of this release. </w:t>
      </w:r>
      <w:r>
        <w:rPr>
          <w:rFonts w:ascii="Arial" w:cs="Arial" w:eastAsia="Arial" w:hAnsi="Arial"/>
          <w:sz w:val="18"/>
          <w:szCs w:val="18"/>
          <w:color w:val="auto"/>
        </w:rPr>
        <w:t>Statements that are not historical facts, including statements about the company’s beliefs, opinions or expectations and statements that assume or are dependent upon future events, are forward-looking statements and often contain words such as “expect,” “anticipate,” “intend,” “plan,” “believe,” “seek,” “see,” “will,” “would,” “may,” “could,” “should,” “goal,” or “target.” Forward-looking statements are subject to risks, uncertainties, assumptions and other factors that may cause actual results to be materially different from those reflected in such forward-looking statements. For Navient, these factors include, among others, the risks and uncertainties associated with increases in financing costs; the availability of financing or limits on our liquidity resulting from disruptions in the capital markets or other factors; unanticipated increases in costs associated with compliance with federal, state or local laws and regulations; changes in the demand for asset management and business processing solutions or other changes in marketplaces in which we compete (including increased competition); changes in accounting standards including but not limited to changes pertaining to loan loss reserves and estimates or other accounting standards that may impact our operations; adverse outcomes in any significant litigation to which the company is a party; credit risk associated with the company’s underwriting standards or exposure to third parties, including counterparties to hedging transactions; and changes in the terms of education loans and the educational credit marketplace (including changes resulting from new laws and the implementation of existing laws). The company could also be affected by, among other things: unanticipated repayment trends on loans including prepayments or deferrals in our securitization trusts that could accelerate or delay repayment of the bonds; reductions to our credit ratings, the credit ratings of asset-backed securitizations we sponsor or the credit ratings of the United States of America; failures of our operating systems or infrastructure or those of third-party vendors; risks related to cybersecurity including the potential disruption of our systems or those of our third-party vendors or customers, or potential disclosure of confidential customer information; damage to our reputation resulting from cyber-breaches, litigation, the politicization of student loan servicing or other actions or factors; failure to successfully implement cost-cutting initiatives and adverse effects of such initiatives on our business; failure to adequately integrate acquisitions or realize anticipated benefits from acquisitions including delays or errors in converting portfolio acquisitions to our servicing platform; changes in law and regulations whether new laws or regulations, or new interpretations of existing laws and regulations applicable to any of our businesses or activities or those of our vendors, suppliers or customers; changes in the general interest rate environment, including the availability of any relevant money-market index rate, including LIBOR, or the relationship between the relevant money-market index rate and the rate at which our assets are priced; our ability to successfully effectuate any acquisitions and other strategic initiatives; activities by shareholder activists, including a proxy contest or any unsolicited takeover proposal; changes in general economic conditions; and the other factors that are described in the “Risk Factors” section of Navient’s Annual Report on Form 10-K for the year ended December 31, 2018, and in our other reports filed with the Securities and Exchange Commission. The preparation of the company’s consolidated financial statements also requires management to make certain estimates and assumptions including estimates and assumptions about future events. These estimates or assumptions may prove to be incorrect and actual results could differ materially. All forward-looking statements contained in this release are qualified by these cautionary statements and are made only as of the date of this release. The company does not undertake any obligation to update or revise these forward-looking statements except as required by law.</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020"/>
          </w:cols>
          <w:pgMar w:left="440" w:top="287" w:right="4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Navient</w:t>
      </w:r>
    </w:p>
    <w:p>
      <w:pPr>
        <w:spacing w:after="0" w:line="126"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Navient (Nasdaq: NAVI) is a leader in education loan management and business processing solutions for education, healthcare and government clients at the federal, state and local levels. The company helps its clients and millions of Americans achieve financial success through services and support. Headquartered in Wilmington, Delaware, Navient also employs team members in western New York, northeastern Pennsylvania, Indiana, Tennessee, Texas, Virginia, Wisconsin and other locations. Learn more at Navient.com.</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6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Media:</w:t>
      </w:r>
      <w:r>
        <w:rPr>
          <w:sz w:val="20"/>
          <w:szCs w:val="20"/>
          <w:color w:val="auto"/>
        </w:rPr>
        <w:tab/>
      </w:r>
      <w:r>
        <w:rPr>
          <w:rFonts w:ascii="Arial" w:cs="Arial" w:eastAsia="Arial" w:hAnsi="Arial"/>
          <w:sz w:val="18"/>
          <w:szCs w:val="18"/>
          <w:color w:val="auto"/>
        </w:rPr>
        <w:t>Paul Hartwick, 302-283-4026, paul.hartwick@navient.com</w:t>
      </w:r>
    </w:p>
    <w:p>
      <w:pPr>
        <w:spacing w:after="0" w:line="9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Investors:</w:t>
        <w:tab/>
        <w:t>Joe Fisher, 302-283-4075, joe.fisher@navient.com</w:t>
      </w:r>
    </w:p>
    <w:p>
      <w:pPr>
        <w:ind w:left="1000"/>
        <w:spacing w:after="0"/>
        <w:rPr>
          <w:sz w:val="20"/>
          <w:szCs w:val="20"/>
          <w:color w:val="auto"/>
        </w:rPr>
      </w:pPr>
      <w:r>
        <w:rPr>
          <w:rFonts w:ascii="Arial" w:cs="Arial" w:eastAsia="Arial" w:hAnsi="Arial"/>
          <w:sz w:val="18"/>
          <w:szCs w:val="18"/>
          <w:color w:val="auto"/>
        </w:rPr>
        <w:t>Nathan Rutledge, 703-984-6801, nathan.rutledge@navient.com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2545080</wp:posOffset>
            </wp:positionH>
            <wp:positionV relativeFrom="paragraph">
              <wp:posOffset>1961515</wp:posOffset>
            </wp:positionV>
            <wp:extent cx="1920875" cy="3257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20875" cy="3257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6644005</wp:posOffset>
            </wp:positionV>
            <wp:extent cx="7031990" cy="926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31990" cy="926465"/>
                    </a:xfrm>
                    <a:prstGeom prst="rect">
                      <a:avLst/>
                    </a:prstGeom>
                    <a:noFill/>
                  </pic:spPr>
                </pic:pic>
              </a:graphicData>
            </a:graphic>
          </wp:anchor>
        </w:drawing>
      </w:r>
    </w:p>
    <w:p>
      <w:pPr>
        <w:sectPr>
          <w:pgSz w:w="11900" w:h="16838" w:orient="portrait"/>
          <w:cols w:equalWidth="0" w:num="1">
            <w:col w:w="11020"/>
          </w:cols>
          <w:pgMar w:left="440" w:top="265" w:right="439" w:bottom="6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900"/>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020"/>
          </w:cols>
          <w:pgMar w:left="440" w:top="265" w:right="439" w:bottom="638"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699770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7700" cy="188595"/>
                    </a:xfrm>
                    <a:prstGeom prst="rect">
                      <a:avLst/>
                    </a:prstGeom>
                    <a:noFill/>
                  </pic:spPr>
                </pic:pic>
              </a:graphicData>
            </a:graphic>
          </wp:anchor>
        </w:drawing>
        <w:t>SELECTED HISTORICAL FINANCIAL INFORMATION AND RATIOS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20" w:type="dxa"/>
            <w:vAlign w:val="bottom"/>
            <w:gridSpan w:val="4"/>
          </w:tcPr>
          <w:p>
            <w:pPr>
              <w:jc w:val="center"/>
              <w:spacing w:after="0"/>
              <w:rPr>
                <w:sz w:val="20"/>
                <w:szCs w:val="20"/>
                <w:color w:val="auto"/>
              </w:rPr>
            </w:pPr>
            <w:r>
              <w:rPr>
                <w:rFonts w:ascii="Arial" w:cs="Arial" w:eastAsia="Arial" w:hAnsi="Arial"/>
                <w:sz w:val="14"/>
                <w:szCs w:val="14"/>
                <w:b w:val="1"/>
                <w:bCs w:val="1"/>
                <w:color w:val="auto"/>
              </w:rPr>
              <w:t>QUARTERS ENDED</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4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228"/>
        </w:trPr>
        <w:tc>
          <w:tcPr>
            <w:tcW w:w="4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420" w:type="dxa"/>
            <w:vAlign w:val="bottom"/>
            <w:gridSpan w:val="4"/>
          </w:tcPr>
          <w:p>
            <w:pPr>
              <w:jc w:val="center"/>
              <w:spacing w:after="0"/>
              <w:rPr>
                <w:sz w:val="20"/>
                <w:szCs w:val="20"/>
                <w:color w:val="auto"/>
              </w:rPr>
            </w:pPr>
            <w:r>
              <w:rPr>
                <w:rFonts w:ascii="Arial" w:cs="Arial" w:eastAsia="Arial" w:hAnsi="Arial"/>
                <w:sz w:val="14"/>
                <w:szCs w:val="14"/>
                <w:b w:val="1"/>
                <w:bCs w:val="1"/>
                <w:color w:val="auto"/>
              </w:rPr>
              <w:t>September 30,</w:t>
            </w: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9"/>
                <w:szCs w:val="19"/>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48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239"/>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center"/>
              <w:ind w:right="139"/>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239"/>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259"/>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GAAP Basis</w:t>
            </w: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4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59"/>
              <w:spacing w:after="0"/>
              <w:rPr>
                <w:sz w:val="20"/>
                <w:szCs w:val="20"/>
                <w:color w:val="auto"/>
              </w:rPr>
            </w:pPr>
            <w:r>
              <w:rPr>
                <w:rFonts w:ascii="Arial" w:cs="Arial" w:eastAsia="Arial" w:hAnsi="Arial"/>
                <w:sz w:val="16"/>
                <w:szCs w:val="16"/>
                <w:color w:val="auto"/>
              </w:rPr>
              <w:t>171</w:t>
            </w:r>
          </w:p>
        </w:tc>
        <w:tc>
          <w:tcPr>
            <w:tcW w:w="4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145</w:t>
            </w:r>
          </w:p>
        </w:tc>
        <w:tc>
          <w:tcPr>
            <w:tcW w:w="220" w:type="dxa"/>
            <w:vAlign w:val="bottom"/>
          </w:tcPr>
          <w:p>
            <w:pPr>
              <w:spacing w:after="0"/>
              <w:rPr>
                <w:sz w:val="16"/>
                <w:szCs w:val="16"/>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72</w:t>
            </w: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60"/>
              <w:spacing w:after="0"/>
              <w:rPr>
                <w:sz w:val="20"/>
                <w:szCs w:val="20"/>
                <w:color w:val="auto"/>
              </w:rPr>
            </w:pPr>
            <w:r>
              <w:rPr>
                <w:rFonts w:ascii="Arial" w:cs="Arial" w:eastAsia="Arial" w:hAnsi="Arial"/>
                <w:sz w:val="16"/>
                <w:szCs w:val="16"/>
                <w:color w:val="auto"/>
              </w:rPr>
              <w:t>597</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395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Diluted earnings per common share</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.78</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.63</w:t>
            </w:r>
          </w:p>
        </w:tc>
        <w:tc>
          <w:tcPr>
            <w:tcW w:w="2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2.56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1.49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840" w:type="dxa"/>
            <w:vAlign w:val="bottom"/>
            <w:gridSpan w:val="2"/>
          </w:tcPr>
          <w:p>
            <w:pPr>
              <w:spacing w:after="0"/>
              <w:rPr>
                <w:sz w:val="20"/>
                <w:szCs w:val="20"/>
                <w:color w:val="auto"/>
              </w:rPr>
            </w:pPr>
            <w:r>
              <w:rPr>
                <w:rFonts w:ascii="Arial" w:cs="Arial" w:eastAsia="Arial" w:hAnsi="Arial"/>
                <w:sz w:val="16"/>
                <w:szCs w:val="16"/>
                <w:color w:val="auto"/>
              </w:rPr>
              <w:t>Weighted average shares used to compute diluted earnings per</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820" w:type="dxa"/>
            <w:vAlign w:val="bottom"/>
          </w:tcPr>
          <w:p>
            <w:pPr>
              <w:ind w:left="200"/>
              <w:spacing w:after="0"/>
              <w:rPr>
                <w:sz w:val="20"/>
                <w:szCs w:val="20"/>
                <w:color w:val="auto"/>
              </w:rPr>
            </w:pPr>
            <w:r>
              <w:rPr>
                <w:rFonts w:ascii="Arial" w:cs="Arial" w:eastAsia="Arial" w:hAnsi="Arial"/>
                <w:sz w:val="16"/>
                <w:szCs w:val="16"/>
                <w:color w:val="auto"/>
              </w:rPr>
              <w:t>share</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159"/>
              <w:spacing w:after="0"/>
              <w:rPr>
                <w:sz w:val="20"/>
                <w:szCs w:val="20"/>
                <w:color w:val="auto"/>
              </w:rPr>
            </w:pPr>
            <w:r>
              <w:rPr>
                <w:rFonts w:ascii="Arial" w:cs="Arial" w:eastAsia="Arial" w:hAnsi="Arial"/>
                <w:sz w:val="16"/>
                <w:szCs w:val="16"/>
                <w:color w:val="auto"/>
              </w:rPr>
              <w:t>221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228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256</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160"/>
              <w:spacing w:after="0"/>
              <w:rPr>
                <w:sz w:val="20"/>
                <w:szCs w:val="20"/>
                <w:color w:val="auto"/>
              </w:rPr>
            </w:pPr>
            <w:r>
              <w:rPr>
                <w:rFonts w:ascii="Arial" w:cs="Arial" w:eastAsia="Arial" w:hAnsi="Arial"/>
                <w:sz w:val="16"/>
                <w:szCs w:val="16"/>
                <w:color w:val="auto"/>
              </w:rPr>
              <w:t>233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264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Net interest margin, Federal Education Loan segment</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.78%</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40" w:type="dxa"/>
            <w:vAlign w:val="bottom"/>
            <w:gridSpan w:val="2"/>
          </w:tcPr>
          <w:p>
            <w:pPr>
              <w:spacing w:after="0"/>
              <w:rPr>
                <w:sz w:val="20"/>
                <w:szCs w:val="20"/>
                <w:color w:val="auto"/>
              </w:rPr>
            </w:pPr>
            <w:r>
              <w:rPr>
                <w:rFonts w:ascii="Arial" w:cs="Arial" w:eastAsia="Arial" w:hAnsi="Arial"/>
                <w:sz w:val="16"/>
                <w:szCs w:val="16"/>
                <w:color w:val="auto"/>
              </w:rPr>
              <w:t>Net interest margin, Consumer Lending segment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3.32%</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3.52%</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3.29%</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3.36%</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3.32%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Return on assets</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.63%</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40" w:type="dxa"/>
            <w:vAlign w:val="bottom"/>
            <w:gridSpan w:val="2"/>
          </w:tcPr>
          <w:p>
            <w:pPr>
              <w:spacing w:after="0"/>
              <w:rPr>
                <w:sz w:val="20"/>
                <w:szCs w:val="20"/>
                <w:color w:val="auto"/>
              </w:rPr>
            </w:pPr>
            <w:r>
              <w:rPr>
                <w:rFonts w:ascii="Arial" w:cs="Arial" w:eastAsia="Arial" w:hAnsi="Arial"/>
                <w:sz w:val="16"/>
                <w:szCs w:val="16"/>
                <w:color w:val="auto"/>
              </w:rPr>
              <w:t>Ending FFELP Loans, net</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59"/>
              <w:spacing w:after="0"/>
              <w:rPr>
                <w:sz w:val="20"/>
                <w:szCs w:val="20"/>
                <w:color w:val="auto"/>
              </w:rPr>
            </w:pPr>
            <w:r>
              <w:rPr>
                <w:rFonts w:ascii="Arial" w:cs="Arial" w:eastAsia="Arial" w:hAnsi="Arial"/>
                <w:sz w:val="16"/>
                <w:szCs w:val="16"/>
                <w:color w:val="auto"/>
              </w:rPr>
              <w:t>64,575</w:t>
            </w:r>
          </w:p>
        </w:tc>
        <w:tc>
          <w:tcPr>
            <w:tcW w:w="4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66,087</w:t>
            </w:r>
          </w:p>
        </w:tc>
        <w:tc>
          <w:tcPr>
            <w:tcW w:w="220" w:type="dxa"/>
            <w:vAlign w:val="bottom"/>
          </w:tcPr>
          <w:p>
            <w:pPr>
              <w:spacing w:after="0"/>
              <w:rPr>
                <w:sz w:val="16"/>
                <w:szCs w:val="16"/>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72,253</w:t>
            </w: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60"/>
              <w:spacing w:after="0"/>
              <w:rPr>
                <w:sz w:val="20"/>
                <w:szCs w:val="20"/>
                <w:color w:val="auto"/>
              </w:rPr>
            </w:pPr>
            <w:r>
              <w:rPr>
                <w:rFonts w:ascii="Arial" w:cs="Arial" w:eastAsia="Arial" w:hAnsi="Arial"/>
                <w:sz w:val="16"/>
                <w:szCs w:val="16"/>
                <w:color w:val="auto"/>
              </w:rPr>
              <w:t>64,575</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72,253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Ending Private Education Loans, net</w:t>
            </w:r>
          </w:p>
        </w:tc>
        <w:tc>
          <w:tcPr>
            <w:tcW w:w="1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22,245</w:t>
            </w:r>
          </w:p>
        </w:tc>
        <w:tc>
          <w:tcPr>
            <w:tcW w:w="2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21,846</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22,245</w:t>
            </w:r>
          </w:p>
        </w:tc>
        <w:tc>
          <w:tcPr>
            <w:tcW w:w="4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22,245</w:t>
            </w:r>
          </w:p>
        </w:tc>
        <w:tc>
          <w:tcPr>
            <w:tcW w:w="2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22,245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40" w:type="dxa"/>
            <w:vAlign w:val="bottom"/>
            <w:gridSpan w:val="2"/>
          </w:tcPr>
          <w:p>
            <w:pPr>
              <w:spacing w:after="0"/>
              <w:rPr>
                <w:sz w:val="20"/>
                <w:szCs w:val="20"/>
                <w:color w:val="auto"/>
              </w:rPr>
            </w:pPr>
            <w:r>
              <w:rPr>
                <w:rFonts w:ascii="Arial" w:cs="Arial" w:eastAsia="Arial" w:hAnsi="Arial"/>
                <w:sz w:val="16"/>
                <w:szCs w:val="16"/>
                <w:color w:val="auto"/>
              </w:rPr>
              <w:t>Ending total education loans, net</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59"/>
              <w:spacing w:after="0"/>
              <w:rPr>
                <w:sz w:val="20"/>
                <w:szCs w:val="20"/>
                <w:color w:val="auto"/>
              </w:rPr>
            </w:pPr>
            <w:r>
              <w:rPr>
                <w:rFonts w:ascii="Arial" w:cs="Arial" w:eastAsia="Arial" w:hAnsi="Arial"/>
                <w:sz w:val="16"/>
                <w:szCs w:val="16"/>
                <w:color w:val="auto"/>
              </w:rPr>
              <w:t>86,820</w:t>
            </w:r>
          </w:p>
        </w:tc>
        <w:tc>
          <w:tcPr>
            <w:tcW w:w="4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87,933</w:t>
            </w:r>
          </w:p>
        </w:tc>
        <w:tc>
          <w:tcPr>
            <w:tcW w:w="220" w:type="dxa"/>
            <w:vAlign w:val="bottom"/>
          </w:tcPr>
          <w:p>
            <w:pPr>
              <w:spacing w:after="0"/>
              <w:rPr>
                <w:sz w:val="17"/>
                <w:szCs w:val="17"/>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94,498</w:t>
            </w: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60"/>
              <w:spacing w:after="0"/>
              <w:rPr>
                <w:sz w:val="20"/>
                <w:szCs w:val="20"/>
                <w:color w:val="auto"/>
              </w:rPr>
            </w:pPr>
            <w:r>
              <w:rPr>
                <w:rFonts w:ascii="Arial" w:cs="Arial" w:eastAsia="Arial" w:hAnsi="Arial"/>
                <w:sz w:val="16"/>
                <w:szCs w:val="16"/>
                <w:color w:val="auto"/>
              </w:rPr>
              <w:t>86,820</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94,498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Average FFELP Loans</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65,642</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67,206</w:t>
            </w:r>
          </w:p>
        </w:tc>
        <w:tc>
          <w:tcPr>
            <w:tcW w:w="22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73,425</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68,271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76,971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40" w:type="dxa"/>
            <w:vAlign w:val="bottom"/>
            <w:gridSpan w:val="2"/>
          </w:tcPr>
          <w:p>
            <w:pPr>
              <w:spacing w:after="0"/>
              <w:rPr>
                <w:sz w:val="20"/>
                <w:szCs w:val="20"/>
                <w:color w:val="auto"/>
              </w:rPr>
            </w:pPr>
            <w:r>
              <w:rPr>
                <w:rFonts w:ascii="Arial" w:cs="Arial" w:eastAsia="Arial" w:hAnsi="Arial"/>
                <w:sz w:val="16"/>
                <w:szCs w:val="16"/>
                <w:color w:val="auto"/>
              </w:rPr>
              <w:t>Average Private Education Loans</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22,624</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22,205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22,955</w:t>
            </w:r>
          </w:p>
        </w:tc>
        <w:tc>
          <w:tcPr>
            <w:tcW w:w="4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22,512</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23,281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Average total education loans</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88,266</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89,411</w:t>
            </w:r>
          </w:p>
        </w:tc>
        <w:tc>
          <w:tcPr>
            <w:tcW w:w="2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96,380</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90,783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100,252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Core Earnings Basis</w:t>
            </w:r>
            <w:r>
              <w:rPr>
                <w:rFonts w:ascii="Arial" w:cs="Arial" w:eastAsia="Arial" w:hAnsi="Arial"/>
                <w:sz w:val="27"/>
                <w:szCs w:val="27"/>
                <w:b w:val="1"/>
                <w:bCs w:val="1"/>
                <w:color w:val="auto"/>
                <w:vertAlign w:val="superscript"/>
              </w:rPr>
              <w:t>(1)</w:t>
            </w: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8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153</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142</w:t>
            </w:r>
          </w:p>
        </w:tc>
        <w:tc>
          <w:tcPr>
            <w:tcW w:w="2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140</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607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519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40" w:type="dxa"/>
            <w:vAlign w:val="bottom"/>
            <w:gridSpan w:val="2"/>
          </w:tcPr>
          <w:p>
            <w:pPr>
              <w:spacing w:after="0"/>
              <w:rPr>
                <w:sz w:val="20"/>
                <w:szCs w:val="20"/>
                <w:color w:val="auto"/>
              </w:rPr>
            </w:pPr>
            <w:r>
              <w:rPr>
                <w:rFonts w:ascii="Arial" w:cs="Arial" w:eastAsia="Arial" w:hAnsi="Arial"/>
                <w:sz w:val="16"/>
                <w:szCs w:val="16"/>
                <w:color w:val="auto"/>
              </w:rPr>
              <w:t>Diluted earnings per common share</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59"/>
              <w:spacing w:after="0"/>
              <w:rPr>
                <w:sz w:val="20"/>
                <w:szCs w:val="20"/>
                <w:color w:val="auto"/>
              </w:rPr>
            </w:pPr>
            <w:r>
              <w:rPr>
                <w:rFonts w:ascii="Arial" w:cs="Arial" w:eastAsia="Arial" w:hAnsi="Arial"/>
                <w:sz w:val="16"/>
                <w:szCs w:val="16"/>
                <w:color w:val="auto"/>
              </w:rPr>
              <w:t>.69</w:t>
            </w:r>
          </w:p>
        </w:tc>
        <w:tc>
          <w:tcPr>
            <w:tcW w:w="4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.62</w:t>
            </w:r>
          </w:p>
        </w:tc>
        <w:tc>
          <w:tcPr>
            <w:tcW w:w="220" w:type="dxa"/>
            <w:vAlign w:val="bottom"/>
          </w:tcPr>
          <w:p>
            <w:pPr>
              <w:spacing w:after="0"/>
              <w:rPr>
                <w:sz w:val="16"/>
                <w:szCs w:val="16"/>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.55</w:t>
            </w: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60"/>
              <w:spacing w:after="0"/>
              <w:rPr>
                <w:sz w:val="20"/>
                <w:szCs w:val="20"/>
                <w:color w:val="auto"/>
              </w:rPr>
            </w:pPr>
            <w:r>
              <w:rPr>
                <w:rFonts w:ascii="Arial" w:cs="Arial" w:eastAsia="Arial" w:hAnsi="Arial"/>
                <w:sz w:val="16"/>
                <w:szCs w:val="16"/>
                <w:color w:val="auto"/>
              </w:rPr>
              <w:t>2.60</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1.96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Adjusted diluted earnings per common share</w:t>
            </w:r>
            <w:r>
              <w:rPr>
                <w:rFonts w:ascii="Arial" w:cs="Arial" w:eastAsia="Arial" w:hAnsi="Arial"/>
                <w:sz w:val="21"/>
                <w:szCs w:val="21"/>
                <w:color w:val="auto"/>
                <w:vertAlign w:val="superscript"/>
              </w:rPr>
              <w:t>(2)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.67</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.65</w:t>
            </w:r>
          </w:p>
        </w:tc>
        <w:tc>
          <w:tcPr>
            <w:tcW w:w="2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.58</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2.64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2.09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840" w:type="dxa"/>
            <w:vAlign w:val="bottom"/>
            <w:gridSpan w:val="2"/>
          </w:tcPr>
          <w:p>
            <w:pPr>
              <w:spacing w:after="0"/>
              <w:rPr>
                <w:sz w:val="20"/>
                <w:szCs w:val="20"/>
                <w:color w:val="auto"/>
              </w:rPr>
            </w:pPr>
            <w:r>
              <w:rPr>
                <w:rFonts w:ascii="Arial" w:cs="Arial" w:eastAsia="Arial" w:hAnsi="Arial"/>
                <w:sz w:val="16"/>
                <w:szCs w:val="16"/>
                <w:color w:val="auto"/>
              </w:rPr>
              <w:t>Weighted average shares used to compute diluted earnings per</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820" w:type="dxa"/>
            <w:vAlign w:val="bottom"/>
          </w:tcPr>
          <w:p>
            <w:pPr>
              <w:ind w:left="200"/>
              <w:spacing w:after="0"/>
              <w:rPr>
                <w:sz w:val="20"/>
                <w:szCs w:val="20"/>
                <w:color w:val="auto"/>
              </w:rPr>
            </w:pPr>
            <w:r>
              <w:rPr>
                <w:rFonts w:ascii="Arial" w:cs="Arial" w:eastAsia="Arial" w:hAnsi="Arial"/>
                <w:sz w:val="16"/>
                <w:szCs w:val="16"/>
                <w:color w:val="auto"/>
              </w:rPr>
              <w:t>share</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159"/>
              <w:spacing w:after="0"/>
              <w:rPr>
                <w:sz w:val="20"/>
                <w:szCs w:val="20"/>
                <w:color w:val="auto"/>
              </w:rPr>
            </w:pPr>
            <w:r>
              <w:rPr>
                <w:rFonts w:ascii="Arial" w:cs="Arial" w:eastAsia="Arial" w:hAnsi="Arial"/>
                <w:sz w:val="16"/>
                <w:szCs w:val="16"/>
                <w:color w:val="auto"/>
              </w:rPr>
              <w:t>221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228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256</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160"/>
              <w:spacing w:after="0"/>
              <w:rPr>
                <w:sz w:val="20"/>
                <w:szCs w:val="20"/>
                <w:color w:val="auto"/>
              </w:rPr>
            </w:pPr>
            <w:r>
              <w:rPr>
                <w:rFonts w:ascii="Arial" w:cs="Arial" w:eastAsia="Arial" w:hAnsi="Arial"/>
                <w:sz w:val="16"/>
                <w:szCs w:val="16"/>
                <w:color w:val="auto"/>
              </w:rPr>
              <w:t>233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264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Net interest margin, Federal Education Loan segment</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.83%</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40" w:type="dxa"/>
            <w:vAlign w:val="bottom"/>
            <w:gridSpan w:val="2"/>
          </w:tcPr>
          <w:p>
            <w:pPr>
              <w:spacing w:after="0"/>
              <w:rPr>
                <w:sz w:val="20"/>
                <w:szCs w:val="20"/>
                <w:color w:val="auto"/>
              </w:rPr>
            </w:pPr>
            <w:r>
              <w:rPr>
                <w:rFonts w:ascii="Arial" w:cs="Arial" w:eastAsia="Arial" w:hAnsi="Arial"/>
                <w:sz w:val="16"/>
                <w:szCs w:val="16"/>
                <w:color w:val="auto"/>
              </w:rPr>
              <w:t>Net interest margin, Consumer Lending segment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3.31%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3.45%</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3.18%</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3.30%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Return on assets</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.64%</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40" w:type="dxa"/>
            <w:vAlign w:val="bottom"/>
            <w:gridSpan w:val="2"/>
          </w:tcPr>
          <w:p>
            <w:pPr>
              <w:spacing w:after="0"/>
              <w:rPr>
                <w:sz w:val="20"/>
                <w:szCs w:val="20"/>
                <w:color w:val="auto"/>
              </w:rPr>
            </w:pPr>
            <w:r>
              <w:rPr>
                <w:rFonts w:ascii="Arial" w:cs="Arial" w:eastAsia="Arial" w:hAnsi="Arial"/>
                <w:sz w:val="16"/>
                <w:szCs w:val="16"/>
                <w:color w:val="auto"/>
              </w:rPr>
              <w:t>Ending FFELP Loans, net</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59"/>
              <w:spacing w:after="0"/>
              <w:rPr>
                <w:sz w:val="20"/>
                <w:szCs w:val="20"/>
                <w:color w:val="auto"/>
              </w:rPr>
            </w:pPr>
            <w:r>
              <w:rPr>
                <w:rFonts w:ascii="Arial" w:cs="Arial" w:eastAsia="Arial" w:hAnsi="Arial"/>
                <w:sz w:val="16"/>
                <w:szCs w:val="16"/>
                <w:color w:val="auto"/>
              </w:rPr>
              <w:t>64,575</w:t>
            </w:r>
          </w:p>
        </w:tc>
        <w:tc>
          <w:tcPr>
            <w:tcW w:w="4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66,087</w:t>
            </w:r>
          </w:p>
        </w:tc>
        <w:tc>
          <w:tcPr>
            <w:tcW w:w="220" w:type="dxa"/>
            <w:vAlign w:val="bottom"/>
          </w:tcPr>
          <w:p>
            <w:pPr>
              <w:spacing w:after="0"/>
              <w:rPr>
                <w:sz w:val="16"/>
                <w:szCs w:val="16"/>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72,253</w:t>
            </w: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60"/>
              <w:spacing w:after="0"/>
              <w:rPr>
                <w:sz w:val="20"/>
                <w:szCs w:val="20"/>
                <w:color w:val="auto"/>
              </w:rPr>
            </w:pPr>
            <w:r>
              <w:rPr>
                <w:rFonts w:ascii="Arial" w:cs="Arial" w:eastAsia="Arial" w:hAnsi="Arial"/>
                <w:sz w:val="16"/>
                <w:szCs w:val="16"/>
                <w:color w:val="auto"/>
              </w:rPr>
              <w:t>64,575</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72,253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Ending Private Education Loans, net</w:t>
            </w:r>
          </w:p>
        </w:tc>
        <w:tc>
          <w:tcPr>
            <w:tcW w:w="1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22,245</w:t>
            </w:r>
          </w:p>
        </w:tc>
        <w:tc>
          <w:tcPr>
            <w:tcW w:w="2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21,846</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22,245</w:t>
            </w:r>
          </w:p>
        </w:tc>
        <w:tc>
          <w:tcPr>
            <w:tcW w:w="4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22,245</w:t>
            </w:r>
          </w:p>
        </w:tc>
        <w:tc>
          <w:tcPr>
            <w:tcW w:w="2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22,245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40" w:type="dxa"/>
            <w:vAlign w:val="bottom"/>
            <w:gridSpan w:val="2"/>
          </w:tcPr>
          <w:p>
            <w:pPr>
              <w:spacing w:after="0"/>
              <w:rPr>
                <w:sz w:val="20"/>
                <w:szCs w:val="20"/>
                <w:color w:val="auto"/>
              </w:rPr>
            </w:pPr>
            <w:r>
              <w:rPr>
                <w:rFonts w:ascii="Arial" w:cs="Arial" w:eastAsia="Arial" w:hAnsi="Arial"/>
                <w:sz w:val="16"/>
                <w:szCs w:val="16"/>
                <w:color w:val="auto"/>
              </w:rPr>
              <w:t>Ending total education loans, net</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59"/>
              <w:spacing w:after="0"/>
              <w:rPr>
                <w:sz w:val="20"/>
                <w:szCs w:val="20"/>
                <w:color w:val="auto"/>
              </w:rPr>
            </w:pPr>
            <w:r>
              <w:rPr>
                <w:rFonts w:ascii="Arial" w:cs="Arial" w:eastAsia="Arial" w:hAnsi="Arial"/>
                <w:sz w:val="16"/>
                <w:szCs w:val="16"/>
                <w:color w:val="auto"/>
              </w:rPr>
              <w:t>86,820</w:t>
            </w:r>
          </w:p>
        </w:tc>
        <w:tc>
          <w:tcPr>
            <w:tcW w:w="4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87,933</w:t>
            </w:r>
          </w:p>
        </w:tc>
        <w:tc>
          <w:tcPr>
            <w:tcW w:w="220" w:type="dxa"/>
            <w:vAlign w:val="bottom"/>
          </w:tcPr>
          <w:p>
            <w:pPr>
              <w:spacing w:after="0"/>
              <w:rPr>
                <w:sz w:val="17"/>
                <w:szCs w:val="17"/>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94,498</w:t>
            </w: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60"/>
              <w:spacing w:after="0"/>
              <w:rPr>
                <w:sz w:val="20"/>
                <w:szCs w:val="20"/>
                <w:color w:val="auto"/>
              </w:rPr>
            </w:pPr>
            <w:r>
              <w:rPr>
                <w:rFonts w:ascii="Arial" w:cs="Arial" w:eastAsia="Arial" w:hAnsi="Arial"/>
                <w:sz w:val="16"/>
                <w:szCs w:val="16"/>
                <w:color w:val="auto"/>
              </w:rPr>
              <w:t>86,820</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94,498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Average FFELP Loans</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65,642</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67,206</w:t>
            </w:r>
          </w:p>
        </w:tc>
        <w:tc>
          <w:tcPr>
            <w:tcW w:w="22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73,425</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68,271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76,971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40" w:type="dxa"/>
            <w:vAlign w:val="bottom"/>
            <w:gridSpan w:val="2"/>
          </w:tcPr>
          <w:p>
            <w:pPr>
              <w:spacing w:after="0"/>
              <w:rPr>
                <w:sz w:val="20"/>
                <w:szCs w:val="20"/>
                <w:color w:val="auto"/>
              </w:rPr>
            </w:pPr>
            <w:r>
              <w:rPr>
                <w:rFonts w:ascii="Arial" w:cs="Arial" w:eastAsia="Arial" w:hAnsi="Arial"/>
                <w:sz w:val="16"/>
                <w:szCs w:val="16"/>
                <w:color w:val="auto"/>
              </w:rPr>
              <w:t>Average Private Education Loans</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22,624</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22,205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22,955</w:t>
            </w:r>
          </w:p>
        </w:tc>
        <w:tc>
          <w:tcPr>
            <w:tcW w:w="4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22,512</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23,281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Average total education loans</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88,266</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89,411</w:t>
            </w:r>
          </w:p>
        </w:tc>
        <w:tc>
          <w:tcPr>
            <w:tcW w:w="2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96,380</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90,783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100,252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9779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187" w:lineRule="exact"/>
        <w:rPr>
          <w:sz w:val="20"/>
          <w:szCs w:val="20"/>
          <w:color w:val="auto"/>
        </w:rPr>
      </w:pPr>
    </w:p>
    <w:p>
      <w:pPr>
        <w:ind w:left="320" w:right="400" w:hanging="316"/>
        <w:spacing w:after="0" w:line="183" w:lineRule="auto"/>
        <w:tabs>
          <w:tab w:leader="none" w:pos="320" w:val="left"/>
        </w:tabs>
        <w:numPr>
          <w:ilvl w:val="0"/>
          <w:numId w:val="11"/>
        </w:numPr>
        <w:rPr>
          <w:rFonts w:ascii="Arial" w:cs="Arial" w:eastAsia="Arial" w:hAnsi="Arial"/>
          <w:sz w:val="24"/>
          <w:szCs w:val="24"/>
          <w:color w:val="auto"/>
          <w:vertAlign w:val="superscript"/>
        </w:rPr>
      </w:pPr>
      <w:r>
        <w:rPr>
          <w:rFonts w:ascii="Arial" w:cs="Arial" w:eastAsia="Arial" w:hAnsi="Arial"/>
          <w:sz w:val="14"/>
          <w:szCs w:val="14"/>
          <w:color w:val="auto"/>
        </w:rPr>
        <w:t>Core Earnings are non-GAAP financial measures and do not represent a comprehensive basis of accounting. For a greater explanation, of Core Earnings, see the section titled “Non-GAAP Financial Measures — Core Earnings.”</w:t>
      </w:r>
    </w:p>
    <w:p>
      <w:pPr>
        <w:spacing w:after="0" w:line="58" w:lineRule="exact"/>
        <w:rPr>
          <w:rFonts w:ascii="Arial" w:cs="Arial" w:eastAsia="Arial" w:hAnsi="Arial"/>
          <w:sz w:val="24"/>
          <w:szCs w:val="24"/>
          <w:color w:val="auto"/>
          <w:vertAlign w:val="superscript"/>
        </w:rPr>
      </w:pPr>
    </w:p>
    <w:p>
      <w:pPr>
        <w:ind w:left="320" w:right="80" w:hanging="316"/>
        <w:spacing w:after="0" w:line="208" w:lineRule="auto"/>
        <w:tabs>
          <w:tab w:leader="none" w:pos="320" w:val="left"/>
        </w:tabs>
        <w:numPr>
          <w:ilvl w:val="0"/>
          <w:numId w:val="11"/>
        </w:numPr>
        <w:rPr>
          <w:rFonts w:ascii="Arial" w:cs="Arial" w:eastAsia="Arial" w:hAnsi="Arial"/>
          <w:sz w:val="24"/>
          <w:szCs w:val="24"/>
          <w:color w:val="auto"/>
          <w:vertAlign w:val="superscript"/>
        </w:rPr>
      </w:pPr>
      <w:r>
        <w:rPr>
          <w:rFonts w:ascii="Arial" w:cs="Arial" w:eastAsia="Arial" w:hAnsi="Arial"/>
          <w:sz w:val="14"/>
          <w:szCs w:val="14"/>
          <w:color w:val="auto"/>
        </w:rPr>
        <w:t>Adjusted diluted Core Earnings per share, a non-GAAP financial measure, excludes net restructuring and regulatory expenses of $(7) million, $9 million and $12 million for the three months ended December 31, 2019, September 30, 2019 and December 31, 2018, respectively, and $12 million and $42 million for the years ended December 31, 2019 and 2018, respectively. Regulatory costs for fourth-quarter 2019 and full-year 2019 are net of $20 million and $30 million in insurance reimbursements, respectively, for covered costs related to such matters.</w:t>
      </w:r>
    </w:p>
    <w:p>
      <w:pPr>
        <w:spacing w:after="0" w:line="128" w:lineRule="exact"/>
        <w:rPr>
          <w:sz w:val="20"/>
          <w:szCs w:val="20"/>
          <w:color w:val="auto"/>
        </w:rPr>
      </w:pPr>
    </w:p>
    <w:p>
      <w:pPr>
        <w:ind w:left="1090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040"/>
          </w:cols>
          <w:pgMar w:left="440" w:top="306" w:right="419" w:bottom="1440" w:gutter="0" w:footer="0" w:header="0"/>
        </w:sectPr>
      </w:pPr>
    </w:p>
    <w:bookmarkStart w:id="11" w:name="page12"/>
    <w:bookmarkEnd w:id="11"/>
    <w:p>
      <w:pPr>
        <w:ind w:left="10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6997700"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7700" cy="188595"/>
                    </a:xfrm>
                    <a:prstGeom prst="rect">
                      <a:avLst/>
                    </a:prstGeom>
                    <a:noFill/>
                  </pic:spPr>
                </pic:pic>
              </a:graphicData>
            </a:graphic>
          </wp:anchor>
        </w:drawing>
        <w:t>RESULTS OF OPERATIONS</w:t>
      </w:r>
    </w:p>
    <w:p>
      <w:pPr>
        <w:spacing w:after="0" w:line="24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present the results of operations below first on a consolidated basis in accordance with GAAP. Following our discussion of consolidated earnings results on a GAAP basis, we present our results on a segment basis. We have four reportable operating segments: Federal Education Loans, Consumer Lending, Business Processing and Other. These segments operate in distinct business environments and we manage and evaluate the financial performance of these segments using non-GAAP financial measures we call Core Earnings (see “Non-GAAP Financial Measures – Core Earnings”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6997700"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7700" cy="188595"/>
                    </a:xfrm>
                    <a:prstGeom prst="rect">
                      <a:avLst/>
                    </a:prstGeom>
                    <a:noFill/>
                  </pic:spPr>
                </pic:pic>
              </a:graphicData>
            </a:graphic>
          </wp:anchor>
        </w:drawing>
      </w:r>
    </w:p>
    <w:p>
      <w:pPr>
        <w:spacing w:after="0" w:line="35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GAAP STATEMENTS OF INCOME (UNAUDITED)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4"/>
          </w:tcPr>
          <w:p>
            <w:pPr>
              <w:jc w:val="center"/>
              <w:ind w:right="88"/>
              <w:spacing w:after="0"/>
              <w:rPr>
                <w:sz w:val="20"/>
                <w:szCs w:val="20"/>
                <w:color w:val="auto"/>
              </w:rPr>
            </w:pPr>
            <w:r>
              <w:rPr>
                <w:rFonts w:ascii="Arial" w:cs="Arial" w:eastAsia="Arial" w:hAnsi="Arial"/>
                <w:sz w:val="13"/>
                <w:szCs w:val="13"/>
                <w:b w:val="1"/>
                <w:bCs w:val="1"/>
                <w:color w:val="auto"/>
                <w:w w:val="97"/>
              </w:rPr>
              <w:t>December 31, 2019</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97"/>
              </w:rPr>
              <w:t>December 31, 2019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9"/>
              </w:rPr>
              <w:t>vs.</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9"/>
              </w:rPr>
              <w:t>vs.</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4"/>
          </w:tcPr>
          <w:p>
            <w:pPr>
              <w:jc w:val="center"/>
              <w:ind w:right="88"/>
              <w:spacing w:after="0"/>
              <w:rPr>
                <w:sz w:val="20"/>
                <w:szCs w:val="20"/>
                <w:color w:val="auto"/>
              </w:rPr>
            </w:pPr>
            <w:r>
              <w:rPr>
                <w:rFonts w:ascii="Arial" w:cs="Arial" w:eastAsia="Arial" w:hAnsi="Arial"/>
                <w:sz w:val="13"/>
                <w:szCs w:val="13"/>
                <w:b w:val="1"/>
                <w:bCs w:val="1"/>
                <w:color w:val="auto"/>
                <w:w w:val="97"/>
              </w:rPr>
              <w:t>September 30, 2019</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97"/>
              </w:rPr>
              <w:t>December 31, 2018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gridSpan w:val="3"/>
          </w:tcPr>
          <w:p>
            <w:pPr>
              <w:jc w:val="center"/>
              <w:ind w:left="230"/>
              <w:spacing w:after="0" w:line="107" w:lineRule="exact"/>
              <w:rPr>
                <w:sz w:val="20"/>
                <w:szCs w:val="20"/>
                <w:color w:val="auto"/>
              </w:rPr>
            </w:pPr>
            <w:r>
              <w:rPr>
                <w:rFonts w:ascii="Arial" w:cs="Arial" w:eastAsia="Arial" w:hAnsi="Arial"/>
                <w:sz w:val="12"/>
                <w:szCs w:val="12"/>
                <w:b w:val="1"/>
                <w:bCs w:val="1"/>
                <w:color w:val="auto"/>
              </w:rPr>
              <w:t>Increase</w:t>
            </w: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gridSpan w:val="3"/>
          </w:tcPr>
          <w:p>
            <w:pPr>
              <w:jc w:val="center"/>
              <w:ind w:left="250"/>
              <w:spacing w:after="0" w:line="107" w:lineRule="exact"/>
              <w:rPr>
                <w:sz w:val="20"/>
                <w:szCs w:val="20"/>
                <w:color w:val="auto"/>
              </w:rPr>
            </w:pPr>
            <w:r>
              <w:rPr>
                <w:rFonts w:ascii="Arial" w:cs="Arial" w:eastAsia="Arial" w:hAnsi="Arial"/>
                <w:sz w:val="12"/>
                <w:szCs w:val="12"/>
                <w:b w:val="1"/>
                <w:bCs w:val="1"/>
                <w:color w:val="auto"/>
              </w:rPr>
              <w:t>Increase</w:t>
            </w:r>
          </w:p>
        </w:tc>
        <w:tc>
          <w:tcPr>
            <w:tcW w:w="4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96"/>
              </w:rPr>
              <w:t>QUARTERS ENDED</w:t>
            </w: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3"/>
                <w:szCs w:val="13"/>
                <w:b w:val="1"/>
                <w:bCs w:val="1"/>
                <w:color w:val="auto"/>
                <w:w w:val="99"/>
              </w:rPr>
              <w:t>(Decrease)</w:t>
            </w:r>
          </w:p>
        </w:tc>
        <w:tc>
          <w:tcPr>
            <w:tcW w:w="4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3"/>
                <w:szCs w:val="13"/>
                <w:b w:val="1"/>
                <w:bCs w:val="1"/>
                <w:color w:val="auto"/>
                <w:w w:val="96"/>
              </w:rPr>
              <w:t>(Decrease)</w:t>
            </w:r>
          </w:p>
        </w:tc>
        <w:tc>
          <w:tcPr>
            <w:tcW w:w="4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35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(In millions, except per share data)</w:t>
            </w:r>
          </w:p>
        </w:tc>
        <w:tc>
          <w:tcPr>
            <w:tcW w:w="140" w:type="dxa"/>
            <w:vAlign w:val="bottom"/>
          </w:tcPr>
          <w:p>
            <w:pPr>
              <w:spacing w:after="0"/>
              <w:rPr>
                <w:sz w:val="9"/>
                <w:szCs w:val="9"/>
                <w:color w:val="auto"/>
              </w:rPr>
            </w:pPr>
          </w:p>
        </w:tc>
        <w:tc>
          <w:tcPr>
            <w:tcW w:w="980" w:type="dxa"/>
            <w:vAlign w:val="bottom"/>
          </w:tcPr>
          <w:p>
            <w:pPr>
              <w:jc w:val="right"/>
              <w:ind w:right="89"/>
              <w:spacing w:after="0" w:line="107" w:lineRule="exact"/>
              <w:rPr>
                <w:sz w:val="20"/>
                <w:szCs w:val="20"/>
                <w:color w:val="auto"/>
              </w:rPr>
            </w:pPr>
            <w:r>
              <w:rPr>
                <w:rFonts w:ascii="Arial" w:cs="Arial" w:eastAsia="Arial" w:hAnsi="Arial"/>
                <w:sz w:val="12"/>
                <w:szCs w:val="12"/>
                <w:b w:val="1"/>
                <w:bCs w:val="1"/>
                <w:color w:val="auto"/>
              </w:rPr>
              <w:t>December 31,</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2"/>
          </w:tcPr>
          <w:p>
            <w:pPr>
              <w:jc w:val="center"/>
              <w:ind w:right="380"/>
              <w:spacing w:after="0" w:line="107" w:lineRule="exact"/>
              <w:rPr>
                <w:sz w:val="20"/>
                <w:szCs w:val="20"/>
                <w:color w:val="auto"/>
              </w:rPr>
            </w:pPr>
            <w:r>
              <w:rPr>
                <w:rFonts w:ascii="Arial" w:cs="Arial" w:eastAsia="Arial" w:hAnsi="Arial"/>
                <w:sz w:val="12"/>
                <w:szCs w:val="12"/>
                <w:b w:val="1"/>
                <w:bCs w:val="1"/>
                <w:color w:val="auto"/>
              </w:rPr>
              <w:t>September 30,</w:t>
            </w:r>
          </w:p>
        </w:tc>
        <w:tc>
          <w:tcPr>
            <w:tcW w:w="120" w:type="dxa"/>
            <w:vAlign w:val="bottom"/>
          </w:tcPr>
          <w:p>
            <w:pPr>
              <w:spacing w:after="0"/>
              <w:rPr>
                <w:sz w:val="9"/>
                <w:szCs w:val="9"/>
                <w:color w:val="auto"/>
              </w:rPr>
            </w:pPr>
          </w:p>
        </w:tc>
        <w:tc>
          <w:tcPr>
            <w:tcW w:w="980" w:type="dxa"/>
            <w:vAlign w:val="bottom"/>
          </w:tcPr>
          <w:p>
            <w:pPr>
              <w:jc w:val="right"/>
              <w:ind w:right="89"/>
              <w:spacing w:after="0" w:line="107" w:lineRule="exact"/>
              <w:rPr>
                <w:sz w:val="20"/>
                <w:szCs w:val="20"/>
                <w:color w:val="auto"/>
              </w:rPr>
            </w:pPr>
            <w:r>
              <w:rPr>
                <w:rFonts w:ascii="Arial" w:cs="Arial" w:eastAsia="Arial" w:hAnsi="Arial"/>
                <w:sz w:val="12"/>
                <w:szCs w:val="12"/>
                <w:b w:val="1"/>
                <w:bCs w:val="1"/>
                <w:color w:val="auto"/>
              </w:rPr>
              <w:t>December 31,</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35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349"/>
              <w:spacing w:after="0"/>
              <w:rPr>
                <w:sz w:val="20"/>
                <w:szCs w:val="20"/>
                <w:color w:val="auto"/>
              </w:rPr>
            </w:pPr>
            <w:r>
              <w:rPr>
                <w:rFonts w:ascii="Arial" w:cs="Arial" w:eastAsia="Arial" w:hAnsi="Arial"/>
                <w:sz w:val="13"/>
                <w:szCs w:val="13"/>
                <w:b w:val="1"/>
                <w:bCs w:val="1"/>
                <w:color w:val="auto"/>
              </w:rPr>
              <w:t>2019</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69"/>
              <w:spacing w:after="0"/>
              <w:rPr>
                <w:sz w:val="20"/>
                <w:szCs w:val="20"/>
                <w:color w:val="auto"/>
              </w:rPr>
            </w:pPr>
            <w:r>
              <w:rPr>
                <w:rFonts w:ascii="Arial" w:cs="Arial" w:eastAsia="Arial" w:hAnsi="Arial"/>
                <w:sz w:val="13"/>
                <w:szCs w:val="13"/>
                <w:b w:val="1"/>
                <w:bCs w:val="1"/>
                <w:color w:val="auto"/>
                <w:w w:val="96"/>
              </w:rPr>
              <w:t>2019</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49"/>
              <w:spacing w:after="0"/>
              <w:rPr>
                <w:sz w:val="20"/>
                <w:szCs w:val="20"/>
                <w:color w:val="auto"/>
              </w:rPr>
            </w:pPr>
            <w:r>
              <w:rPr>
                <w:rFonts w:ascii="Arial" w:cs="Arial" w:eastAsia="Arial" w:hAnsi="Arial"/>
                <w:sz w:val="13"/>
                <w:szCs w:val="13"/>
                <w:b w:val="1"/>
                <w:bCs w:val="1"/>
                <w:color w:val="auto"/>
              </w:rPr>
              <w:t>2018</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230"/>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jc w:val="right"/>
              <w:ind w:right="228"/>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230"/>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ind w:right="227"/>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Interest income:</w:t>
            </w: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gridSpan w:val="2"/>
          </w:tcPr>
          <w:p>
            <w:pPr>
              <w:ind w:left="200"/>
              <w:spacing w:after="0"/>
              <w:rPr>
                <w:sz w:val="20"/>
                <w:szCs w:val="20"/>
                <w:color w:val="auto"/>
              </w:rPr>
            </w:pPr>
            <w:r>
              <w:rPr>
                <w:rFonts w:ascii="Arial" w:cs="Arial" w:eastAsia="Arial" w:hAnsi="Arial"/>
                <w:sz w:val="14"/>
                <w:szCs w:val="14"/>
                <w:color w:val="auto"/>
              </w:rPr>
              <w:t>FFELP Loans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636</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9"/>
              <w:spacing w:after="0"/>
              <w:rPr>
                <w:sz w:val="20"/>
                <w:szCs w:val="20"/>
                <w:color w:val="auto"/>
              </w:rPr>
            </w:pPr>
            <w:r>
              <w:rPr>
                <w:rFonts w:ascii="Arial" w:cs="Arial" w:eastAsia="Arial" w:hAnsi="Arial"/>
                <w:sz w:val="14"/>
                <w:szCs w:val="14"/>
                <w:color w:val="auto"/>
              </w:rPr>
              <w:t>706</w:t>
            </w:r>
          </w:p>
        </w:tc>
        <w:tc>
          <w:tcPr>
            <w:tcW w:w="2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784</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70"/>
              <w:spacing w:after="0"/>
              <w:rPr>
                <w:sz w:val="20"/>
                <w:szCs w:val="20"/>
                <w:color w:val="auto"/>
              </w:rPr>
            </w:pPr>
            <w:r>
              <w:rPr>
                <w:rFonts w:ascii="Arial" w:cs="Arial" w:eastAsia="Arial" w:hAnsi="Arial"/>
                <w:sz w:val="14"/>
                <w:szCs w:val="14"/>
                <w:color w:val="auto"/>
              </w:rPr>
              <w:t>(70)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w:t>
            </w:r>
          </w:p>
        </w:tc>
        <w:tc>
          <w:tcPr>
            <w:tcW w:w="880" w:type="dxa"/>
            <w:vAlign w:val="bottom"/>
            <w:gridSpan w:val="3"/>
          </w:tcPr>
          <w:p>
            <w:pPr>
              <w:jc w:val="right"/>
              <w:ind w:right="70"/>
              <w:spacing w:after="0"/>
              <w:rPr>
                <w:sz w:val="20"/>
                <w:szCs w:val="20"/>
                <w:color w:val="auto"/>
              </w:rPr>
            </w:pPr>
            <w:r>
              <w:rPr>
                <w:rFonts w:ascii="Arial" w:cs="Arial" w:eastAsia="Arial" w:hAnsi="Arial"/>
                <w:sz w:val="14"/>
                <w:szCs w:val="14"/>
                <w:color w:val="auto"/>
              </w:rPr>
              <w:t>$ (148)</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Private Education Loans</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414</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437</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451</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(23)</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(37)</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gridSpan w:val="2"/>
          </w:tcPr>
          <w:p>
            <w:pPr>
              <w:ind w:left="200"/>
              <w:spacing w:after="0"/>
              <w:rPr>
                <w:sz w:val="20"/>
                <w:szCs w:val="20"/>
                <w:color w:val="auto"/>
              </w:rPr>
            </w:pPr>
            <w:r>
              <w:rPr>
                <w:rFonts w:ascii="Arial" w:cs="Arial" w:eastAsia="Arial" w:hAnsi="Arial"/>
                <w:sz w:val="14"/>
                <w:szCs w:val="14"/>
                <w:color w:val="auto"/>
              </w:rPr>
              <w:t>Other loans</w:t>
            </w:r>
          </w:p>
        </w:tc>
        <w:tc>
          <w:tcPr>
            <w:tcW w:w="14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right"/>
              <w:ind w:right="64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70"/>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ind w:right="67"/>
              <w:spacing w:after="0"/>
              <w:rPr>
                <w:sz w:val="20"/>
                <w:szCs w:val="20"/>
                <w:color w:val="auto"/>
              </w:rPr>
            </w:pPr>
            <w:r>
              <w:rPr>
                <w:rFonts w:ascii="Arial" w:cs="Arial" w:eastAsia="Arial" w:hAnsi="Arial"/>
                <w:sz w:val="14"/>
                <w:szCs w:val="14"/>
                <w:color w:val="auto"/>
                <w:w w:val="97"/>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Cash and investments</w:t>
            </w:r>
          </w:p>
        </w:tc>
        <w:tc>
          <w:tcPr>
            <w:tcW w:w="1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18</w:t>
            </w:r>
          </w:p>
        </w:tc>
        <w:tc>
          <w:tcPr>
            <w:tcW w:w="2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23</w:t>
            </w:r>
          </w:p>
        </w:tc>
        <w:tc>
          <w:tcPr>
            <w:tcW w:w="2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30</w:t>
            </w:r>
          </w:p>
        </w:tc>
        <w:tc>
          <w:tcPr>
            <w:tcW w:w="2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(5)</w:t>
            </w:r>
          </w:p>
        </w:tc>
        <w:tc>
          <w:tcPr>
            <w:tcW w:w="2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w:t>
            </w:r>
          </w:p>
        </w:tc>
        <w:tc>
          <w:tcPr>
            <w:tcW w:w="2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(12)</w:t>
            </w:r>
          </w:p>
        </w:tc>
        <w:tc>
          <w:tcPr>
            <w:tcW w:w="2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(40)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40" w:type="dxa"/>
            <w:vAlign w:val="bottom"/>
            <w:gridSpan w:val="3"/>
          </w:tcPr>
          <w:p>
            <w:pPr>
              <w:spacing w:after="0"/>
              <w:rPr>
                <w:sz w:val="20"/>
                <w:szCs w:val="20"/>
                <w:color w:val="auto"/>
              </w:rPr>
            </w:pPr>
            <w:r>
              <w:rPr>
                <w:rFonts w:ascii="Arial" w:cs="Arial" w:eastAsia="Arial" w:hAnsi="Arial"/>
                <w:sz w:val="14"/>
                <w:szCs w:val="14"/>
                <w:color w:val="auto"/>
              </w:rPr>
              <w:t>Total interest income</w:t>
            </w:r>
          </w:p>
        </w:tc>
        <w:tc>
          <w:tcPr>
            <w:tcW w:w="140" w:type="dxa"/>
            <w:vAlign w:val="bottom"/>
          </w:tcPr>
          <w:p>
            <w:pPr>
              <w:spacing w:after="0"/>
              <w:rPr>
                <w:sz w:val="14"/>
                <w:szCs w:val="14"/>
                <w:color w:val="auto"/>
              </w:rPr>
            </w:pP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1,068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89"/>
              <w:spacing w:after="0"/>
              <w:rPr>
                <w:sz w:val="20"/>
                <w:szCs w:val="20"/>
                <w:color w:val="auto"/>
              </w:rPr>
            </w:pPr>
            <w:r>
              <w:rPr>
                <w:rFonts w:ascii="Arial" w:cs="Arial" w:eastAsia="Arial" w:hAnsi="Arial"/>
                <w:sz w:val="14"/>
                <w:szCs w:val="14"/>
                <w:color w:val="auto"/>
              </w:rPr>
              <w:t>1,166</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1,267</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70"/>
              <w:spacing w:after="0"/>
              <w:rPr>
                <w:sz w:val="20"/>
                <w:szCs w:val="20"/>
                <w:color w:val="auto"/>
              </w:rPr>
            </w:pPr>
            <w:r>
              <w:rPr>
                <w:rFonts w:ascii="Arial" w:cs="Arial" w:eastAsia="Arial" w:hAnsi="Arial"/>
                <w:sz w:val="14"/>
                <w:szCs w:val="14"/>
                <w:color w:val="auto"/>
              </w:rPr>
              <w:t>(98)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70"/>
              <w:spacing w:after="0"/>
              <w:rPr>
                <w:sz w:val="20"/>
                <w:szCs w:val="20"/>
                <w:color w:val="auto"/>
              </w:rPr>
            </w:pPr>
            <w:r>
              <w:rPr>
                <w:rFonts w:ascii="Arial" w:cs="Arial" w:eastAsia="Arial" w:hAnsi="Arial"/>
                <w:sz w:val="14"/>
                <w:szCs w:val="14"/>
                <w:color w:val="auto"/>
              </w:rPr>
              <w:t>(199)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ind w:right="67"/>
              <w:spacing w:after="0"/>
              <w:rPr>
                <w:sz w:val="20"/>
                <w:szCs w:val="20"/>
                <w:color w:val="auto"/>
              </w:rPr>
            </w:pPr>
            <w:r>
              <w:rPr>
                <w:rFonts w:ascii="Arial" w:cs="Arial" w:eastAsia="Arial" w:hAnsi="Arial"/>
                <w:sz w:val="14"/>
                <w:szCs w:val="14"/>
                <w:color w:val="auto"/>
              </w:rPr>
              <w:t>(16)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interest expense</w:t>
            </w:r>
          </w:p>
        </w:tc>
        <w:tc>
          <w:tcPr>
            <w:tcW w:w="1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774</w:t>
            </w:r>
          </w:p>
        </w:tc>
        <w:tc>
          <w:tcPr>
            <w:tcW w:w="2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854</w:t>
            </w:r>
          </w:p>
        </w:tc>
        <w:tc>
          <w:tcPr>
            <w:tcW w:w="2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960</w:t>
            </w:r>
          </w:p>
        </w:tc>
        <w:tc>
          <w:tcPr>
            <w:tcW w:w="2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(80)</w:t>
            </w:r>
          </w:p>
        </w:tc>
        <w:tc>
          <w:tcPr>
            <w:tcW w:w="2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w:t>
            </w:r>
          </w:p>
        </w:tc>
        <w:tc>
          <w:tcPr>
            <w:tcW w:w="2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(186)</w:t>
            </w:r>
          </w:p>
        </w:tc>
        <w:tc>
          <w:tcPr>
            <w:tcW w:w="2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(19)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40" w:type="dxa"/>
            <w:vAlign w:val="bottom"/>
            <w:gridSpan w:val="3"/>
          </w:tcPr>
          <w:p>
            <w:pPr>
              <w:spacing w:after="0"/>
              <w:rPr>
                <w:sz w:val="20"/>
                <w:szCs w:val="20"/>
                <w:color w:val="auto"/>
              </w:rPr>
            </w:pPr>
            <w:r>
              <w:rPr>
                <w:rFonts w:ascii="Arial" w:cs="Arial" w:eastAsia="Arial" w:hAnsi="Arial"/>
                <w:sz w:val="14"/>
                <w:szCs w:val="14"/>
                <w:color w:val="auto"/>
              </w:rPr>
              <w:t>Net interest income</w:t>
            </w:r>
          </w:p>
        </w:tc>
        <w:tc>
          <w:tcPr>
            <w:tcW w:w="14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294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89"/>
              <w:spacing w:after="0"/>
              <w:rPr>
                <w:sz w:val="20"/>
                <w:szCs w:val="20"/>
                <w:color w:val="auto"/>
              </w:rPr>
            </w:pPr>
            <w:r>
              <w:rPr>
                <w:rFonts w:ascii="Arial" w:cs="Arial" w:eastAsia="Arial" w:hAnsi="Arial"/>
                <w:sz w:val="14"/>
                <w:szCs w:val="14"/>
                <w:color w:val="auto"/>
              </w:rPr>
              <w:t>312</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307</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70"/>
              <w:spacing w:after="0"/>
              <w:rPr>
                <w:sz w:val="20"/>
                <w:szCs w:val="20"/>
                <w:color w:val="auto"/>
              </w:rPr>
            </w:pPr>
            <w:r>
              <w:rPr>
                <w:rFonts w:ascii="Arial" w:cs="Arial" w:eastAsia="Arial" w:hAnsi="Arial"/>
                <w:sz w:val="14"/>
                <w:szCs w:val="14"/>
                <w:color w:val="auto"/>
              </w:rPr>
              <w:t>(18)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70"/>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ind w:right="67"/>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Less: provisions for loan losses</w:t>
            </w:r>
          </w:p>
        </w:tc>
        <w:tc>
          <w:tcPr>
            <w:tcW w:w="1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50</w:t>
            </w:r>
          </w:p>
        </w:tc>
        <w:tc>
          <w:tcPr>
            <w:tcW w:w="2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64</w:t>
            </w:r>
          </w:p>
        </w:tc>
        <w:tc>
          <w:tcPr>
            <w:tcW w:w="2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85</w:t>
            </w:r>
          </w:p>
        </w:tc>
        <w:tc>
          <w:tcPr>
            <w:tcW w:w="2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(14)</w:t>
            </w:r>
          </w:p>
        </w:tc>
        <w:tc>
          <w:tcPr>
            <w:tcW w:w="2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w:t>
            </w:r>
          </w:p>
        </w:tc>
        <w:tc>
          <w:tcPr>
            <w:tcW w:w="2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(35)</w:t>
            </w:r>
          </w:p>
        </w:tc>
        <w:tc>
          <w:tcPr>
            <w:tcW w:w="2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(41)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40" w:type="dxa"/>
            <w:vAlign w:val="bottom"/>
            <w:gridSpan w:val="3"/>
          </w:tcPr>
          <w:p>
            <w:pPr>
              <w:spacing w:after="0"/>
              <w:rPr>
                <w:sz w:val="20"/>
                <w:szCs w:val="20"/>
                <w:color w:val="auto"/>
              </w:rPr>
            </w:pPr>
            <w:r>
              <w:rPr>
                <w:rFonts w:ascii="Arial" w:cs="Arial" w:eastAsia="Arial" w:hAnsi="Arial"/>
                <w:sz w:val="14"/>
                <w:szCs w:val="14"/>
                <w:color w:val="auto"/>
              </w:rPr>
              <w:t>Net interest income after provisions for loan losses</w:t>
            </w:r>
          </w:p>
        </w:tc>
        <w:tc>
          <w:tcPr>
            <w:tcW w:w="14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244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89"/>
              <w:spacing w:after="0"/>
              <w:rPr>
                <w:sz w:val="20"/>
                <w:szCs w:val="20"/>
                <w:color w:val="auto"/>
              </w:rPr>
            </w:pPr>
            <w:r>
              <w:rPr>
                <w:rFonts w:ascii="Arial" w:cs="Arial" w:eastAsia="Arial" w:hAnsi="Arial"/>
                <w:sz w:val="14"/>
                <w:szCs w:val="14"/>
                <w:color w:val="auto"/>
              </w:rPr>
              <w:t>248</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222</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70"/>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110"/>
              <w:spacing w:after="0"/>
              <w:rPr>
                <w:sz w:val="20"/>
                <w:szCs w:val="20"/>
                <w:color w:val="auto"/>
              </w:rPr>
            </w:pPr>
            <w:r>
              <w:rPr>
                <w:rFonts w:ascii="Arial" w:cs="Arial" w:eastAsia="Arial" w:hAnsi="Arial"/>
                <w:sz w:val="14"/>
                <w:szCs w:val="14"/>
                <w:color w:val="auto"/>
              </w:rPr>
              <w:t>22</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ind w:right="107"/>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income (loss):</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gridSpan w:val="2"/>
          </w:tcPr>
          <w:p>
            <w:pPr>
              <w:ind w:left="200"/>
              <w:spacing w:after="0"/>
              <w:rPr>
                <w:sz w:val="20"/>
                <w:szCs w:val="20"/>
                <w:color w:val="auto"/>
              </w:rPr>
            </w:pPr>
            <w:r>
              <w:rPr>
                <w:rFonts w:ascii="Arial" w:cs="Arial" w:eastAsia="Arial" w:hAnsi="Arial"/>
                <w:sz w:val="14"/>
                <w:szCs w:val="14"/>
                <w:color w:val="auto"/>
              </w:rPr>
              <w:t>Servicing revenue</w:t>
            </w:r>
          </w:p>
        </w:tc>
        <w:tc>
          <w:tcPr>
            <w:tcW w:w="140" w:type="dxa"/>
            <w:vAlign w:val="bottom"/>
          </w:tcPr>
          <w:p>
            <w:pPr>
              <w:spacing w:after="0"/>
              <w:rPr>
                <w:sz w:val="14"/>
                <w:szCs w:val="14"/>
                <w:color w:val="auto"/>
              </w:rPr>
            </w:pP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58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89"/>
              <w:spacing w:after="0"/>
              <w:rPr>
                <w:sz w:val="20"/>
                <w:szCs w:val="20"/>
                <w:color w:val="auto"/>
              </w:rPr>
            </w:pPr>
            <w:r>
              <w:rPr>
                <w:rFonts w:ascii="Arial" w:cs="Arial" w:eastAsia="Arial" w:hAnsi="Arial"/>
                <w:sz w:val="14"/>
                <w:szCs w:val="14"/>
                <w:color w:val="auto"/>
              </w:rPr>
              <w:t>60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64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70"/>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70"/>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ind w:right="67"/>
              <w:spacing w:after="0"/>
              <w:rPr>
                <w:sz w:val="20"/>
                <w:szCs w:val="20"/>
                <w:color w:val="auto"/>
              </w:rPr>
            </w:pPr>
            <w:r>
              <w:rPr>
                <w:rFonts w:ascii="Arial" w:cs="Arial" w:eastAsia="Arial" w:hAnsi="Arial"/>
                <w:sz w:val="14"/>
                <w:szCs w:val="14"/>
                <w:color w:val="auto"/>
              </w:rPr>
              <w:t>(9)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Asset recovery and business processing</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520" w:type="dxa"/>
            <w:vAlign w:val="bottom"/>
            <w:gridSpan w:val="2"/>
            <w:shd w:val="clear" w:color="auto" w:fill="CCEEFF"/>
          </w:tcPr>
          <w:p>
            <w:pPr>
              <w:ind w:left="420"/>
              <w:spacing w:after="0" w:line="157" w:lineRule="exact"/>
              <w:rPr>
                <w:sz w:val="20"/>
                <w:szCs w:val="20"/>
                <w:color w:val="auto"/>
              </w:rPr>
            </w:pPr>
            <w:r>
              <w:rPr>
                <w:rFonts w:ascii="Arial" w:cs="Arial" w:eastAsia="Arial" w:hAnsi="Arial"/>
                <w:sz w:val="14"/>
                <w:szCs w:val="14"/>
                <w:color w:val="auto"/>
              </w:rPr>
              <w:t>revenue</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9"/>
              <w:spacing w:after="0" w:line="157" w:lineRule="exact"/>
              <w:rPr>
                <w:sz w:val="20"/>
                <w:szCs w:val="20"/>
                <w:color w:val="auto"/>
              </w:rPr>
            </w:pPr>
            <w:r>
              <w:rPr>
                <w:rFonts w:ascii="Arial" w:cs="Arial" w:eastAsia="Arial" w:hAnsi="Arial"/>
                <w:sz w:val="14"/>
                <w:szCs w:val="14"/>
                <w:color w:val="auto"/>
              </w:rPr>
              <w:t>124</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89"/>
              <w:spacing w:after="0" w:line="157" w:lineRule="exact"/>
              <w:rPr>
                <w:sz w:val="20"/>
                <w:szCs w:val="20"/>
                <w:color w:val="auto"/>
              </w:rPr>
            </w:pPr>
            <w:r>
              <w:rPr>
                <w:rFonts w:ascii="Arial" w:cs="Arial" w:eastAsia="Arial" w:hAnsi="Arial"/>
                <w:sz w:val="14"/>
                <w:szCs w:val="14"/>
                <w:color w:val="auto"/>
              </w:rPr>
              <w:t>123</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9"/>
              <w:spacing w:after="0" w:line="157" w:lineRule="exact"/>
              <w:rPr>
                <w:sz w:val="20"/>
                <w:szCs w:val="20"/>
                <w:color w:val="auto"/>
              </w:rPr>
            </w:pPr>
            <w:r>
              <w:rPr>
                <w:rFonts w:ascii="Arial" w:cs="Arial" w:eastAsia="Arial" w:hAnsi="Arial"/>
                <w:sz w:val="14"/>
                <w:szCs w:val="14"/>
                <w:color w:val="auto"/>
              </w:rPr>
              <w:t>117</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10"/>
              <w:spacing w:after="0" w:line="157" w:lineRule="exact"/>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108"/>
              <w:spacing w:after="0" w:line="157" w:lineRule="exact"/>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10"/>
              <w:spacing w:after="0" w:line="157" w:lineRule="exact"/>
              <w:rPr>
                <w:sz w:val="20"/>
                <w:szCs w:val="20"/>
                <w:color w:val="auto"/>
              </w:rPr>
            </w:pPr>
            <w:r>
              <w:rPr>
                <w:rFonts w:ascii="Arial" w:cs="Arial" w:eastAsia="Arial" w:hAnsi="Arial"/>
                <w:sz w:val="14"/>
                <w:szCs w:val="14"/>
                <w:color w:val="auto"/>
              </w:rPr>
              <w:t>7</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07"/>
              <w:spacing w:after="0" w:line="157" w:lineRule="exact"/>
              <w:rPr>
                <w:sz w:val="20"/>
                <w:szCs w:val="20"/>
                <w:color w:val="auto"/>
              </w:rPr>
            </w:pPr>
            <w:r>
              <w:rPr>
                <w:rFonts w:ascii="Arial" w:cs="Arial" w:eastAsia="Arial" w:hAnsi="Arial"/>
                <w:sz w:val="14"/>
                <w:szCs w:val="14"/>
                <w:color w:val="auto"/>
              </w:rPr>
              <w:t>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gridSpan w:val="2"/>
          </w:tcPr>
          <w:p>
            <w:pPr>
              <w:ind w:left="200"/>
              <w:spacing w:after="0"/>
              <w:rPr>
                <w:sz w:val="20"/>
                <w:szCs w:val="20"/>
                <w:color w:val="auto"/>
              </w:rPr>
            </w:pPr>
            <w:r>
              <w:rPr>
                <w:rFonts w:ascii="Arial" w:cs="Arial" w:eastAsia="Arial" w:hAnsi="Arial"/>
                <w:sz w:val="14"/>
                <w:szCs w:val="14"/>
                <w:color w:val="auto"/>
              </w:rPr>
              <w:t>Other income (loss)</w:t>
            </w:r>
          </w:p>
        </w:tc>
        <w:tc>
          <w:tcPr>
            <w:tcW w:w="140" w:type="dxa"/>
            <w:vAlign w:val="bottom"/>
          </w:tcPr>
          <w:p>
            <w:pPr>
              <w:spacing w:after="0"/>
              <w:rPr>
                <w:sz w:val="14"/>
                <w:szCs w:val="14"/>
                <w:color w:val="auto"/>
              </w:rPr>
            </w:pP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89"/>
              <w:spacing w:after="0"/>
              <w:rPr>
                <w:sz w:val="20"/>
                <w:szCs w:val="20"/>
                <w:color w:val="auto"/>
              </w:rPr>
            </w:pPr>
            <w:r>
              <w:rPr>
                <w:rFonts w:ascii="Arial" w:cs="Arial" w:eastAsia="Arial" w:hAnsi="Arial"/>
                <w:sz w:val="14"/>
                <w:szCs w:val="14"/>
                <w:color w:val="auto"/>
              </w:rPr>
              <w:t>9</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70"/>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(11)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110"/>
              <w:spacing w:after="0"/>
              <w:rPr>
                <w:sz w:val="20"/>
                <w:szCs w:val="20"/>
                <w:color w:val="auto"/>
              </w:rPr>
            </w:pPr>
            <w:r>
              <w:rPr>
                <w:rFonts w:ascii="Arial" w:cs="Arial" w:eastAsia="Arial" w:hAnsi="Arial"/>
                <w:sz w:val="14"/>
                <w:szCs w:val="14"/>
                <w:color w:val="auto"/>
              </w:rPr>
              <w:t>21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ind w:right="107"/>
              <w:spacing w:after="0"/>
              <w:rPr>
                <w:sz w:val="20"/>
                <w:szCs w:val="20"/>
                <w:color w:val="auto"/>
              </w:rPr>
            </w:pPr>
            <w:r>
              <w:rPr>
                <w:rFonts w:ascii="Arial" w:cs="Arial" w:eastAsia="Arial" w:hAnsi="Arial"/>
                <w:sz w:val="14"/>
                <w:szCs w:val="14"/>
                <w:color w:val="auto"/>
              </w:rPr>
              <w:t>162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Gains (losses) on debt repurchases</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(14)</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28</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(14)</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1"/>
              </w:rPr>
              <w:t>(100)</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(42)</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w w:val="97"/>
              </w:rPr>
              <w:t>(150)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20" w:type="dxa"/>
            <w:vAlign w:val="bottom"/>
            <w:gridSpan w:val="2"/>
          </w:tcPr>
          <w:p>
            <w:pPr>
              <w:ind w:left="200"/>
              <w:spacing w:after="0"/>
              <w:rPr>
                <w:sz w:val="20"/>
                <w:szCs w:val="20"/>
                <w:color w:val="auto"/>
              </w:rPr>
            </w:pPr>
            <w:r>
              <w:rPr>
                <w:rFonts w:ascii="Arial" w:cs="Arial" w:eastAsia="Arial" w:hAnsi="Arial"/>
                <w:sz w:val="14"/>
                <w:szCs w:val="14"/>
                <w:color w:val="auto"/>
              </w:rPr>
              <w:t>Gains (losses) on derivative and hedging</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520" w:type="dxa"/>
            <w:vAlign w:val="bottom"/>
            <w:gridSpan w:val="2"/>
          </w:tcPr>
          <w:p>
            <w:pPr>
              <w:ind w:left="420"/>
              <w:spacing w:after="0" w:line="157" w:lineRule="exact"/>
              <w:rPr>
                <w:sz w:val="20"/>
                <w:szCs w:val="20"/>
                <w:color w:val="auto"/>
              </w:rPr>
            </w:pPr>
            <w:r>
              <w:rPr>
                <w:rFonts w:ascii="Arial" w:cs="Arial" w:eastAsia="Arial" w:hAnsi="Arial"/>
                <w:sz w:val="14"/>
                <w:szCs w:val="14"/>
                <w:color w:val="auto"/>
              </w:rPr>
              <w:t>activities, net</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09"/>
              <w:spacing w:after="0" w:line="157" w:lineRule="exact"/>
              <w:rPr>
                <w:sz w:val="20"/>
                <w:szCs w:val="20"/>
                <w:color w:val="auto"/>
              </w:rPr>
            </w:pPr>
            <w:r>
              <w:rPr>
                <w:rFonts w:ascii="Arial" w:cs="Arial" w:eastAsia="Arial" w:hAnsi="Arial"/>
                <w:sz w:val="14"/>
                <w:szCs w:val="14"/>
                <w:color w:val="auto"/>
              </w:rPr>
              <w:t>43</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89"/>
              <w:spacing w:after="0" w:line="157" w:lineRule="exact"/>
              <w:rPr>
                <w:sz w:val="20"/>
                <w:szCs w:val="20"/>
                <w:color w:val="auto"/>
              </w:rPr>
            </w:pPr>
            <w:r>
              <w:rPr>
                <w:rFonts w:ascii="Arial" w:cs="Arial" w:eastAsia="Arial" w:hAnsi="Arial"/>
                <w:sz w:val="14"/>
                <w:szCs w:val="14"/>
                <w:color w:val="auto"/>
              </w:rPr>
              <w:t>4</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(48)</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0"/>
              <w:spacing w:after="0" w:line="157" w:lineRule="exact"/>
              <w:rPr>
                <w:sz w:val="20"/>
                <w:szCs w:val="20"/>
                <w:color w:val="auto"/>
              </w:rPr>
            </w:pPr>
            <w:r>
              <w:rPr>
                <w:rFonts w:ascii="Arial" w:cs="Arial" w:eastAsia="Arial" w:hAnsi="Arial"/>
                <w:sz w:val="14"/>
                <w:szCs w:val="14"/>
                <w:color w:val="auto"/>
              </w:rPr>
              <w:t>39</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08"/>
              <w:spacing w:after="0" w:line="157" w:lineRule="exact"/>
              <w:rPr>
                <w:sz w:val="20"/>
                <w:szCs w:val="20"/>
                <w:color w:val="auto"/>
              </w:rPr>
            </w:pPr>
            <w:r>
              <w:rPr>
                <w:rFonts w:ascii="Arial" w:cs="Arial" w:eastAsia="Arial" w:hAnsi="Arial"/>
                <w:sz w:val="14"/>
                <w:szCs w:val="14"/>
                <w:color w:val="auto"/>
              </w:rPr>
              <w:t>975</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0"/>
              <w:spacing w:after="0" w:line="157" w:lineRule="exact"/>
              <w:rPr>
                <w:sz w:val="20"/>
                <w:szCs w:val="20"/>
                <w:color w:val="auto"/>
              </w:rPr>
            </w:pPr>
            <w:r>
              <w:rPr>
                <w:rFonts w:ascii="Arial" w:cs="Arial" w:eastAsia="Arial" w:hAnsi="Arial"/>
                <w:sz w:val="14"/>
                <w:szCs w:val="14"/>
                <w:color w:val="auto"/>
              </w:rPr>
              <w:t>91</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07"/>
              <w:spacing w:after="0" w:line="157" w:lineRule="exact"/>
              <w:rPr>
                <w:sz w:val="20"/>
                <w:szCs w:val="20"/>
                <w:color w:val="auto"/>
              </w:rPr>
            </w:pPr>
            <w:r>
              <w:rPr>
                <w:rFonts w:ascii="Arial" w:cs="Arial" w:eastAsia="Arial" w:hAnsi="Arial"/>
                <w:sz w:val="14"/>
                <w:szCs w:val="14"/>
                <w:color w:val="auto"/>
              </w:rPr>
              <w:t>190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other income (loss)</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219</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196</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148</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23</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71</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48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gridSpan w:val="3"/>
          </w:tcPr>
          <w:p>
            <w:pPr>
              <w:spacing w:after="0"/>
              <w:rPr>
                <w:sz w:val="20"/>
                <w:szCs w:val="20"/>
                <w:color w:val="auto"/>
              </w:rPr>
            </w:pPr>
            <w:r>
              <w:rPr>
                <w:rFonts w:ascii="Arial" w:cs="Arial" w:eastAsia="Arial" w:hAnsi="Arial"/>
                <w:sz w:val="14"/>
                <w:szCs w:val="14"/>
                <w:color w:val="auto"/>
              </w:rPr>
              <w:t>Expenses:</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Operating expenses</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235</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251</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252</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(16)</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(17)</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20" w:type="dxa"/>
            <w:vAlign w:val="bottom"/>
            <w:gridSpan w:val="2"/>
          </w:tcPr>
          <w:p>
            <w:pPr>
              <w:ind w:left="200"/>
              <w:spacing w:after="0"/>
              <w:rPr>
                <w:sz w:val="20"/>
                <w:szCs w:val="20"/>
                <w:color w:val="auto"/>
              </w:rPr>
            </w:pPr>
            <w:r>
              <w:rPr>
                <w:rFonts w:ascii="Arial" w:cs="Arial" w:eastAsia="Arial" w:hAnsi="Arial"/>
                <w:sz w:val="14"/>
                <w:szCs w:val="14"/>
                <w:color w:val="auto"/>
              </w:rPr>
              <w:t>Goodwill and acquired intangible asset</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520" w:type="dxa"/>
            <w:vAlign w:val="bottom"/>
            <w:gridSpan w:val="2"/>
          </w:tcPr>
          <w:p>
            <w:pPr>
              <w:ind w:left="420"/>
              <w:spacing w:after="0" w:line="157" w:lineRule="exact"/>
              <w:rPr>
                <w:sz w:val="20"/>
                <w:szCs w:val="20"/>
                <w:color w:val="auto"/>
              </w:rPr>
            </w:pPr>
            <w:r>
              <w:rPr>
                <w:rFonts w:ascii="Arial" w:cs="Arial" w:eastAsia="Arial" w:hAnsi="Arial"/>
                <w:sz w:val="14"/>
                <w:szCs w:val="14"/>
                <w:color w:val="auto"/>
              </w:rPr>
              <w:t>impairment and amortization expense</w:t>
            </w:r>
          </w:p>
        </w:tc>
        <w:tc>
          <w:tcPr>
            <w:tcW w:w="140" w:type="dxa"/>
            <w:vAlign w:val="bottom"/>
          </w:tcPr>
          <w:p>
            <w:pPr>
              <w:spacing w:after="0"/>
              <w:rPr>
                <w:sz w:val="13"/>
                <w:szCs w:val="13"/>
                <w:color w:val="auto"/>
              </w:rPr>
            </w:pPr>
          </w:p>
        </w:tc>
        <w:tc>
          <w:tcPr>
            <w:tcW w:w="980" w:type="dxa"/>
            <w:vAlign w:val="bottom"/>
          </w:tcPr>
          <w:p>
            <w:pPr>
              <w:jc w:val="right"/>
              <w:ind w:right="109"/>
              <w:spacing w:after="0" w:line="157" w:lineRule="exact"/>
              <w:rPr>
                <w:sz w:val="20"/>
                <w:szCs w:val="20"/>
                <w:color w:val="auto"/>
              </w:rPr>
            </w:pPr>
            <w:r>
              <w:rPr>
                <w:rFonts w:ascii="Arial" w:cs="Arial" w:eastAsia="Arial" w:hAnsi="Arial"/>
                <w:sz w:val="14"/>
                <w:szCs w:val="14"/>
                <w:color w:val="auto"/>
              </w:rPr>
              <w:t>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89"/>
              <w:spacing w:after="0" w:line="157" w:lineRule="exact"/>
              <w:rPr>
                <w:sz w:val="20"/>
                <w:szCs w:val="20"/>
                <w:color w:val="auto"/>
              </w:rPr>
            </w:pPr>
            <w:r>
              <w:rPr>
                <w:rFonts w:ascii="Arial" w:cs="Arial" w:eastAsia="Arial" w:hAnsi="Arial"/>
                <w:sz w:val="14"/>
                <w:szCs w:val="14"/>
                <w:color w:val="auto"/>
              </w:rPr>
              <w:t>6</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89"/>
              <w:spacing w:after="0" w:line="157" w:lineRule="exact"/>
              <w:rPr>
                <w:sz w:val="20"/>
                <w:szCs w:val="20"/>
                <w:color w:val="auto"/>
              </w:rPr>
            </w:pPr>
            <w:r>
              <w:rPr>
                <w:rFonts w:ascii="Arial" w:cs="Arial" w:eastAsia="Arial" w:hAnsi="Arial"/>
                <w:sz w:val="14"/>
                <w:szCs w:val="14"/>
                <w:color w:val="auto"/>
              </w:rPr>
              <w:t>8</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3"/>
          </w:tcPr>
          <w:p>
            <w:pPr>
              <w:jc w:val="right"/>
              <w:ind w:right="640"/>
              <w:spacing w:after="0" w:line="157"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108"/>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70"/>
              <w:spacing w:after="0" w:line="157" w:lineRule="exact"/>
              <w:rPr>
                <w:sz w:val="20"/>
                <w:szCs w:val="20"/>
                <w:color w:val="auto"/>
              </w:rPr>
            </w:pPr>
            <w:r>
              <w:rPr>
                <w:rFonts w:ascii="Arial" w:cs="Arial" w:eastAsia="Arial" w:hAnsi="Arial"/>
                <w:sz w:val="14"/>
                <w:szCs w:val="14"/>
                <w:color w:val="auto"/>
              </w:rPr>
              <w:t>(2)</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ind w:right="67"/>
              <w:spacing w:after="0" w:line="157" w:lineRule="exact"/>
              <w:rPr>
                <w:sz w:val="20"/>
                <w:szCs w:val="20"/>
                <w:color w:val="auto"/>
              </w:rPr>
            </w:pPr>
            <w:r>
              <w:rPr>
                <w:rFonts w:ascii="Arial" w:cs="Arial" w:eastAsia="Arial" w:hAnsi="Arial"/>
                <w:sz w:val="14"/>
                <w:szCs w:val="14"/>
                <w:color w:val="auto"/>
              </w:rPr>
              <w:t>(25)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Restructuring/other reorganization expenses</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6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(50)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40" w:type="dxa"/>
            <w:vAlign w:val="bottom"/>
            <w:gridSpan w:val="3"/>
          </w:tcPr>
          <w:p>
            <w:pPr>
              <w:spacing w:after="0"/>
              <w:rPr>
                <w:sz w:val="20"/>
                <w:szCs w:val="20"/>
                <w:color w:val="auto"/>
              </w:rPr>
            </w:pPr>
            <w:r>
              <w:rPr>
                <w:rFonts w:ascii="Arial" w:cs="Arial" w:eastAsia="Arial" w:hAnsi="Arial"/>
                <w:sz w:val="14"/>
                <w:szCs w:val="14"/>
                <w:color w:val="auto"/>
              </w:rPr>
              <w:t>Total expenses</w:t>
            </w:r>
          </w:p>
        </w:tc>
        <w:tc>
          <w:tcPr>
            <w:tcW w:w="1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243</w:t>
            </w:r>
          </w:p>
        </w:tc>
        <w:tc>
          <w:tcPr>
            <w:tcW w:w="2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259</w:t>
            </w:r>
          </w:p>
        </w:tc>
        <w:tc>
          <w:tcPr>
            <w:tcW w:w="26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264</w:t>
            </w:r>
          </w:p>
        </w:tc>
        <w:tc>
          <w:tcPr>
            <w:tcW w:w="2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(21)</w:t>
            </w:r>
          </w:p>
        </w:tc>
        <w:tc>
          <w:tcPr>
            <w:tcW w:w="24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4"/>
                <w:szCs w:val="14"/>
                <w:color w:val="auto"/>
              </w:rPr>
              <w:t>(8)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before income tax expense</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220</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185</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106</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35</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114</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108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40" w:type="dxa"/>
            <w:vAlign w:val="bottom"/>
            <w:gridSpan w:val="3"/>
          </w:tcPr>
          <w:p>
            <w:pPr>
              <w:spacing w:after="0"/>
              <w:rPr>
                <w:sz w:val="20"/>
                <w:szCs w:val="20"/>
                <w:color w:val="auto"/>
              </w:rPr>
            </w:pPr>
            <w:r>
              <w:rPr>
                <w:rFonts w:ascii="Arial" w:cs="Arial" w:eastAsia="Arial" w:hAnsi="Arial"/>
                <w:sz w:val="14"/>
                <w:szCs w:val="14"/>
                <w:color w:val="auto"/>
              </w:rPr>
              <w:t>Income tax expense</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49</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40</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34</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9</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15</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44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171</w:t>
            </w:r>
          </w:p>
        </w:tc>
        <w:tc>
          <w:tcPr>
            <w:tcW w:w="2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145</w:t>
            </w:r>
          </w:p>
        </w:tc>
        <w:tc>
          <w:tcPr>
            <w:tcW w:w="2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72</w:t>
            </w:r>
          </w:p>
        </w:tc>
        <w:tc>
          <w:tcPr>
            <w:tcW w:w="2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26</w:t>
            </w:r>
          </w:p>
        </w:tc>
        <w:tc>
          <w:tcPr>
            <w:tcW w:w="2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2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99</w:t>
            </w:r>
          </w:p>
        </w:tc>
        <w:tc>
          <w:tcPr>
            <w:tcW w:w="2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Basic earnings per common share</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40" w:type="dxa"/>
            <w:vAlign w:val="bottom"/>
            <w:gridSpan w:val="3"/>
            <w:vMerge w:val="continue"/>
          </w:tcPr>
          <w:p>
            <w:pPr>
              <w:spacing w:after="0"/>
              <w:rPr>
                <w:sz w:val="13"/>
                <w:szCs w:val="13"/>
                <w:color w:val="auto"/>
              </w:rPr>
            </w:pPr>
          </w:p>
        </w:tc>
        <w:tc>
          <w:tcPr>
            <w:tcW w:w="14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89"/>
              <w:spacing w:after="0" w:line="156" w:lineRule="exact"/>
              <w:rPr>
                <w:sz w:val="20"/>
                <w:szCs w:val="20"/>
                <w:color w:val="auto"/>
              </w:rPr>
            </w:pPr>
            <w:r>
              <w:rPr>
                <w:rFonts w:ascii="Arial" w:cs="Arial" w:eastAsia="Arial" w:hAnsi="Arial"/>
                <w:sz w:val="14"/>
                <w:szCs w:val="14"/>
                <w:color w:val="auto"/>
              </w:rPr>
              <w:t>.79</w:t>
            </w:r>
          </w:p>
        </w:tc>
        <w:tc>
          <w:tcPr>
            <w:tcW w:w="36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89"/>
              <w:spacing w:after="0" w:line="156" w:lineRule="exact"/>
              <w:rPr>
                <w:sz w:val="20"/>
                <w:szCs w:val="20"/>
                <w:color w:val="auto"/>
              </w:rPr>
            </w:pPr>
            <w:r>
              <w:rPr>
                <w:rFonts w:ascii="Arial" w:cs="Arial" w:eastAsia="Arial" w:hAnsi="Arial"/>
                <w:sz w:val="14"/>
                <w:szCs w:val="14"/>
                <w:color w:val="auto"/>
              </w:rPr>
              <w:t>.64</w:t>
            </w:r>
          </w:p>
        </w:tc>
        <w:tc>
          <w:tcPr>
            <w:tcW w:w="260" w:type="dxa"/>
            <w:vAlign w:val="bottom"/>
          </w:tcPr>
          <w:p>
            <w:pPr>
              <w:spacing w:after="0"/>
              <w:rPr>
                <w:sz w:val="13"/>
                <w:szCs w:val="13"/>
                <w:color w:val="auto"/>
              </w:rPr>
            </w:pPr>
          </w:p>
        </w:tc>
        <w:tc>
          <w:tcPr>
            <w:tcW w:w="12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89"/>
              <w:spacing w:after="0" w:line="156" w:lineRule="exact"/>
              <w:rPr>
                <w:sz w:val="20"/>
                <w:szCs w:val="20"/>
                <w:color w:val="auto"/>
              </w:rPr>
            </w:pPr>
            <w:r>
              <w:rPr>
                <w:rFonts w:ascii="Arial" w:cs="Arial" w:eastAsia="Arial" w:hAnsi="Arial"/>
                <w:sz w:val="14"/>
                <w:szCs w:val="14"/>
                <w:color w:val="auto"/>
              </w:rPr>
              <w:t>.28</w:t>
            </w:r>
          </w:p>
        </w:tc>
        <w:tc>
          <w:tcPr>
            <w:tcW w:w="38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110"/>
              <w:spacing w:after="0" w:line="156" w:lineRule="exact"/>
              <w:rPr>
                <w:sz w:val="20"/>
                <w:szCs w:val="20"/>
                <w:color w:val="auto"/>
              </w:rPr>
            </w:pPr>
            <w:r>
              <w:rPr>
                <w:rFonts w:ascii="Arial" w:cs="Arial" w:eastAsia="Arial" w:hAnsi="Arial"/>
                <w:sz w:val="14"/>
                <w:szCs w:val="14"/>
                <w:color w:val="auto"/>
              </w:rPr>
              <w:t>.15</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jc w:val="right"/>
              <w:spacing w:after="0" w:line="156" w:lineRule="exact"/>
              <w:rPr>
                <w:sz w:val="20"/>
                <w:szCs w:val="20"/>
                <w:color w:val="auto"/>
              </w:rPr>
            </w:pPr>
            <w:r>
              <w:rPr>
                <w:rFonts w:ascii="Arial" w:cs="Arial" w:eastAsia="Arial" w:hAnsi="Arial"/>
                <w:sz w:val="14"/>
                <w:szCs w:val="14"/>
                <w:color w:val="auto"/>
              </w:rPr>
              <w:t>23%</w:t>
            </w:r>
          </w:p>
        </w:tc>
        <w:tc>
          <w:tcPr>
            <w:tcW w:w="38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110"/>
              <w:spacing w:after="0" w:line="156" w:lineRule="exact"/>
              <w:rPr>
                <w:sz w:val="20"/>
                <w:szCs w:val="20"/>
                <w:color w:val="auto"/>
              </w:rPr>
            </w:pPr>
            <w:r>
              <w:rPr>
                <w:rFonts w:ascii="Arial" w:cs="Arial" w:eastAsia="Arial" w:hAnsi="Arial"/>
                <w:sz w:val="14"/>
                <w:szCs w:val="14"/>
                <w:color w:val="auto"/>
              </w:rPr>
              <w:t>.51</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spacing w:after="0" w:line="156" w:lineRule="exact"/>
              <w:rPr>
                <w:sz w:val="20"/>
                <w:szCs w:val="20"/>
                <w:color w:val="auto"/>
              </w:rPr>
            </w:pPr>
            <w:r>
              <w:rPr>
                <w:rFonts w:ascii="Arial" w:cs="Arial" w:eastAsia="Arial" w:hAnsi="Arial"/>
                <w:sz w:val="14"/>
                <w:szCs w:val="14"/>
                <w:color w:val="auto"/>
              </w:rPr>
              <w:t>182%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520" w:type="dxa"/>
            <w:vAlign w:val="bottom"/>
            <w:gridSpan w:val="2"/>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Diluted earnings per common share</w:t>
            </w:r>
          </w:p>
        </w:tc>
        <w:tc>
          <w:tcPr>
            <w:tcW w:w="1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89"/>
              <w:spacing w:after="0" w:line="156" w:lineRule="exact"/>
              <w:rPr>
                <w:sz w:val="20"/>
                <w:szCs w:val="20"/>
                <w:color w:val="auto"/>
              </w:rPr>
            </w:pPr>
            <w:r>
              <w:rPr>
                <w:rFonts w:ascii="Arial" w:cs="Arial" w:eastAsia="Arial" w:hAnsi="Arial"/>
                <w:sz w:val="14"/>
                <w:szCs w:val="14"/>
                <w:color w:val="auto"/>
              </w:rPr>
              <w:t>.78</w:t>
            </w:r>
          </w:p>
        </w:tc>
        <w:tc>
          <w:tcPr>
            <w:tcW w:w="2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89"/>
              <w:spacing w:after="0" w:line="156" w:lineRule="exact"/>
              <w:rPr>
                <w:sz w:val="20"/>
                <w:szCs w:val="20"/>
                <w:color w:val="auto"/>
              </w:rPr>
            </w:pPr>
            <w:r>
              <w:rPr>
                <w:rFonts w:ascii="Arial" w:cs="Arial" w:eastAsia="Arial" w:hAnsi="Arial"/>
                <w:sz w:val="14"/>
                <w:szCs w:val="14"/>
                <w:color w:val="auto"/>
              </w:rPr>
              <w:t>.63</w:t>
            </w:r>
          </w:p>
        </w:tc>
        <w:tc>
          <w:tcPr>
            <w:tcW w:w="2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89"/>
              <w:spacing w:after="0" w:line="156" w:lineRule="exact"/>
              <w:rPr>
                <w:sz w:val="20"/>
                <w:szCs w:val="20"/>
                <w:color w:val="auto"/>
              </w:rPr>
            </w:pPr>
            <w:r>
              <w:rPr>
                <w:rFonts w:ascii="Arial" w:cs="Arial" w:eastAsia="Arial" w:hAnsi="Arial"/>
                <w:sz w:val="14"/>
                <w:szCs w:val="14"/>
                <w:color w:val="auto"/>
              </w:rPr>
              <w:t>.28</w:t>
            </w:r>
          </w:p>
        </w:tc>
        <w:tc>
          <w:tcPr>
            <w:tcW w:w="2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110"/>
              <w:spacing w:after="0" w:line="156" w:lineRule="exact"/>
              <w:rPr>
                <w:sz w:val="20"/>
                <w:szCs w:val="20"/>
                <w:color w:val="auto"/>
              </w:rPr>
            </w:pPr>
            <w:r>
              <w:rPr>
                <w:rFonts w:ascii="Arial" w:cs="Arial" w:eastAsia="Arial" w:hAnsi="Arial"/>
                <w:sz w:val="14"/>
                <w:szCs w:val="14"/>
                <w:color w:val="auto"/>
              </w:rPr>
              <w:t>.15</w:t>
            </w:r>
          </w:p>
        </w:tc>
        <w:tc>
          <w:tcPr>
            <w:tcW w:w="24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24%</w:t>
            </w:r>
          </w:p>
        </w:tc>
        <w:tc>
          <w:tcPr>
            <w:tcW w:w="2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110"/>
              <w:spacing w:after="0" w:line="156" w:lineRule="exact"/>
              <w:rPr>
                <w:sz w:val="20"/>
                <w:szCs w:val="20"/>
                <w:color w:val="auto"/>
              </w:rPr>
            </w:pPr>
            <w:r>
              <w:rPr>
                <w:rFonts w:ascii="Arial" w:cs="Arial" w:eastAsia="Arial" w:hAnsi="Arial"/>
                <w:sz w:val="14"/>
                <w:szCs w:val="14"/>
                <w:color w:val="auto"/>
              </w:rPr>
              <w:t>.50</w:t>
            </w:r>
          </w:p>
        </w:tc>
        <w:tc>
          <w:tcPr>
            <w:tcW w:w="24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179%</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Dividends per common share</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40" w:type="dxa"/>
            <w:vAlign w:val="bottom"/>
            <w:gridSpan w:val="3"/>
            <w:vMerge w:val="continue"/>
          </w:tcPr>
          <w:p>
            <w:pPr>
              <w:spacing w:after="0"/>
              <w:rPr>
                <w:sz w:val="13"/>
                <w:szCs w:val="13"/>
                <w:color w:val="auto"/>
              </w:rPr>
            </w:pPr>
          </w:p>
        </w:tc>
        <w:tc>
          <w:tcPr>
            <w:tcW w:w="1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rPr>
              <w:t>.16</w:t>
            </w:r>
          </w:p>
        </w:tc>
        <w:tc>
          <w:tcPr>
            <w:tcW w:w="24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rPr>
              <w:t>.16</w:t>
            </w:r>
          </w:p>
        </w:tc>
        <w:tc>
          <w:tcPr>
            <w:tcW w:w="26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rPr>
              <w:t>.16</w:t>
            </w:r>
          </w:p>
        </w:tc>
        <w:tc>
          <w:tcPr>
            <w:tcW w:w="24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110"/>
              <w:spacing w:after="0" w:line="156"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110"/>
              <w:spacing w:after="0" w:line="156"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bl>
    <w:p>
      <w:pPr>
        <w:sectPr>
          <w:pgSz w:w="11900" w:h="16838" w:orient="portrait"/>
          <w:cols w:equalWidth="0" w:num="1">
            <w:col w:w="11040"/>
          </w:cols>
          <w:pgMar w:left="440" w:top="306" w:right="41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YEARS ENDED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tcPr>
          <w:p>
            <w:pPr>
              <w:jc w:val="center"/>
              <w:ind w:left="248"/>
              <w:spacing w:after="0"/>
              <w:rPr>
                <w:sz w:val="20"/>
                <w:szCs w:val="20"/>
                <w:color w:val="auto"/>
              </w:rPr>
            </w:pPr>
            <w:r>
              <w:rPr>
                <w:rFonts w:ascii="Arial" w:cs="Arial" w:eastAsia="Arial" w:hAnsi="Arial"/>
                <w:sz w:val="14"/>
                <w:szCs w:val="14"/>
                <w:b w:val="1"/>
                <w:bCs w:val="1"/>
                <w:color w:val="auto"/>
              </w:rPr>
              <w:t>Increase</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center"/>
              <w:ind w:left="248"/>
              <w:spacing w:after="0"/>
              <w:rPr>
                <w:sz w:val="20"/>
                <w:szCs w:val="20"/>
                <w:color w:val="auto"/>
              </w:rPr>
            </w:pPr>
            <w:r>
              <w:rPr>
                <w:rFonts w:ascii="Arial" w:cs="Arial" w:eastAsia="Arial" w:hAnsi="Arial"/>
                <w:sz w:val="14"/>
                <w:szCs w:val="14"/>
                <w:b w:val="1"/>
                <w:bCs w:val="1"/>
                <w:color w:val="auto"/>
              </w:rPr>
              <w:t>(Decrease)</w:t>
            </w:r>
          </w:p>
        </w:tc>
        <w:tc>
          <w:tcPr>
            <w:tcW w:w="5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30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14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ind w:right="12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268"/>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jc w:val="right"/>
              <w:ind w:right="268"/>
              <w:spacing w:after="0" w:line="155"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Interest income:</w:t>
            </w: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80" w:type="dxa"/>
            <w:vAlign w:val="bottom"/>
            <w:gridSpan w:val="2"/>
          </w:tcPr>
          <w:p>
            <w:pPr>
              <w:ind w:left="200"/>
              <w:spacing w:after="0"/>
              <w:rPr>
                <w:sz w:val="20"/>
                <w:szCs w:val="20"/>
                <w:color w:val="auto"/>
              </w:rPr>
            </w:pPr>
            <w:r>
              <w:rPr>
                <w:rFonts w:ascii="Arial" w:cs="Arial" w:eastAsia="Arial" w:hAnsi="Arial"/>
                <w:sz w:val="14"/>
                <w:szCs w:val="14"/>
                <w:color w:val="auto"/>
              </w:rPr>
              <w:t>FFELP Loans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88"/>
              <w:spacing w:after="0"/>
              <w:rPr>
                <w:sz w:val="20"/>
                <w:szCs w:val="20"/>
                <w:color w:val="auto"/>
              </w:rPr>
            </w:pPr>
            <w:r>
              <w:rPr>
                <w:rFonts w:ascii="Arial" w:cs="Arial" w:eastAsia="Arial" w:hAnsi="Arial"/>
                <w:sz w:val="14"/>
                <w:szCs w:val="14"/>
                <w:color w:val="auto"/>
                <w:w w:val="96"/>
              </w:rPr>
              <w:t>2,847</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68"/>
              <w:spacing w:after="0"/>
              <w:rPr>
                <w:sz w:val="20"/>
                <w:szCs w:val="20"/>
                <w:color w:val="auto"/>
              </w:rPr>
            </w:pPr>
            <w:r>
              <w:rPr>
                <w:rFonts w:ascii="Arial" w:cs="Arial" w:eastAsia="Arial" w:hAnsi="Arial"/>
                <w:sz w:val="14"/>
                <w:szCs w:val="14"/>
                <w:color w:val="auto"/>
                <w:w w:val="96"/>
              </w:rPr>
              <w:t>3,027</w:t>
            </w:r>
          </w:p>
        </w:tc>
        <w:tc>
          <w:tcPr>
            <w:tcW w:w="980" w:type="dxa"/>
            <w:vAlign w:val="bottom"/>
            <w:gridSpan w:val="3"/>
          </w:tcPr>
          <w:p>
            <w:pPr>
              <w:jc w:val="right"/>
              <w:ind w:right="128"/>
              <w:spacing w:after="0"/>
              <w:rPr>
                <w:sz w:val="20"/>
                <w:szCs w:val="20"/>
                <w:color w:val="auto"/>
              </w:rPr>
            </w:pPr>
            <w:r>
              <w:rPr>
                <w:rFonts w:ascii="Arial" w:cs="Arial" w:eastAsia="Arial" w:hAnsi="Arial"/>
                <w:sz w:val="14"/>
                <w:szCs w:val="14"/>
                <w:color w:val="auto"/>
              </w:rPr>
              <w:t>$ (180)</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ind w:left="100"/>
              <w:spacing w:after="0"/>
              <w:rPr>
                <w:sz w:val="20"/>
                <w:szCs w:val="20"/>
                <w:color w:val="auto"/>
              </w:rPr>
            </w:pPr>
            <w:r>
              <w:rPr>
                <w:rFonts w:ascii="Arial" w:cs="Arial" w:eastAsia="Arial" w:hAnsi="Arial"/>
                <w:sz w:val="14"/>
                <w:szCs w:val="14"/>
                <w:color w:val="auto"/>
              </w:rPr>
              <w:t>(6)%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Private Education Loans</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96"/>
              </w:rPr>
              <w:t>1,731</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96"/>
              </w:rPr>
              <w:t>1,778</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(47)</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80" w:type="dxa"/>
            <w:vAlign w:val="bottom"/>
            <w:gridSpan w:val="2"/>
          </w:tcPr>
          <w:p>
            <w:pPr>
              <w:ind w:left="200"/>
              <w:spacing w:after="0"/>
              <w:rPr>
                <w:sz w:val="20"/>
                <w:szCs w:val="20"/>
                <w:color w:val="auto"/>
              </w:rPr>
            </w:pPr>
            <w:r>
              <w:rPr>
                <w:rFonts w:ascii="Arial" w:cs="Arial" w:eastAsia="Arial" w:hAnsi="Arial"/>
                <w:sz w:val="14"/>
                <w:szCs w:val="14"/>
                <w:color w:val="auto"/>
              </w:rPr>
              <w:t>Other loans</w:t>
            </w:r>
          </w:p>
        </w:tc>
        <w:tc>
          <w:tcPr>
            <w:tcW w:w="12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jc w:val="right"/>
              <w:ind w:right="148"/>
              <w:spacing w:after="0"/>
              <w:rPr>
                <w:sz w:val="20"/>
                <w:szCs w:val="20"/>
                <w:color w:val="auto"/>
              </w:rPr>
            </w:pPr>
            <w:r>
              <w:rPr>
                <w:rFonts w:ascii="Arial" w:cs="Arial" w:eastAsia="Arial" w:hAnsi="Arial"/>
                <w:sz w:val="14"/>
                <w:szCs w:val="14"/>
                <w:color w:val="auto"/>
              </w:rPr>
              <w:t>(67)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Cash and investments</w:t>
            </w:r>
          </w:p>
        </w:tc>
        <w:tc>
          <w:tcPr>
            <w:tcW w:w="1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93</w:t>
            </w:r>
          </w:p>
        </w:tc>
        <w:tc>
          <w:tcPr>
            <w:tcW w:w="2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97</w:t>
            </w:r>
          </w:p>
        </w:tc>
        <w:tc>
          <w:tcPr>
            <w:tcW w:w="2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(4)</w:t>
            </w:r>
          </w:p>
        </w:tc>
        <w:tc>
          <w:tcPr>
            <w:tcW w:w="2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300" w:type="dxa"/>
            <w:vAlign w:val="bottom"/>
            <w:gridSpan w:val="3"/>
          </w:tcPr>
          <w:p>
            <w:pPr>
              <w:spacing w:after="0"/>
              <w:rPr>
                <w:sz w:val="20"/>
                <w:szCs w:val="20"/>
                <w:color w:val="auto"/>
              </w:rPr>
            </w:pPr>
            <w:r>
              <w:rPr>
                <w:rFonts w:ascii="Arial" w:cs="Arial" w:eastAsia="Arial" w:hAnsi="Arial"/>
                <w:sz w:val="14"/>
                <w:szCs w:val="14"/>
                <w:color w:val="auto"/>
              </w:rPr>
              <w:t>Total interest income</w:t>
            </w:r>
          </w:p>
        </w:tc>
        <w:tc>
          <w:tcPr>
            <w:tcW w:w="12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Arial" w:cs="Arial" w:eastAsia="Arial" w:hAnsi="Arial"/>
                <w:sz w:val="14"/>
                <w:szCs w:val="14"/>
                <w:color w:val="auto"/>
                <w:w w:val="96"/>
              </w:rPr>
              <w:t>4,673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68"/>
              <w:spacing w:after="0"/>
              <w:rPr>
                <w:sz w:val="20"/>
                <w:szCs w:val="20"/>
                <w:color w:val="auto"/>
              </w:rPr>
            </w:pPr>
            <w:r>
              <w:rPr>
                <w:rFonts w:ascii="Arial" w:cs="Arial" w:eastAsia="Arial" w:hAnsi="Arial"/>
                <w:sz w:val="14"/>
                <w:szCs w:val="14"/>
                <w:color w:val="auto"/>
                <w:w w:val="96"/>
              </w:rPr>
              <w:t>4,908</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(235)</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jc w:val="right"/>
              <w:ind w:right="148"/>
              <w:spacing w:after="0"/>
              <w:rPr>
                <w:sz w:val="20"/>
                <w:szCs w:val="20"/>
                <w:color w:val="auto"/>
              </w:rPr>
            </w:pPr>
            <w:r>
              <w:rPr>
                <w:rFonts w:ascii="Arial" w:cs="Arial" w:eastAsia="Arial" w:hAnsi="Arial"/>
                <w:sz w:val="14"/>
                <w:szCs w:val="14"/>
                <w:color w:val="auto"/>
              </w:rPr>
              <w:t>(5)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interest expense</w:t>
            </w:r>
          </w:p>
        </w:tc>
        <w:tc>
          <w:tcPr>
            <w:tcW w:w="1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96"/>
              </w:rPr>
              <w:t>3,488</w:t>
            </w:r>
          </w:p>
        </w:tc>
        <w:tc>
          <w:tcPr>
            <w:tcW w:w="2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96"/>
              </w:rPr>
              <w:t>3,668</w:t>
            </w:r>
          </w:p>
        </w:tc>
        <w:tc>
          <w:tcPr>
            <w:tcW w:w="2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(180)</w:t>
            </w:r>
          </w:p>
        </w:tc>
        <w:tc>
          <w:tcPr>
            <w:tcW w:w="2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300" w:type="dxa"/>
            <w:vAlign w:val="bottom"/>
            <w:gridSpan w:val="3"/>
          </w:tcPr>
          <w:p>
            <w:pPr>
              <w:spacing w:after="0"/>
              <w:rPr>
                <w:sz w:val="20"/>
                <w:szCs w:val="20"/>
                <w:color w:val="auto"/>
              </w:rPr>
            </w:pPr>
            <w:r>
              <w:rPr>
                <w:rFonts w:ascii="Arial" w:cs="Arial" w:eastAsia="Arial" w:hAnsi="Arial"/>
                <w:sz w:val="14"/>
                <w:szCs w:val="14"/>
                <w:color w:val="auto"/>
              </w:rPr>
              <w:t>Net interest income</w:t>
            </w:r>
          </w:p>
        </w:tc>
        <w:tc>
          <w:tcPr>
            <w:tcW w:w="12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Arial" w:cs="Arial" w:eastAsia="Arial" w:hAnsi="Arial"/>
                <w:sz w:val="14"/>
                <w:szCs w:val="14"/>
                <w:color w:val="auto"/>
                <w:w w:val="96"/>
              </w:rPr>
              <w:t>1,185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68"/>
              <w:spacing w:after="0"/>
              <w:rPr>
                <w:sz w:val="20"/>
                <w:szCs w:val="20"/>
                <w:color w:val="auto"/>
              </w:rPr>
            </w:pPr>
            <w:r>
              <w:rPr>
                <w:rFonts w:ascii="Arial" w:cs="Arial" w:eastAsia="Arial" w:hAnsi="Arial"/>
                <w:sz w:val="14"/>
                <w:szCs w:val="14"/>
                <w:color w:val="auto"/>
                <w:w w:val="96"/>
              </w:rPr>
              <w:t>1,240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(55)</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jc w:val="right"/>
              <w:ind w:right="148"/>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Less: provisions for loan losses</w:t>
            </w:r>
          </w:p>
        </w:tc>
        <w:tc>
          <w:tcPr>
            <w:tcW w:w="1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258</w:t>
            </w:r>
          </w:p>
        </w:tc>
        <w:tc>
          <w:tcPr>
            <w:tcW w:w="2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370</w:t>
            </w:r>
          </w:p>
        </w:tc>
        <w:tc>
          <w:tcPr>
            <w:tcW w:w="2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(112)</w:t>
            </w:r>
          </w:p>
        </w:tc>
        <w:tc>
          <w:tcPr>
            <w:tcW w:w="2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(30)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300" w:type="dxa"/>
            <w:vAlign w:val="bottom"/>
            <w:gridSpan w:val="3"/>
          </w:tcPr>
          <w:p>
            <w:pPr>
              <w:spacing w:after="0"/>
              <w:rPr>
                <w:sz w:val="20"/>
                <w:szCs w:val="20"/>
                <w:color w:val="auto"/>
              </w:rPr>
            </w:pPr>
            <w:r>
              <w:rPr>
                <w:rFonts w:ascii="Arial" w:cs="Arial" w:eastAsia="Arial" w:hAnsi="Arial"/>
                <w:sz w:val="14"/>
                <w:szCs w:val="14"/>
                <w:color w:val="auto"/>
              </w:rPr>
              <w:t>Net interest income after provisions for loan losses</w:t>
            </w:r>
          </w:p>
        </w:tc>
        <w:tc>
          <w:tcPr>
            <w:tcW w:w="12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Arial" w:cs="Arial" w:eastAsia="Arial" w:hAnsi="Arial"/>
                <w:sz w:val="14"/>
                <w:szCs w:val="14"/>
                <w:color w:val="auto"/>
              </w:rPr>
              <w:t>927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870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68"/>
              <w:spacing w:after="0"/>
              <w:rPr>
                <w:sz w:val="20"/>
                <w:szCs w:val="20"/>
                <w:color w:val="auto"/>
              </w:rPr>
            </w:pPr>
            <w:r>
              <w:rPr>
                <w:rFonts w:ascii="Arial" w:cs="Arial" w:eastAsia="Arial" w:hAnsi="Arial"/>
                <w:sz w:val="14"/>
                <w:szCs w:val="14"/>
                <w:color w:val="auto"/>
              </w:rPr>
              <w:t>57</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jc w:val="right"/>
              <w:ind w:right="188"/>
              <w:spacing w:after="0"/>
              <w:rPr>
                <w:sz w:val="20"/>
                <w:szCs w:val="20"/>
                <w:color w:val="auto"/>
              </w:rPr>
            </w:pPr>
            <w:r>
              <w:rPr>
                <w:rFonts w:ascii="Arial" w:cs="Arial" w:eastAsia="Arial" w:hAnsi="Arial"/>
                <w:sz w:val="14"/>
                <w:szCs w:val="14"/>
                <w:color w:val="auto"/>
              </w:rPr>
              <w:t>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income (loss):</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80" w:type="dxa"/>
            <w:vAlign w:val="bottom"/>
            <w:gridSpan w:val="2"/>
          </w:tcPr>
          <w:p>
            <w:pPr>
              <w:ind w:left="200"/>
              <w:spacing w:after="0"/>
              <w:rPr>
                <w:sz w:val="20"/>
                <w:szCs w:val="20"/>
                <w:color w:val="auto"/>
              </w:rPr>
            </w:pPr>
            <w:r>
              <w:rPr>
                <w:rFonts w:ascii="Arial" w:cs="Arial" w:eastAsia="Arial" w:hAnsi="Arial"/>
                <w:sz w:val="14"/>
                <w:szCs w:val="14"/>
                <w:color w:val="auto"/>
              </w:rPr>
              <w:t>Servicing revenue</w:t>
            </w:r>
          </w:p>
        </w:tc>
        <w:tc>
          <w:tcPr>
            <w:tcW w:w="12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Arial" w:cs="Arial" w:eastAsia="Arial" w:hAnsi="Arial"/>
                <w:sz w:val="14"/>
                <w:szCs w:val="14"/>
                <w:color w:val="auto"/>
              </w:rPr>
              <w:t>240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274</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(34)</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jc w:val="right"/>
              <w:ind w:right="148"/>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Asset recovery and business processing revenue</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488</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430</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58</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80" w:type="dxa"/>
            <w:vAlign w:val="bottom"/>
            <w:gridSpan w:val="2"/>
          </w:tcPr>
          <w:p>
            <w:pPr>
              <w:ind w:left="200"/>
              <w:spacing w:after="0"/>
              <w:rPr>
                <w:sz w:val="20"/>
                <w:szCs w:val="20"/>
                <w:color w:val="auto"/>
              </w:rPr>
            </w:pPr>
            <w:r>
              <w:rPr>
                <w:rFonts w:ascii="Arial" w:cs="Arial" w:eastAsia="Arial" w:hAnsi="Arial"/>
                <w:sz w:val="14"/>
                <w:szCs w:val="14"/>
                <w:color w:val="auto"/>
              </w:rPr>
              <w:t>Other income (loss)</w:t>
            </w:r>
          </w:p>
        </w:tc>
        <w:tc>
          <w:tcPr>
            <w:tcW w:w="12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Arial" w:cs="Arial" w:eastAsia="Arial" w:hAnsi="Arial"/>
                <w:sz w:val="14"/>
                <w:szCs w:val="14"/>
                <w:color w:val="auto"/>
              </w:rPr>
              <w:t>45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17</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68"/>
              <w:spacing w:after="0"/>
              <w:rPr>
                <w:sz w:val="20"/>
                <w:szCs w:val="20"/>
                <w:color w:val="auto"/>
              </w:rPr>
            </w:pPr>
            <w:r>
              <w:rPr>
                <w:rFonts w:ascii="Arial" w:cs="Arial" w:eastAsia="Arial" w:hAnsi="Arial"/>
                <w:sz w:val="14"/>
                <w:szCs w:val="14"/>
                <w:color w:val="auto"/>
              </w:rPr>
              <w:t>28</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jc w:val="right"/>
              <w:ind w:right="188"/>
              <w:spacing w:after="0"/>
              <w:rPr>
                <w:sz w:val="20"/>
                <w:szCs w:val="20"/>
                <w:color w:val="auto"/>
              </w:rPr>
            </w:pPr>
            <w:r>
              <w:rPr>
                <w:rFonts w:ascii="Arial" w:cs="Arial" w:eastAsia="Arial" w:hAnsi="Arial"/>
                <w:sz w:val="14"/>
                <w:szCs w:val="14"/>
                <w:color w:val="auto"/>
                <w:w w:val="94"/>
              </w:rPr>
              <w:t>165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Gains on sales of loans</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16</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16</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94"/>
              </w:rPr>
              <w:t>100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80" w:type="dxa"/>
            <w:vAlign w:val="bottom"/>
            <w:gridSpan w:val="2"/>
          </w:tcPr>
          <w:p>
            <w:pPr>
              <w:ind w:left="200"/>
              <w:spacing w:after="0"/>
              <w:rPr>
                <w:sz w:val="20"/>
                <w:szCs w:val="20"/>
                <w:color w:val="auto"/>
              </w:rPr>
            </w:pPr>
            <w:r>
              <w:rPr>
                <w:rFonts w:ascii="Arial" w:cs="Arial" w:eastAsia="Arial" w:hAnsi="Arial"/>
                <w:sz w:val="14"/>
                <w:szCs w:val="14"/>
                <w:color w:val="auto"/>
              </w:rPr>
              <w:t>Gains (losses) on debt repurchases</w:t>
            </w:r>
          </w:p>
        </w:tc>
        <w:tc>
          <w:tcPr>
            <w:tcW w:w="12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Arial" w:cs="Arial" w:eastAsia="Arial" w:hAnsi="Arial"/>
                <w:sz w:val="14"/>
                <w:szCs w:val="14"/>
                <w:color w:val="auto"/>
              </w:rPr>
              <w:t>45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19</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68"/>
              <w:spacing w:after="0"/>
              <w:rPr>
                <w:sz w:val="20"/>
                <w:szCs w:val="20"/>
                <w:color w:val="auto"/>
              </w:rPr>
            </w:pPr>
            <w:r>
              <w:rPr>
                <w:rFonts w:ascii="Arial" w:cs="Arial" w:eastAsia="Arial" w:hAnsi="Arial"/>
                <w:sz w:val="14"/>
                <w:szCs w:val="14"/>
                <w:color w:val="auto"/>
              </w:rPr>
              <w:t>26</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jc w:val="right"/>
              <w:ind w:right="188"/>
              <w:spacing w:after="0"/>
              <w:rPr>
                <w:sz w:val="20"/>
                <w:szCs w:val="20"/>
                <w:color w:val="auto"/>
              </w:rPr>
            </w:pPr>
            <w:r>
              <w:rPr>
                <w:rFonts w:ascii="Arial" w:cs="Arial" w:eastAsia="Arial" w:hAnsi="Arial"/>
                <w:sz w:val="14"/>
                <w:szCs w:val="14"/>
                <w:color w:val="auto"/>
                <w:w w:val="94"/>
              </w:rPr>
              <w:t>137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Gains (losses) on derivative and hedging activities, net</w:t>
            </w:r>
          </w:p>
        </w:tc>
        <w:tc>
          <w:tcPr>
            <w:tcW w:w="1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22</w:t>
            </w:r>
          </w:p>
        </w:tc>
        <w:tc>
          <w:tcPr>
            <w:tcW w:w="2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(38)</w:t>
            </w:r>
          </w:p>
        </w:tc>
        <w:tc>
          <w:tcPr>
            <w:tcW w:w="2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60</w:t>
            </w:r>
          </w:p>
        </w:tc>
        <w:tc>
          <w:tcPr>
            <w:tcW w:w="2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94"/>
              </w:rPr>
              <w:t>158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300" w:type="dxa"/>
            <w:vAlign w:val="bottom"/>
            <w:gridSpan w:val="3"/>
          </w:tcPr>
          <w:p>
            <w:pPr>
              <w:spacing w:after="0"/>
              <w:rPr>
                <w:sz w:val="20"/>
                <w:szCs w:val="20"/>
                <w:color w:val="auto"/>
              </w:rPr>
            </w:pPr>
            <w:r>
              <w:rPr>
                <w:rFonts w:ascii="Arial" w:cs="Arial" w:eastAsia="Arial" w:hAnsi="Arial"/>
                <w:sz w:val="14"/>
                <w:szCs w:val="14"/>
                <w:color w:val="auto"/>
              </w:rPr>
              <w:t>Total other income (loss)</w:t>
            </w:r>
          </w:p>
        </w:tc>
        <w:tc>
          <w:tcPr>
            <w:tcW w:w="12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Arial" w:cs="Arial" w:eastAsia="Arial" w:hAnsi="Arial"/>
                <w:sz w:val="14"/>
                <w:szCs w:val="14"/>
                <w:color w:val="auto"/>
              </w:rPr>
              <w:t>856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702</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68"/>
              <w:spacing w:after="0"/>
              <w:rPr>
                <w:sz w:val="20"/>
                <w:szCs w:val="20"/>
                <w:color w:val="auto"/>
              </w:rPr>
            </w:pPr>
            <w:r>
              <w:rPr>
                <w:rFonts w:ascii="Arial" w:cs="Arial" w:eastAsia="Arial" w:hAnsi="Arial"/>
                <w:sz w:val="14"/>
                <w:szCs w:val="14"/>
                <w:color w:val="auto"/>
              </w:rPr>
              <w:t>154</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jc w:val="right"/>
              <w:ind w:right="188"/>
              <w:spacing w:after="0"/>
              <w:rPr>
                <w:sz w:val="20"/>
                <w:szCs w:val="20"/>
                <w:color w:val="auto"/>
              </w:rPr>
            </w:pPr>
            <w:r>
              <w:rPr>
                <w:rFonts w:ascii="Arial" w:cs="Arial" w:eastAsia="Arial" w:hAnsi="Arial"/>
                <w:sz w:val="14"/>
                <w:szCs w:val="14"/>
                <w:color w:val="auto"/>
              </w:rPr>
              <w:t>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Expenses:</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80" w:type="dxa"/>
            <w:vAlign w:val="bottom"/>
            <w:gridSpan w:val="2"/>
          </w:tcPr>
          <w:p>
            <w:pPr>
              <w:ind w:left="200"/>
              <w:spacing w:after="0"/>
              <w:rPr>
                <w:sz w:val="20"/>
                <w:szCs w:val="20"/>
                <w:color w:val="auto"/>
              </w:rPr>
            </w:pPr>
            <w:r>
              <w:rPr>
                <w:rFonts w:ascii="Arial" w:cs="Arial" w:eastAsia="Arial" w:hAnsi="Arial"/>
                <w:sz w:val="14"/>
                <w:szCs w:val="14"/>
                <w:color w:val="auto"/>
              </w:rPr>
              <w:t>Operating expenses</w:t>
            </w:r>
          </w:p>
        </w:tc>
        <w:tc>
          <w:tcPr>
            <w:tcW w:w="12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Arial" w:cs="Arial" w:eastAsia="Arial" w:hAnsi="Arial"/>
                <w:sz w:val="14"/>
                <w:szCs w:val="14"/>
                <w:color w:val="auto"/>
              </w:rPr>
              <w:t>984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984</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tcPr>
          <w:p>
            <w:pPr>
              <w:jc w:val="right"/>
              <w:ind w:right="76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Goodwill and acquired intangible asset impairment and amortization expense</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30</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47</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(17)</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80" w:type="dxa"/>
            <w:vAlign w:val="bottom"/>
            <w:gridSpan w:val="2"/>
          </w:tcPr>
          <w:p>
            <w:pPr>
              <w:ind w:left="200"/>
              <w:spacing w:after="0"/>
              <w:rPr>
                <w:sz w:val="20"/>
                <w:szCs w:val="20"/>
                <w:color w:val="auto"/>
              </w:rPr>
            </w:pPr>
            <w:r>
              <w:rPr>
                <w:rFonts w:ascii="Arial" w:cs="Arial" w:eastAsia="Arial" w:hAnsi="Arial"/>
                <w:sz w:val="14"/>
                <w:szCs w:val="14"/>
                <w:color w:val="auto"/>
              </w:rPr>
              <w:t>Restructuring/other reorganization expenses</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(54)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expenses</w:t>
            </w:r>
          </w:p>
        </w:tc>
        <w:tc>
          <w:tcPr>
            <w:tcW w:w="1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96"/>
              </w:rPr>
              <w:t>1,020</w:t>
            </w:r>
          </w:p>
        </w:tc>
        <w:tc>
          <w:tcPr>
            <w:tcW w:w="2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96"/>
              </w:rPr>
              <w:t>1,044</w:t>
            </w:r>
          </w:p>
        </w:tc>
        <w:tc>
          <w:tcPr>
            <w:tcW w:w="2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(24)</w:t>
            </w:r>
          </w:p>
        </w:tc>
        <w:tc>
          <w:tcPr>
            <w:tcW w:w="2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300" w:type="dxa"/>
            <w:vAlign w:val="bottom"/>
            <w:gridSpan w:val="3"/>
          </w:tcPr>
          <w:p>
            <w:pPr>
              <w:spacing w:after="0"/>
              <w:rPr>
                <w:sz w:val="20"/>
                <w:szCs w:val="20"/>
                <w:color w:val="auto"/>
              </w:rPr>
            </w:pPr>
            <w:r>
              <w:rPr>
                <w:rFonts w:ascii="Arial" w:cs="Arial" w:eastAsia="Arial" w:hAnsi="Arial"/>
                <w:sz w:val="14"/>
                <w:szCs w:val="14"/>
                <w:color w:val="auto"/>
              </w:rPr>
              <w:t>Income before income tax expense</w:t>
            </w:r>
          </w:p>
        </w:tc>
        <w:tc>
          <w:tcPr>
            <w:tcW w:w="12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Arial" w:cs="Arial" w:eastAsia="Arial" w:hAnsi="Arial"/>
                <w:sz w:val="14"/>
                <w:szCs w:val="14"/>
                <w:color w:val="auto"/>
              </w:rPr>
              <w:t>763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528</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68"/>
              <w:spacing w:after="0"/>
              <w:rPr>
                <w:sz w:val="20"/>
                <w:szCs w:val="20"/>
                <w:color w:val="auto"/>
              </w:rPr>
            </w:pPr>
            <w:r>
              <w:rPr>
                <w:rFonts w:ascii="Arial" w:cs="Arial" w:eastAsia="Arial" w:hAnsi="Arial"/>
                <w:sz w:val="14"/>
                <w:szCs w:val="14"/>
                <w:color w:val="auto"/>
              </w:rPr>
              <w:t>235</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jc w:val="right"/>
              <w:ind w:right="188"/>
              <w:spacing w:after="0"/>
              <w:rPr>
                <w:sz w:val="20"/>
                <w:szCs w:val="20"/>
                <w:color w:val="auto"/>
              </w:rPr>
            </w:pPr>
            <w:r>
              <w:rPr>
                <w:rFonts w:ascii="Arial" w:cs="Arial" w:eastAsia="Arial" w:hAnsi="Arial"/>
                <w:sz w:val="14"/>
                <w:szCs w:val="14"/>
                <w:color w:val="auto"/>
              </w:rPr>
              <w:t>45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tax expense</w:t>
            </w:r>
          </w:p>
        </w:tc>
        <w:tc>
          <w:tcPr>
            <w:tcW w:w="1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166</w:t>
            </w:r>
          </w:p>
        </w:tc>
        <w:tc>
          <w:tcPr>
            <w:tcW w:w="2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133</w:t>
            </w:r>
          </w:p>
        </w:tc>
        <w:tc>
          <w:tcPr>
            <w:tcW w:w="2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33</w:t>
            </w:r>
          </w:p>
        </w:tc>
        <w:tc>
          <w:tcPr>
            <w:tcW w:w="2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25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300" w:type="dxa"/>
            <w:vAlign w:val="bottom"/>
            <w:gridSpan w:val="3"/>
          </w:tcPr>
          <w:p>
            <w:pPr>
              <w:spacing w:after="0"/>
              <w:rPr>
                <w:sz w:val="20"/>
                <w:szCs w:val="20"/>
                <w:color w:val="auto"/>
              </w:rPr>
            </w:pPr>
            <w:r>
              <w:rPr>
                <w:rFonts w:ascii="Arial" w:cs="Arial" w:eastAsia="Arial" w:hAnsi="Arial"/>
                <w:sz w:val="14"/>
                <w:szCs w:val="14"/>
                <w:b w:val="1"/>
                <w:bCs w:val="1"/>
                <w:color w:val="auto"/>
              </w:rPr>
              <w:t>Net income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88"/>
              <w:spacing w:after="0"/>
              <w:rPr>
                <w:sz w:val="20"/>
                <w:szCs w:val="20"/>
                <w:color w:val="auto"/>
              </w:rPr>
            </w:pPr>
            <w:r>
              <w:rPr>
                <w:rFonts w:ascii="Arial" w:cs="Arial" w:eastAsia="Arial" w:hAnsi="Arial"/>
                <w:sz w:val="14"/>
                <w:szCs w:val="14"/>
                <w:color w:val="auto"/>
              </w:rPr>
              <w:t>597</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395</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68"/>
              <w:spacing w:after="0"/>
              <w:rPr>
                <w:sz w:val="20"/>
                <w:szCs w:val="20"/>
                <w:color w:val="auto"/>
              </w:rPr>
            </w:pPr>
            <w:r>
              <w:rPr>
                <w:rFonts w:ascii="Arial" w:cs="Arial" w:eastAsia="Arial" w:hAnsi="Arial"/>
                <w:sz w:val="14"/>
                <w:szCs w:val="14"/>
                <w:color w:val="auto"/>
              </w:rPr>
              <w:t>202</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51%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280" w:type="dxa"/>
            <w:vAlign w:val="bottom"/>
            <w:gridSpan w:val="2"/>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Basic earnings per common share</w:t>
            </w:r>
          </w:p>
        </w:tc>
        <w:tc>
          <w:tcPr>
            <w:tcW w:w="1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188"/>
              <w:spacing w:after="0" w:line="156" w:lineRule="exact"/>
              <w:rPr>
                <w:sz w:val="20"/>
                <w:szCs w:val="20"/>
                <w:color w:val="auto"/>
              </w:rPr>
            </w:pPr>
            <w:r>
              <w:rPr>
                <w:rFonts w:ascii="Arial" w:cs="Arial" w:eastAsia="Arial" w:hAnsi="Arial"/>
                <w:sz w:val="14"/>
                <w:szCs w:val="14"/>
                <w:color w:val="auto"/>
              </w:rPr>
              <w:t>2.59</w:t>
            </w:r>
          </w:p>
        </w:tc>
        <w:tc>
          <w:tcPr>
            <w:tcW w:w="2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168"/>
              <w:spacing w:after="0" w:line="156" w:lineRule="exact"/>
              <w:rPr>
                <w:sz w:val="20"/>
                <w:szCs w:val="20"/>
                <w:color w:val="auto"/>
              </w:rPr>
            </w:pPr>
            <w:r>
              <w:rPr>
                <w:rFonts w:ascii="Arial" w:cs="Arial" w:eastAsia="Arial" w:hAnsi="Arial"/>
                <w:sz w:val="14"/>
                <w:szCs w:val="14"/>
                <w:color w:val="auto"/>
              </w:rPr>
              <w:t>1.52</w:t>
            </w:r>
          </w:p>
        </w:tc>
        <w:tc>
          <w:tcPr>
            <w:tcW w:w="2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168"/>
              <w:spacing w:after="0" w:line="156" w:lineRule="exact"/>
              <w:rPr>
                <w:sz w:val="20"/>
                <w:szCs w:val="20"/>
                <w:color w:val="auto"/>
              </w:rPr>
            </w:pPr>
            <w:r>
              <w:rPr>
                <w:rFonts w:ascii="Arial" w:cs="Arial" w:eastAsia="Arial" w:hAnsi="Arial"/>
                <w:sz w:val="14"/>
                <w:szCs w:val="14"/>
                <w:color w:val="auto"/>
              </w:rPr>
              <w:t>1.07</w:t>
            </w:r>
          </w:p>
        </w:tc>
        <w:tc>
          <w:tcPr>
            <w:tcW w:w="24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68"/>
              <w:spacing w:after="0" w:line="156" w:lineRule="exact"/>
              <w:rPr>
                <w:sz w:val="20"/>
                <w:szCs w:val="20"/>
                <w:color w:val="auto"/>
              </w:rPr>
            </w:pPr>
            <w:r>
              <w:rPr>
                <w:rFonts w:ascii="Arial" w:cs="Arial" w:eastAsia="Arial" w:hAnsi="Arial"/>
                <w:sz w:val="14"/>
                <w:szCs w:val="14"/>
                <w:color w:val="auto"/>
              </w:rPr>
              <w:t>70%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Diluted earnings per common share</w:t>
            </w: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00" w:type="dxa"/>
            <w:vAlign w:val="bottom"/>
            <w:gridSpan w:val="3"/>
            <w:vMerge w:val="continue"/>
          </w:tcPr>
          <w:p>
            <w:pPr>
              <w:spacing w:after="0"/>
              <w:rPr>
                <w:sz w:val="13"/>
                <w:szCs w:val="13"/>
                <w:color w:val="auto"/>
              </w:rPr>
            </w:pPr>
          </w:p>
        </w:tc>
        <w:tc>
          <w:tcPr>
            <w:tcW w:w="12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88"/>
              <w:spacing w:after="0" w:line="156" w:lineRule="exact"/>
              <w:rPr>
                <w:sz w:val="20"/>
                <w:szCs w:val="20"/>
                <w:color w:val="auto"/>
              </w:rPr>
            </w:pPr>
            <w:r>
              <w:rPr>
                <w:rFonts w:ascii="Arial" w:cs="Arial" w:eastAsia="Arial" w:hAnsi="Arial"/>
                <w:sz w:val="14"/>
                <w:szCs w:val="14"/>
                <w:color w:val="auto"/>
              </w:rPr>
              <w:t>2.56</w:t>
            </w:r>
          </w:p>
        </w:tc>
        <w:tc>
          <w:tcPr>
            <w:tcW w:w="36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168"/>
              <w:spacing w:after="0" w:line="156" w:lineRule="exact"/>
              <w:rPr>
                <w:sz w:val="20"/>
                <w:szCs w:val="20"/>
                <w:color w:val="auto"/>
              </w:rPr>
            </w:pPr>
            <w:r>
              <w:rPr>
                <w:rFonts w:ascii="Arial" w:cs="Arial" w:eastAsia="Arial" w:hAnsi="Arial"/>
                <w:sz w:val="14"/>
                <w:szCs w:val="14"/>
                <w:color w:val="auto"/>
              </w:rPr>
              <w:t>1.49</w:t>
            </w:r>
          </w:p>
        </w:tc>
        <w:tc>
          <w:tcPr>
            <w:tcW w:w="40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68"/>
              <w:spacing w:after="0" w:line="156" w:lineRule="exact"/>
              <w:rPr>
                <w:sz w:val="20"/>
                <w:szCs w:val="20"/>
                <w:color w:val="auto"/>
              </w:rPr>
            </w:pPr>
            <w:r>
              <w:rPr>
                <w:rFonts w:ascii="Arial" w:cs="Arial" w:eastAsia="Arial" w:hAnsi="Arial"/>
                <w:sz w:val="14"/>
                <w:szCs w:val="14"/>
                <w:color w:val="auto"/>
              </w:rPr>
              <w:t>1.07</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jc w:val="right"/>
              <w:ind w:right="68"/>
              <w:spacing w:after="0" w:line="156" w:lineRule="exact"/>
              <w:rPr>
                <w:sz w:val="20"/>
                <w:szCs w:val="20"/>
                <w:color w:val="auto"/>
              </w:rPr>
            </w:pPr>
            <w:r>
              <w:rPr>
                <w:rFonts w:ascii="Arial" w:cs="Arial" w:eastAsia="Arial" w:hAnsi="Arial"/>
                <w:sz w:val="14"/>
                <w:szCs w:val="14"/>
                <w:color w:val="auto"/>
              </w:rPr>
              <w:t>72%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280" w:type="dxa"/>
            <w:vAlign w:val="bottom"/>
            <w:gridSpan w:val="2"/>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Dividends per common share</w:t>
            </w:r>
          </w:p>
        </w:tc>
        <w:tc>
          <w:tcPr>
            <w:tcW w:w="1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88"/>
              <w:spacing w:after="0" w:line="156" w:lineRule="exact"/>
              <w:rPr>
                <w:sz w:val="20"/>
                <w:szCs w:val="20"/>
                <w:color w:val="auto"/>
              </w:rPr>
            </w:pPr>
            <w:r>
              <w:rPr>
                <w:rFonts w:ascii="Arial" w:cs="Arial" w:eastAsia="Arial" w:hAnsi="Arial"/>
                <w:sz w:val="14"/>
                <w:szCs w:val="14"/>
                <w:color w:val="auto"/>
              </w:rPr>
              <w:t>.64</w:t>
            </w:r>
          </w:p>
        </w:tc>
        <w:tc>
          <w:tcPr>
            <w:tcW w:w="36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68"/>
              <w:spacing w:after="0" w:line="156" w:lineRule="exact"/>
              <w:rPr>
                <w:sz w:val="20"/>
                <w:szCs w:val="20"/>
                <w:color w:val="auto"/>
              </w:rPr>
            </w:pPr>
            <w:r>
              <w:rPr>
                <w:rFonts w:ascii="Arial" w:cs="Arial" w:eastAsia="Arial" w:hAnsi="Arial"/>
                <w:sz w:val="14"/>
                <w:szCs w:val="14"/>
                <w:color w:val="auto"/>
              </w:rPr>
              <w:t>.64</w:t>
            </w:r>
          </w:p>
        </w:tc>
        <w:tc>
          <w:tcPr>
            <w:tcW w:w="40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760"/>
              <w:spacing w:after="0" w:line="156"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10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left="1090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040"/>
          </w:cols>
          <w:pgMar w:left="440" w:top="275" w:right="419" w:bottom="1440" w:gutter="0" w:footer="0" w:header="0"/>
        </w:sectPr>
      </w:pPr>
    </w:p>
    <w:bookmarkStart w:id="13" w:name="page14"/>
    <w:bookmarkEnd w:id="13"/>
    <w:p>
      <w:pPr>
        <w:ind w:left="10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6997700"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7700" cy="188595"/>
                    </a:xfrm>
                    <a:prstGeom prst="rect">
                      <a:avLst/>
                    </a:prstGeom>
                    <a:noFill/>
                  </pic:spPr>
                </pic:pic>
              </a:graphicData>
            </a:graphic>
          </wp:anchor>
        </w:drawing>
        <w:t>GAAP BALANCE SHEET (UNAUDITED)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except share and per share data)</w:t>
            </w:r>
          </w:p>
        </w:tc>
        <w:tc>
          <w:tcPr>
            <w:tcW w:w="180" w:type="dxa"/>
            <w:vAlign w:val="bottom"/>
          </w:tcPr>
          <w:p>
            <w:pPr>
              <w:spacing w:after="0"/>
              <w:rPr>
                <w:sz w:val="14"/>
                <w:szCs w:val="14"/>
                <w:color w:val="auto"/>
              </w:rPr>
            </w:pPr>
          </w:p>
        </w:tc>
        <w:tc>
          <w:tcPr>
            <w:tcW w:w="1200" w:type="dxa"/>
            <w:vAlign w:val="bottom"/>
          </w:tcPr>
          <w:p>
            <w:pPr>
              <w:jc w:val="right"/>
              <w:ind w:right="159"/>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159"/>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58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ind w:right="458"/>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Assets</w:t>
            </w:r>
          </w:p>
        </w:tc>
        <w:tc>
          <w:tcPr>
            <w:tcW w:w="4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840" w:type="dxa"/>
            <w:vAlign w:val="bottom"/>
            <w:gridSpan w:val="3"/>
          </w:tcPr>
          <w:p>
            <w:pPr>
              <w:spacing w:after="0"/>
              <w:rPr>
                <w:sz w:val="20"/>
                <w:szCs w:val="20"/>
                <w:color w:val="auto"/>
              </w:rPr>
            </w:pPr>
            <w:r>
              <w:rPr>
                <w:rFonts w:ascii="Arial" w:cs="Arial" w:eastAsia="Arial" w:hAnsi="Arial"/>
                <w:sz w:val="16"/>
                <w:szCs w:val="16"/>
                <w:color w:val="auto"/>
              </w:rPr>
              <w:t>FFELP Loans (net of allowance for losses of $64, $65 and $76,</w:t>
            </w:r>
          </w:p>
        </w:tc>
        <w:tc>
          <w:tcPr>
            <w:tcW w:w="1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64,575</w:t>
            </w:r>
          </w:p>
        </w:tc>
        <w:tc>
          <w:tcPr>
            <w:tcW w:w="640" w:type="dxa"/>
            <w:vAlign w:val="bottom"/>
            <w:gridSpan w:val="2"/>
            <w:vMerge w:val="restart"/>
          </w:tcPr>
          <w:p>
            <w:pPr>
              <w:ind w:left="52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66,087</w:t>
            </w:r>
          </w:p>
        </w:tc>
        <w:tc>
          <w:tcPr>
            <w:tcW w:w="640" w:type="dxa"/>
            <w:vAlign w:val="bottom"/>
            <w:gridSpan w:val="2"/>
            <w:vMerge w:val="restart"/>
          </w:tcPr>
          <w:p>
            <w:pPr>
              <w:ind w:left="52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72,253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820" w:type="dxa"/>
            <w:vAlign w:val="bottom"/>
            <w:gridSpan w:val="2"/>
          </w:tcPr>
          <w:p>
            <w:pPr>
              <w:ind w:left="200"/>
              <w:spacing w:after="0"/>
              <w:rPr>
                <w:sz w:val="20"/>
                <w:szCs w:val="20"/>
                <w:color w:val="auto"/>
              </w:rPr>
            </w:pPr>
            <w:r>
              <w:rPr>
                <w:rFonts w:ascii="Arial" w:cs="Arial" w:eastAsia="Arial" w:hAnsi="Arial"/>
                <w:sz w:val="16"/>
                <w:szCs w:val="16"/>
                <w:color w:val="auto"/>
              </w:rPr>
              <w:t>respectively)</w:t>
            </w:r>
          </w:p>
        </w:tc>
        <w:tc>
          <w:tcPr>
            <w:tcW w:w="1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Private Education Loans (net of allowance for losses of $1,048, $1,101</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8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and $1,201, respectively)</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22,245</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21,846</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22,245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40" w:type="dxa"/>
            <w:vAlign w:val="bottom"/>
            <w:gridSpan w:val="3"/>
          </w:tcPr>
          <w:p>
            <w:pPr>
              <w:spacing w:after="0"/>
              <w:rPr>
                <w:sz w:val="20"/>
                <w:szCs w:val="20"/>
                <w:color w:val="auto"/>
              </w:rPr>
            </w:pPr>
            <w:r>
              <w:rPr>
                <w:rFonts w:ascii="Arial" w:cs="Arial" w:eastAsia="Arial" w:hAnsi="Arial"/>
                <w:sz w:val="16"/>
                <w:szCs w:val="16"/>
                <w:color w:val="auto"/>
              </w:rPr>
              <w:t>Investments</w:t>
            </w: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211</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241</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40" w:type="dxa"/>
            <w:vAlign w:val="bottom"/>
            <w:gridSpan w:val="3"/>
          </w:tcPr>
          <w:p>
            <w:pPr>
              <w:spacing w:after="0"/>
              <w:rPr>
                <w:sz w:val="20"/>
                <w:szCs w:val="20"/>
                <w:color w:val="auto"/>
              </w:rPr>
            </w:pPr>
            <w:r>
              <w:rPr>
                <w:rFonts w:ascii="Arial" w:cs="Arial" w:eastAsia="Arial" w:hAnsi="Arial"/>
                <w:sz w:val="16"/>
                <w:szCs w:val="16"/>
                <w:color w:val="auto"/>
              </w:rPr>
              <w:t>Restricted cash and cash equivalents</w:t>
            </w: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2,548</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2,677</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3,976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Goodwill and acquired intangible assets, net</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40" w:type="dxa"/>
            <w:vAlign w:val="bottom"/>
            <w:gridSpan w:val="3"/>
          </w:tcPr>
          <w:p>
            <w:pPr>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3,334</w:t>
            </w:r>
          </w:p>
        </w:tc>
        <w:tc>
          <w:tcPr>
            <w:tcW w:w="4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3,356</w:t>
            </w:r>
          </w:p>
        </w:tc>
        <w:tc>
          <w:tcPr>
            <w:tcW w:w="4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assets</w:t>
            </w:r>
          </w:p>
        </w:tc>
        <w:tc>
          <w:tcPr>
            <w:tcW w:w="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94,903</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96,553</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104,176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4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Short-term borrowings</w:t>
            </w:r>
          </w:p>
        </w:tc>
        <w:tc>
          <w:tcPr>
            <w:tcW w:w="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8,483</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7,004</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40" w:type="dxa"/>
            <w:vAlign w:val="bottom"/>
            <w:gridSpan w:val="3"/>
          </w:tcPr>
          <w:p>
            <w:pPr>
              <w:spacing w:after="0"/>
              <w:rPr>
                <w:sz w:val="20"/>
                <w:szCs w:val="20"/>
                <w:color w:val="auto"/>
              </w:rPr>
            </w:pPr>
            <w:r>
              <w:rPr>
                <w:rFonts w:ascii="Arial" w:cs="Arial" w:eastAsia="Arial" w:hAnsi="Arial"/>
                <w:sz w:val="16"/>
                <w:szCs w:val="16"/>
                <w:color w:val="auto"/>
              </w:rPr>
              <w:t>Long-term borrowings</w:t>
            </w: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81,715</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84,769</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93,519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1,356</w:t>
            </w:r>
          </w:p>
        </w:tc>
        <w:tc>
          <w:tcPr>
            <w:tcW w:w="4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1,528</w:t>
            </w:r>
          </w:p>
        </w:tc>
        <w:tc>
          <w:tcPr>
            <w:tcW w:w="4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40" w:type="dxa"/>
            <w:vAlign w:val="bottom"/>
            <w:gridSpan w:val="3"/>
          </w:tcPr>
          <w:p>
            <w:pPr>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91,554</w:t>
            </w:r>
          </w:p>
        </w:tc>
        <w:tc>
          <w:tcPr>
            <w:tcW w:w="4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93,301</w:t>
            </w:r>
          </w:p>
        </w:tc>
        <w:tc>
          <w:tcPr>
            <w:tcW w:w="4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100,629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Commitments and contingencies</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20" w:type="dxa"/>
            <w:vAlign w:val="bottom"/>
            <w:gridSpan w:val="2"/>
          </w:tcPr>
          <w:p>
            <w:pPr>
              <w:spacing w:after="0"/>
              <w:rPr>
                <w:sz w:val="20"/>
                <w:szCs w:val="20"/>
                <w:color w:val="auto"/>
              </w:rPr>
            </w:pPr>
            <w:r>
              <w:rPr>
                <w:rFonts w:ascii="Arial" w:cs="Arial" w:eastAsia="Arial" w:hAnsi="Arial"/>
                <w:sz w:val="16"/>
                <w:szCs w:val="16"/>
                <w:b w:val="1"/>
                <w:bCs w:val="1"/>
                <w:color w:val="auto"/>
              </w:rPr>
              <w:t>Equity</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Common stock, par value $0.01 per share; 1.125 billion shares authorized:</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8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451 million, 450 million and 445 million shares, respectively, issued</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40" w:type="dxa"/>
            <w:vAlign w:val="bottom"/>
            <w:gridSpan w:val="3"/>
          </w:tcPr>
          <w:p>
            <w:pPr>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3,198</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3,188</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3,145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Accumulated other comprehensive income (loss), net of tax</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40" w:type="dxa"/>
            <w:vAlign w:val="bottom"/>
            <w:gridSpan w:val="3"/>
          </w:tcPr>
          <w:p>
            <w:pPr>
              <w:spacing w:after="0"/>
              <w:rPr>
                <w:sz w:val="20"/>
                <w:szCs w:val="20"/>
                <w:color w:val="auto"/>
              </w:rPr>
            </w:pPr>
            <w:r>
              <w:rPr>
                <w:rFonts w:ascii="Arial" w:cs="Arial" w:eastAsia="Arial" w:hAnsi="Arial"/>
                <w:sz w:val="16"/>
                <w:szCs w:val="16"/>
                <w:color w:val="auto"/>
              </w:rPr>
              <w:t>Retained earnings</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3,664</w:t>
            </w:r>
          </w:p>
        </w:tc>
        <w:tc>
          <w:tcPr>
            <w:tcW w:w="4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3,527</w:t>
            </w:r>
          </w:p>
        </w:tc>
        <w:tc>
          <w:tcPr>
            <w:tcW w:w="4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Navient Corporation stockholders’ equity before treasury stock</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6,775</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6,595</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840" w:type="dxa"/>
            <w:vAlign w:val="bottom"/>
            <w:gridSpan w:val="3"/>
          </w:tcPr>
          <w:p>
            <w:pPr>
              <w:spacing w:after="0"/>
              <w:rPr>
                <w:sz w:val="20"/>
                <w:szCs w:val="20"/>
                <w:color w:val="auto"/>
              </w:rPr>
            </w:pPr>
            <w:r>
              <w:rPr>
                <w:rFonts w:ascii="Arial" w:cs="Arial" w:eastAsia="Arial" w:hAnsi="Arial"/>
                <w:sz w:val="16"/>
                <w:szCs w:val="16"/>
                <w:color w:val="auto"/>
              </w:rPr>
              <w:t>Less: Common stock held in treasury: 236 million, 229 million and</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820" w:type="dxa"/>
            <w:vAlign w:val="bottom"/>
            <w:gridSpan w:val="2"/>
          </w:tcPr>
          <w:p>
            <w:pPr>
              <w:ind w:left="200"/>
              <w:spacing w:after="0"/>
              <w:rPr>
                <w:sz w:val="20"/>
                <w:szCs w:val="20"/>
                <w:color w:val="auto"/>
              </w:rPr>
            </w:pPr>
            <w:r>
              <w:rPr>
                <w:rFonts w:ascii="Arial" w:cs="Arial" w:eastAsia="Arial" w:hAnsi="Arial"/>
                <w:sz w:val="16"/>
                <w:szCs w:val="16"/>
                <w:color w:val="auto"/>
              </w:rPr>
              <w:t>198 million shares, respectively</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(3,439)</w:t>
            </w:r>
          </w:p>
        </w:tc>
        <w:tc>
          <w:tcPr>
            <w:tcW w:w="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(3,355)</w:t>
            </w:r>
          </w:p>
        </w:tc>
        <w:tc>
          <w:tcPr>
            <w:tcW w:w="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Navient Corporation stockholders’ equity</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3,336</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3,240</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40" w:type="dxa"/>
            <w:vAlign w:val="bottom"/>
            <w:gridSpan w:val="3"/>
          </w:tcPr>
          <w:p>
            <w:pPr>
              <w:spacing w:after="0"/>
              <w:rPr>
                <w:sz w:val="20"/>
                <w:szCs w:val="20"/>
                <w:color w:val="auto"/>
              </w:rPr>
            </w:pPr>
            <w:r>
              <w:rPr>
                <w:rFonts w:ascii="Arial" w:cs="Arial" w:eastAsia="Arial" w:hAnsi="Arial"/>
                <w:sz w:val="16"/>
                <w:szCs w:val="16"/>
                <w:color w:val="auto"/>
              </w:rPr>
              <w:t>Noncontrolling interest</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4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4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equity</w:t>
            </w:r>
          </w:p>
        </w:tc>
        <w:tc>
          <w:tcPr>
            <w:tcW w:w="1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3,349</w:t>
            </w:r>
          </w:p>
        </w:tc>
        <w:tc>
          <w:tcPr>
            <w:tcW w:w="4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3,252</w:t>
            </w:r>
          </w:p>
        </w:tc>
        <w:tc>
          <w:tcPr>
            <w:tcW w:w="4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40" w:type="dxa"/>
            <w:vAlign w:val="bottom"/>
            <w:gridSpan w:val="3"/>
          </w:tcPr>
          <w:p>
            <w:pPr>
              <w:spacing w:after="0"/>
              <w:rPr>
                <w:sz w:val="20"/>
                <w:szCs w:val="20"/>
                <w:color w:val="auto"/>
              </w:rPr>
            </w:pPr>
            <w:r>
              <w:rPr>
                <w:rFonts w:ascii="Arial" w:cs="Arial" w:eastAsia="Arial" w:hAnsi="Arial"/>
                <w:sz w:val="16"/>
                <w:szCs w:val="16"/>
                <w:color w:val="auto"/>
              </w:rPr>
              <w:t>Total liabilities and equity</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94,903</w:t>
            </w:r>
          </w:p>
        </w:tc>
        <w:tc>
          <w:tcPr>
            <w:tcW w:w="480" w:type="dxa"/>
            <w:vAlign w:val="bottom"/>
          </w:tcPr>
          <w:p>
            <w:pPr>
              <w:spacing w:after="0"/>
              <w:rPr>
                <w:sz w:val="17"/>
                <w:szCs w:val="17"/>
                <w:color w:val="auto"/>
              </w:rPr>
            </w:pP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96,553</w:t>
            </w:r>
          </w:p>
        </w:tc>
        <w:tc>
          <w:tcPr>
            <w:tcW w:w="480" w:type="dxa"/>
            <w:vAlign w:val="bottom"/>
          </w:tcPr>
          <w:p>
            <w:pPr>
              <w:spacing w:after="0"/>
              <w:rPr>
                <w:sz w:val="17"/>
                <w:szCs w:val="17"/>
                <w:color w:val="auto"/>
              </w:rPr>
            </w:pP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104,176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bl>
    <w:p>
      <w:pPr>
        <w:sectPr>
          <w:pgSz w:w="11900" w:h="16838" w:orient="portrait"/>
          <w:cols w:equalWidth="0" w:num="1">
            <w:col w:w="11040"/>
          </w:cols>
          <w:pgMar w:left="440" w:top="306" w:right="419" w:bottom="1440" w:gutter="0" w:footer="0" w:header="0"/>
        </w:sectPr>
      </w:pPr>
    </w:p>
    <w:bookmarkStart w:id="14" w:name="page15"/>
    <w:bookmarkEnd w:id="14"/>
    <w:p>
      <w:pPr>
        <w:ind w:left="10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6997700"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7700" cy="188595"/>
                    </a:xfrm>
                    <a:prstGeom prst="rect">
                      <a:avLst/>
                    </a:prstGeom>
                    <a:noFill/>
                  </pic:spPr>
                </pic:pic>
              </a:graphicData>
            </a:graphic>
          </wp:anchor>
        </w:drawing>
        <w:t>CONSOLIDATED EARNINGS SUMMARY — GAAP BASIS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December 31, 2019 Compared with Three Months Ended December 31, 2018</w:t>
      </w:r>
    </w:p>
    <w:p>
      <w:pPr>
        <w:spacing w:after="0" w:line="126"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For the three months ended December 31, 2019, net income was $171 million, or $ 0.78 diluted earnings per common share, compared with net income of $72 million, or $0.28 diluted earnings per common share, for the year-ago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primary contributors to the change in net income are as follows:</w:t>
      </w:r>
    </w:p>
    <w:p>
      <w:pPr>
        <w:spacing w:after="0" w:line="63" w:lineRule="exact"/>
        <w:rPr>
          <w:sz w:val="20"/>
          <w:szCs w:val="20"/>
          <w:color w:val="auto"/>
        </w:rPr>
      </w:pPr>
    </w:p>
    <w:p>
      <w:pPr>
        <w:ind w:left="860" w:right="320" w:hanging="316"/>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interest income decreased by $13 million, primarily as a result of the continued natural paydown of the FFELP and non-refinance Private Education Loan portfolios, which was partially offset by the growth in the Private Education Refinance Loan portfolio and improved cost of funds primarily in the Private Education Loan portfolio.</w:t>
      </w:r>
    </w:p>
    <w:p>
      <w:pPr>
        <w:spacing w:after="0" w:line="54" w:lineRule="exact"/>
        <w:rPr>
          <w:rFonts w:ascii="Arial" w:cs="Arial" w:eastAsia="Arial" w:hAnsi="Arial"/>
          <w:sz w:val="18"/>
          <w:szCs w:val="18"/>
          <w:color w:val="auto"/>
        </w:rPr>
      </w:pPr>
    </w:p>
    <w:p>
      <w:pPr>
        <w:ind w:left="860" w:hanging="316"/>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Provisions for loan losses decreased $35 million:</w:t>
      </w:r>
    </w:p>
    <w:p>
      <w:pPr>
        <w:spacing w:after="0" w:line="63" w:lineRule="exact"/>
        <w:rPr>
          <w:rFonts w:ascii="Arial" w:cs="Arial" w:eastAsia="Arial" w:hAnsi="Arial"/>
          <w:sz w:val="18"/>
          <w:szCs w:val="18"/>
          <w:color w:val="auto"/>
        </w:rPr>
      </w:pPr>
    </w:p>
    <w:p>
      <w:pPr>
        <w:ind w:left="1740" w:right="180" w:hanging="426"/>
        <w:spacing w:after="0" w:line="246" w:lineRule="auto"/>
        <w:tabs>
          <w:tab w:leader="none" w:pos="1740" w:val="left"/>
        </w:tabs>
        <w:numPr>
          <w:ilvl w:val="1"/>
          <w:numId w:val="12"/>
        </w:numPr>
        <w:rPr>
          <w:rFonts w:ascii="Arial" w:cs="Arial" w:eastAsia="Arial" w:hAnsi="Arial"/>
          <w:sz w:val="15"/>
          <w:szCs w:val="15"/>
          <w:color w:val="auto"/>
        </w:rPr>
      </w:pPr>
      <w:r>
        <w:rPr>
          <w:rFonts w:ascii="Arial" w:cs="Arial" w:eastAsia="Arial" w:hAnsi="Arial"/>
          <w:sz w:val="18"/>
          <w:szCs w:val="18"/>
          <w:color w:val="auto"/>
        </w:rPr>
        <w:t>The provision for FFELP loan losses decreased $2 million. Loan delinquencies greater than 90 days decreased by $70 million. Outstanding FFELP Loans decreased $7.7 billion from the year-ago quarter.</w:t>
      </w:r>
    </w:p>
    <w:p>
      <w:pPr>
        <w:spacing w:after="0" w:line="48" w:lineRule="exact"/>
        <w:rPr>
          <w:rFonts w:ascii="Arial" w:cs="Arial" w:eastAsia="Arial" w:hAnsi="Arial"/>
          <w:sz w:val="15"/>
          <w:szCs w:val="15"/>
          <w:color w:val="auto"/>
        </w:rPr>
      </w:pPr>
    </w:p>
    <w:p>
      <w:pPr>
        <w:ind w:left="1740" w:right="300" w:hanging="426"/>
        <w:spacing w:after="0"/>
        <w:tabs>
          <w:tab w:leader="none" w:pos="1740" w:val="left"/>
        </w:tabs>
        <w:numPr>
          <w:ilvl w:val="1"/>
          <w:numId w:val="12"/>
        </w:numPr>
        <w:rPr>
          <w:rFonts w:ascii="Arial" w:cs="Arial" w:eastAsia="Arial" w:hAnsi="Arial"/>
          <w:sz w:val="15"/>
          <w:szCs w:val="15"/>
          <w:color w:val="auto"/>
        </w:rPr>
      </w:pPr>
      <w:r>
        <w:rPr>
          <w:rFonts w:ascii="Arial" w:cs="Arial" w:eastAsia="Arial" w:hAnsi="Arial"/>
          <w:sz w:val="18"/>
          <w:szCs w:val="18"/>
          <w:color w:val="auto"/>
        </w:rPr>
        <w:t>The provision for Private Education Loan losses decreased $33 million. Loan delinquencies greater than 90 days decreased by $175 million and forbearances decreased by $72 million compared with the year-ago quarter. Outstanding non-refinance Private Education Loans decreased $3.2 billion from the year-ago quarter.</w:t>
      </w:r>
    </w:p>
    <w:p>
      <w:pPr>
        <w:spacing w:after="0" w:line="54" w:lineRule="exact"/>
        <w:rPr>
          <w:rFonts w:ascii="Arial" w:cs="Arial" w:eastAsia="Arial" w:hAnsi="Arial"/>
          <w:sz w:val="15"/>
          <w:szCs w:val="15"/>
          <w:color w:val="auto"/>
        </w:rPr>
      </w:pPr>
    </w:p>
    <w:p>
      <w:pPr>
        <w:ind w:left="860" w:right="420" w:hanging="316"/>
        <w:spacing w:after="0" w:line="246"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Servicing revenue decreased $6 million primarily due to the natural paydown of the FFELP Loan portfolio serviced for third parties.</w:t>
      </w:r>
    </w:p>
    <w:p>
      <w:pPr>
        <w:spacing w:after="0" w:line="48" w:lineRule="exact"/>
        <w:rPr>
          <w:rFonts w:ascii="Arial" w:cs="Arial" w:eastAsia="Arial" w:hAnsi="Arial"/>
          <w:sz w:val="18"/>
          <w:szCs w:val="18"/>
          <w:color w:val="auto"/>
        </w:rPr>
      </w:pPr>
    </w:p>
    <w:p>
      <w:pPr>
        <w:ind w:left="860" w:hanging="316"/>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Asset recovery and business processing revenue increased by $7 million primarily due to higher account resolution.</w:t>
      </w:r>
    </w:p>
    <w:p>
      <w:pPr>
        <w:spacing w:after="0" w:line="63" w:lineRule="exact"/>
        <w:rPr>
          <w:rFonts w:ascii="Arial" w:cs="Arial" w:eastAsia="Arial" w:hAnsi="Arial"/>
          <w:sz w:val="18"/>
          <w:szCs w:val="18"/>
          <w:color w:val="auto"/>
        </w:rPr>
      </w:pPr>
    </w:p>
    <w:p>
      <w:pPr>
        <w:ind w:left="860" w:right="180" w:hanging="316"/>
        <w:spacing w:after="0" w:line="239"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income increased $21 million primarily due to a decrease in foreign currency translation losses. The foreign currency translation gains (losses) relate to a portion of our foreign currency denominated debt that does not receive hedge accounting treatment. These gains (losses) are partially offset by the “gains (losses) on derivative and hedging activities, net” line item on the income statement related to the derivatives used to economically hedge these debt instruments.</w:t>
      </w:r>
    </w:p>
    <w:p>
      <w:pPr>
        <w:spacing w:after="0" w:line="53" w:lineRule="exact"/>
        <w:rPr>
          <w:rFonts w:ascii="Arial" w:cs="Arial" w:eastAsia="Arial" w:hAnsi="Arial"/>
          <w:sz w:val="18"/>
          <w:szCs w:val="18"/>
          <w:color w:val="auto"/>
        </w:rPr>
      </w:pPr>
    </w:p>
    <w:p>
      <w:pPr>
        <w:ind w:left="860" w:right="340" w:hanging="316"/>
        <w:spacing w:after="0" w:line="246"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gains on debt repurchases decreased by $42 million. We repurchased $1.0 billion of debt at a $14 million loss in fourth-quarter 2019 compared to $1.4 billion repurchased at a $28 million gain in the year-ago period.</w:t>
      </w:r>
    </w:p>
    <w:p>
      <w:pPr>
        <w:spacing w:after="0" w:line="48" w:lineRule="exact"/>
        <w:rPr>
          <w:rFonts w:ascii="Arial" w:cs="Arial" w:eastAsia="Arial" w:hAnsi="Arial"/>
          <w:sz w:val="18"/>
          <w:szCs w:val="18"/>
          <w:color w:val="auto"/>
        </w:rPr>
      </w:pPr>
    </w:p>
    <w:p>
      <w:pPr>
        <w:ind w:left="860" w:right="40" w:hanging="316"/>
        <w:spacing w:after="0" w:line="238"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gains on derivative and hedging activities increased $91 million. The primary factors affecting the change were interest rate and foreign currency fluctuations, which impact the valuations of our Floor Income Contracts, basis swaps and foreign currency hedges during each period. Valuations of derivative instruments fluctuate based upon many factors including changes in interest rates, credit risk, foreign currency fluctuations and other market factors. As a result, net gains and losses on derivative and hedging activities may vary significantly in future periods.</w:t>
      </w:r>
    </w:p>
    <w:p>
      <w:pPr>
        <w:spacing w:after="0" w:line="54" w:lineRule="exact"/>
        <w:rPr>
          <w:rFonts w:ascii="Arial" w:cs="Arial" w:eastAsia="Arial" w:hAnsi="Arial"/>
          <w:sz w:val="18"/>
          <w:szCs w:val="18"/>
          <w:color w:val="auto"/>
        </w:rPr>
      </w:pPr>
    </w:p>
    <w:p>
      <w:pPr>
        <w:jc w:val="both"/>
        <w:ind w:left="860" w:right="600" w:hanging="316"/>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Excluding net regulatory-related costs of $(9) million and $8 million in the fourth quarters of 2019 and 2018, respectively, operating expenses remained unchanged at $244 million. Regulatory costs in the current period are net of $20 million in insurance reimbursements for covered costs related to such matters.</w:t>
      </w:r>
    </w:p>
    <w:p>
      <w:pPr>
        <w:spacing w:after="0" w:line="54" w:lineRule="exact"/>
        <w:rPr>
          <w:rFonts w:ascii="Arial" w:cs="Arial" w:eastAsia="Arial" w:hAnsi="Arial"/>
          <w:sz w:val="18"/>
          <w:szCs w:val="18"/>
          <w:color w:val="auto"/>
        </w:rPr>
      </w:pPr>
    </w:p>
    <w:p>
      <w:pPr>
        <w:jc w:val="both"/>
        <w:ind w:left="860" w:hanging="316"/>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the fourth quarters of 2019 and 2018, the Company incurred $2 million and $4 million, respectively, of restructuring/other reorganization expenses in connection with an effort to reduce costs and improve operating efficiency. These charges were due primarily to severance-related costs.</w:t>
      </w:r>
    </w:p>
    <w:p>
      <w:pPr>
        <w:spacing w:after="0" w:line="41"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We repurchased 5.8 million and 10.6 million shares of our common stock during the fourth quarters of 2019 and 2018, respectively. As a result of repurchases, our average outstanding diluted shares decreased by 35 million common shares (or 14%) from the year-ago period.</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020"/>
          </w:cols>
          <w:pgMar w:left="440" w:top="306" w:right="4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Year Ended December 31, 2019 Compared with Year Ended December 31, 2018</w:t>
      </w:r>
    </w:p>
    <w:p>
      <w:pPr>
        <w:spacing w:after="0" w:line="126"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For the year ended December 31, 2019, net income was $597 million, or $2.56 diluted earnings per common share, compared with net income of $395 million, or $1.49 diluted earnings per common share, for the year ended December 31, 2018.</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primary contributors to the change in net income are as follows:</w:t>
      </w:r>
    </w:p>
    <w:p>
      <w:pPr>
        <w:spacing w:after="0" w:line="63" w:lineRule="exact"/>
        <w:rPr>
          <w:sz w:val="20"/>
          <w:szCs w:val="20"/>
          <w:color w:val="auto"/>
        </w:rPr>
      </w:pPr>
    </w:p>
    <w:p>
      <w:pPr>
        <w:ind w:left="860" w:right="320" w:hanging="316"/>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interest income decreased by $55 million, primarily as a result of the continued natural paydown of the FFELP and non-refinance Private Education Loan portfolios, which was partially offset by the growth in the Private Education Refinance Loan portfolio and improved cost of funds primarily in the Private Education Loan portfolio.</w:t>
      </w:r>
    </w:p>
    <w:p>
      <w:pPr>
        <w:spacing w:after="0" w:line="54" w:lineRule="exact"/>
        <w:rPr>
          <w:rFonts w:ascii="Arial" w:cs="Arial" w:eastAsia="Arial" w:hAnsi="Arial"/>
          <w:sz w:val="18"/>
          <w:szCs w:val="18"/>
          <w:color w:val="auto"/>
        </w:rPr>
      </w:pPr>
    </w:p>
    <w:p>
      <w:pPr>
        <w:ind w:left="860" w:hanging="316"/>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Provisions for loan losses decreased $112 million:</w:t>
      </w:r>
    </w:p>
    <w:p>
      <w:pPr>
        <w:spacing w:after="0" w:line="63" w:lineRule="exact"/>
        <w:rPr>
          <w:rFonts w:ascii="Arial" w:cs="Arial" w:eastAsia="Arial" w:hAnsi="Arial"/>
          <w:sz w:val="18"/>
          <w:szCs w:val="18"/>
          <w:color w:val="auto"/>
        </w:rPr>
      </w:pPr>
    </w:p>
    <w:p>
      <w:pPr>
        <w:ind w:left="1740" w:right="140" w:hanging="426"/>
        <w:spacing w:after="0"/>
        <w:tabs>
          <w:tab w:leader="none" w:pos="1740" w:val="left"/>
        </w:tabs>
        <w:numPr>
          <w:ilvl w:val="1"/>
          <w:numId w:val="13"/>
        </w:numPr>
        <w:rPr>
          <w:rFonts w:ascii="Arial" w:cs="Arial" w:eastAsia="Arial" w:hAnsi="Arial"/>
          <w:sz w:val="15"/>
          <w:szCs w:val="15"/>
          <w:color w:val="auto"/>
        </w:rPr>
      </w:pPr>
      <w:r>
        <w:rPr>
          <w:rFonts w:ascii="Arial" w:cs="Arial" w:eastAsia="Arial" w:hAnsi="Arial"/>
          <w:sz w:val="18"/>
          <w:szCs w:val="18"/>
          <w:color w:val="auto"/>
        </w:rPr>
        <w:t>The provision for FFELP loan losses decreased $40 million primarily due to a higher temporary charge-off estimate in the year-ago period as a result of an elevated use of disaster forbearance at the end of 2017 and other factors. Outstanding FFELP Loans decreased $7.7 billion from the year-ago period.</w:t>
      </w:r>
    </w:p>
    <w:p>
      <w:pPr>
        <w:spacing w:after="0" w:line="54" w:lineRule="exact"/>
        <w:rPr>
          <w:rFonts w:ascii="Arial" w:cs="Arial" w:eastAsia="Arial" w:hAnsi="Arial"/>
          <w:sz w:val="15"/>
          <w:szCs w:val="15"/>
          <w:color w:val="auto"/>
        </w:rPr>
      </w:pPr>
    </w:p>
    <w:p>
      <w:pPr>
        <w:ind w:left="1740" w:right="300" w:hanging="426"/>
        <w:spacing w:after="0"/>
        <w:tabs>
          <w:tab w:leader="none" w:pos="1740" w:val="left"/>
        </w:tabs>
        <w:numPr>
          <w:ilvl w:val="1"/>
          <w:numId w:val="13"/>
        </w:numPr>
        <w:rPr>
          <w:rFonts w:ascii="Arial" w:cs="Arial" w:eastAsia="Arial" w:hAnsi="Arial"/>
          <w:sz w:val="15"/>
          <w:szCs w:val="15"/>
          <w:color w:val="auto"/>
        </w:rPr>
      </w:pPr>
      <w:r>
        <w:rPr>
          <w:rFonts w:ascii="Arial" w:cs="Arial" w:eastAsia="Arial" w:hAnsi="Arial"/>
          <w:sz w:val="18"/>
          <w:szCs w:val="18"/>
          <w:color w:val="auto"/>
        </w:rPr>
        <w:t>The provision for Private Education Loan losses decreased $73 million. Loan delinquencies greater than 90 days decreased by $175 million and forbearances decreased by $72 million compared with the year-ago period. Outstanding non-refinance Private Education Loans decreased $3.2 billion from the year-ago period.</w:t>
      </w:r>
    </w:p>
    <w:p>
      <w:pPr>
        <w:spacing w:after="0" w:line="54" w:lineRule="exact"/>
        <w:rPr>
          <w:rFonts w:ascii="Arial" w:cs="Arial" w:eastAsia="Arial" w:hAnsi="Arial"/>
          <w:sz w:val="15"/>
          <w:szCs w:val="15"/>
          <w:color w:val="auto"/>
        </w:rPr>
      </w:pPr>
    </w:p>
    <w:p>
      <w:pPr>
        <w:jc w:val="both"/>
        <w:ind w:left="860" w:right="40" w:hanging="316"/>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Servicing revenue decreased $34 million due to a $12 million gain on the sale of third-party guarantor servicing contracts in the year-ago period. The remaining decrease is primarily the result of the natural paydown of the FFELP Loan portfolio serviced for third parties.</w:t>
      </w:r>
    </w:p>
    <w:p>
      <w:pPr>
        <w:spacing w:after="0" w:line="54" w:lineRule="exact"/>
        <w:rPr>
          <w:rFonts w:ascii="Arial" w:cs="Arial" w:eastAsia="Arial" w:hAnsi="Arial"/>
          <w:sz w:val="18"/>
          <w:szCs w:val="18"/>
          <w:color w:val="auto"/>
        </w:rPr>
      </w:pPr>
    </w:p>
    <w:p>
      <w:pPr>
        <w:ind w:left="860" w:hanging="316"/>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Asset recovery and business processing revenue increased by $58 million due to higher account resolution.</w:t>
      </w:r>
    </w:p>
    <w:p>
      <w:pPr>
        <w:spacing w:after="0" w:line="63" w:lineRule="exact"/>
        <w:rPr>
          <w:rFonts w:ascii="Arial" w:cs="Arial" w:eastAsia="Arial" w:hAnsi="Arial"/>
          <w:sz w:val="18"/>
          <w:szCs w:val="18"/>
          <w:color w:val="auto"/>
        </w:rPr>
      </w:pPr>
    </w:p>
    <w:p>
      <w:pPr>
        <w:ind w:left="860" w:right="180" w:hanging="316"/>
        <w:spacing w:after="0" w:line="239"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income increased $28 million primarily due to a decrease in foreign currency translation losses. The foreign currency translation gains (losses) relate to a portion of our foreign currency denominated debt that does not receive hedge accounting treatment. These gains (losses) are partially offset by the “gains (losses) on derivative and hedging activities, net” line item on the income statement related to the derivatives used to economically hedge these debt instruments.</w:t>
      </w:r>
    </w:p>
    <w:p>
      <w:pPr>
        <w:spacing w:after="0" w:line="53" w:lineRule="exact"/>
        <w:rPr>
          <w:rFonts w:ascii="Arial" w:cs="Arial" w:eastAsia="Arial" w:hAnsi="Arial"/>
          <w:sz w:val="18"/>
          <w:szCs w:val="18"/>
          <w:color w:val="auto"/>
        </w:rPr>
      </w:pPr>
    </w:p>
    <w:p>
      <w:pPr>
        <w:ind w:left="860" w:right="300" w:hanging="316"/>
        <w:spacing w:after="0" w:line="246"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gains on sales of loans increased by $16 million, due to the $16 million gain on sale of $412 million of Private Education Refinance Loans in second-quarter 2019.</w:t>
      </w:r>
    </w:p>
    <w:p>
      <w:pPr>
        <w:spacing w:after="0" w:line="48" w:lineRule="exact"/>
        <w:rPr>
          <w:rFonts w:ascii="Arial" w:cs="Arial" w:eastAsia="Arial" w:hAnsi="Arial"/>
          <w:sz w:val="18"/>
          <w:szCs w:val="18"/>
          <w:color w:val="auto"/>
        </w:rPr>
      </w:pPr>
    </w:p>
    <w:p>
      <w:pPr>
        <w:ind w:left="860" w:right="240" w:hanging="316"/>
        <w:spacing w:after="0" w:line="246"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gains on debt repurchases increased by $26 million. We repurchased $1.2 billion of debt at a $45 million gain in the year ended December 31, 2019 compared to $2.8 billion repurchased at a $19 million gain in the year-ago period.</w:t>
      </w:r>
    </w:p>
    <w:p>
      <w:pPr>
        <w:spacing w:after="0" w:line="48" w:lineRule="exact"/>
        <w:rPr>
          <w:rFonts w:ascii="Arial" w:cs="Arial" w:eastAsia="Arial" w:hAnsi="Arial"/>
          <w:sz w:val="18"/>
          <w:szCs w:val="18"/>
          <w:color w:val="auto"/>
        </w:rPr>
      </w:pPr>
    </w:p>
    <w:p>
      <w:pPr>
        <w:ind w:left="860" w:right="40" w:hanging="316"/>
        <w:spacing w:after="0" w:line="238"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gains on derivative and hedging activities increased $60 million. The primary factors affecting the change were interest rate and foreign currency fluctuations, which impact the valuations of our Floor Income Contracts, basis swaps and foreign currency hedges during each period. Valuations of derivative instruments fluctuate based upon many factors including changes in interest rates, credit risk, foreign currency fluctuations and other market factors. As a result, net gains and losses on derivative and hedging activities may vary significantly in future periods.</w:t>
      </w:r>
    </w:p>
    <w:p>
      <w:pPr>
        <w:spacing w:after="0" w:line="54" w:lineRule="exact"/>
        <w:rPr>
          <w:rFonts w:ascii="Arial" w:cs="Arial" w:eastAsia="Arial" w:hAnsi="Arial"/>
          <w:sz w:val="18"/>
          <w:szCs w:val="18"/>
          <w:color w:val="auto"/>
        </w:rPr>
      </w:pPr>
    </w:p>
    <w:p>
      <w:pPr>
        <w:ind w:left="860" w:right="20" w:hanging="316"/>
        <w:spacing w:after="0" w:line="236"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Excluding net regulatory-related costs of $6 million and $29 million, respectively, operating expenses were $978 million and $955 million in the years ended December 31, 2019 and 2018, respectively. On an adjusted basis, expenses were $25 million lower primarily as a result of ongoing cost-saving initiatives across the Company. Adjusted 2019 expenses exclude $13 million of costs associated with proxy contest matters and $20 million of transition services costs. Adjusted 2018 expenses exclude the release of a $40 million reserve related to the resolution of a contingency, a $9 million one-time fee paid to convert $3 billion of Private Education Loans from a third-party servicer to Navient’s servicing platform and $16 million of transition services costs. Regulatory costs in the current year are net of $30 million in insurance reimbursements for covered costs related to such matters.</w:t>
      </w:r>
    </w:p>
    <w:p>
      <w:pPr>
        <w:spacing w:after="0" w:line="59" w:lineRule="exact"/>
        <w:rPr>
          <w:rFonts w:ascii="Arial" w:cs="Arial" w:eastAsia="Arial" w:hAnsi="Arial"/>
          <w:sz w:val="18"/>
          <w:szCs w:val="18"/>
          <w:color w:val="auto"/>
        </w:rPr>
      </w:pPr>
    </w:p>
    <w:p>
      <w:pPr>
        <w:ind w:left="860" w:right="300" w:hanging="316"/>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Acquired intangible asset impairment and amortization expense decreased $17 million primarily as the result of the notice of termination of a contract in our government services reporting unit in the year-ago period which resulted in $16 million of impairment on the related intangible asset.</w:t>
      </w:r>
    </w:p>
    <w:p>
      <w:pPr>
        <w:spacing w:after="0" w:line="54" w:lineRule="exact"/>
        <w:rPr>
          <w:rFonts w:ascii="Arial" w:cs="Arial" w:eastAsia="Arial" w:hAnsi="Arial"/>
          <w:sz w:val="18"/>
          <w:szCs w:val="18"/>
          <w:color w:val="auto"/>
        </w:rPr>
      </w:pPr>
    </w:p>
    <w:p>
      <w:pPr>
        <w:ind w:left="860" w:hanging="316"/>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the years ended December 31, 2019 and 2018, the Company incurred $6 million and $13 million, respectively, of restructuring/other reorganization expenses in connection with an effort to reduce costs and improve operating efficiency. These charges were due primarily to severance-related costs.</w:t>
      </w:r>
    </w:p>
    <w:p>
      <w:pPr>
        <w:spacing w:after="0" w:line="41"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We repurchased 34.5 million and 17.4 million shares of our common stock during the years ended December 31, 2019 and 2018, respectively. As a result of repurchases, our average outstanding diluted shares decreased by 31 million common shares (or 12%) from the year-ago period.</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020"/>
          </w:cols>
          <w:pgMar w:left="440" w:top="265" w:right="439" w:bottom="1440" w:gutter="0" w:footer="0" w:header="0"/>
        </w:sectPr>
      </w:pPr>
    </w:p>
    <w:bookmarkStart w:id="16" w:name="page17"/>
    <w:bookmarkEnd w:id="16"/>
    <w:p>
      <w:pPr>
        <w:ind w:left="10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6997700"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7700" cy="188595"/>
                    </a:xfrm>
                    <a:prstGeom prst="rect">
                      <a:avLst/>
                    </a:prstGeom>
                    <a:noFill/>
                  </pic:spPr>
                </pic:pic>
              </a:graphicData>
            </a:graphic>
          </wp:anchor>
        </w:drawing>
        <w:t>NON-GAAP FINANCIAL MEASURES</w:t>
      </w:r>
    </w:p>
    <w:p>
      <w:pPr>
        <w:spacing w:after="0" w:line="180" w:lineRule="exact"/>
        <w:rPr>
          <w:sz w:val="20"/>
          <w:szCs w:val="20"/>
          <w:color w:val="auto"/>
        </w:rPr>
      </w:pPr>
    </w:p>
    <w:p>
      <w:pPr>
        <w:ind w:right="520"/>
        <w:spacing w:after="0"/>
        <w:rPr>
          <w:sz w:val="20"/>
          <w:szCs w:val="20"/>
          <w:color w:val="auto"/>
        </w:rPr>
      </w:pPr>
      <w:r>
        <w:rPr>
          <w:rFonts w:ascii="Arial" w:cs="Arial" w:eastAsia="Arial" w:hAnsi="Arial"/>
          <w:sz w:val="18"/>
          <w:szCs w:val="18"/>
          <w:color w:val="auto"/>
        </w:rPr>
        <w:t>In addition to financial results reported on a GAAP basis, Navient also provides certain performance measures which are non-GAAP financial measures. The following non-GAAP financial measures are presented within this Earnings Release: (1) Core Earnings, (2) Tangible Net Asset Ratio and (3) EBITDA for the Business Processing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Core Earnings</w:t>
      </w:r>
    </w:p>
    <w:p>
      <w:pPr>
        <w:spacing w:after="0" w:line="12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prepare financial statements and present financial results in accordance with GAAP. However, we also evaluate our business segments and present financial results on a basis that differs from GAAP. We refer to this different basis of presentation as Core Earnings. We provide this Core Earnings basis of presentation on a consolidated basis and for each business segment because this is what we review internally when making management decisions regarding our performance and how we allocate resources. We also refer to this information in our presentations with credit rating agencies, lenders and investors. Because our Core Earnings basis of presentation corresponds to our segment financial presentations, we are required by GAAP to provide Core Earnings disclosure in the notes to our consolidated financial statements for our business segments.</w:t>
      </w:r>
    </w:p>
    <w:p>
      <w:pPr>
        <w:spacing w:after="0" w:line="9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Core Earnings are not a substitute for reported results under GAAP. We use Core Earnings to manage our business segments because Core Earnings reflect adjustments to GAAP financial results for two items, discussed below, that can create significant volatility mostly due to timing factors generally beyond the control of management. Accordingly, we believe that Core Earnings provide management with a useful basis from which to better evaluate results from ongoing operations against the business plan or against results from prior periods. Consequently, we disclose this information because we believe it provides investors with additional information regarding the operational and performance indicators that are most closely assessed by management. When compared to GAAP results, the two items we remove to result in our Core Earnings presentations are:</w:t>
      </w:r>
    </w:p>
    <w:p>
      <w:pPr>
        <w:spacing w:after="0" w:line="109" w:lineRule="exact"/>
        <w:rPr>
          <w:sz w:val="20"/>
          <w:szCs w:val="20"/>
          <w:color w:val="auto"/>
        </w:rPr>
      </w:pPr>
    </w:p>
    <w:p>
      <w:pPr>
        <w:ind w:left="1200" w:hanging="656"/>
        <w:spacing w:after="0" w:line="246"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Mark-to-market gains/losses resulting from our use of derivative instruments to hedge our economic risks that do not qualify for hedge accounting treatment or do qualify for hedge accounting treatment but result in ineffectiveness; and</w:t>
      </w:r>
    </w:p>
    <w:p>
      <w:pPr>
        <w:spacing w:after="0" w:line="102" w:lineRule="exact"/>
        <w:rPr>
          <w:rFonts w:ascii="Arial" w:cs="Arial" w:eastAsia="Arial" w:hAnsi="Arial"/>
          <w:sz w:val="18"/>
          <w:szCs w:val="18"/>
          <w:color w:val="auto"/>
        </w:rPr>
      </w:pPr>
    </w:p>
    <w:p>
      <w:pPr>
        <w:ind w:left="1200" w:hanging="656"/>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accounting for goodwill and acquired intangible assets.</w:t>
      </w:r>
    </w:p>
    <w:p>
      <w:pPr>
        <w:spacing w:after="0" w:line="10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While GAAP provides a uniform, comprehensive basis of accounting, for the reasons described above, our Core Earnings basis of presentation does not. Core Earnings are subject to certain general and specific limitations that investors should carefully consider. For example, there is no comprehensive, authoritative guidance for management reporting. Our Core Earnings are not defined terms within GAAP and may not be comparable to similarly titled measures reported by other companies. Accordingly, our Core Earnings presentation does not represent a comprehensive basis of accounting. Investors, therefore, may not be able to compare our performance with that of other financial services companies based upon Core Earnings. Core Earnings results are only meant to supplement GAAP results by providing additional information regarding the operational and performance indicators that are most closely used by management, our board of directors, credit rating agencies, lenders and investors to assess performance.</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020"/>
          </w:cols>
          <w:pgMar w:left="440" w:top="306" w:right="439" w:bottom="1440" w:gutter="0" w:footer="0" w:header="0"/>
        </w:sectPr>
      </w:pPr>
    </w:p>
    <w:bookmarkStart w:id="17" w:name="page18"/>
    <w:bookmarkEnd w:id="17"/>
    <w:p>
      <w:pPr>
        <w:ind w:right="260"/>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tables show Core Earnings for each reportable segment and our business as a whole along with the adjustments made to the income/expense items to reconcile the amounts to our reported GAAP results as required by GAAP.</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20" w:type="dxa"/>
            <w:vAlign w:val="bottom"/>
            <w:gridSpan w:val="11"/>
          </w:tcPr>
          <w:p>
            <w:pPr>
              <w:jc w:val="right"/>
              <w:ind w:right="295"/>
              <w:spacing w:after="0"/>
              <w:rPr>
                <w:sz w:val="20"/>
                <w:szCs w:val="20"/>
                <w:color w:val="auto"/>
              </w:rPr>
            </w:pPr>
            <w:r>
              <w:rPr>
                <w:rFonts w:ascii="Arial" w:cs="Arial" w:eastAsia="Arial" w:hAnsi="Arial"/>
                <w:sz w:val="14"/>
                <w:szCs w:val="14"/>
                <w:b w:val="1"/>
                <w:bCs w:val="1"/>
                <w:color w:val="auto"/>
              </w:rPr>
              <w:t>QUARTER ENDED DECEMBER 31, 2019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auto"/>
                <w:w w:val="98"/>
              </w:rPr>
              <w:t>Federal</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109"/>
              <w:spacing w:after="0"/>
              <w:rPr>
                <w:sz w:val="20"/>
                <w:szCs w:val="20"/>
                <w:color w:val="auto"/>
              </w:rPr>
            </w:pPr>
            <w:r>
              <w:rPr>
                <w:rFonts w:ascii="Arial" w:cs="Arial" w:eastAsia="Arial" w:hAnsi="Arial"/>
                <w:sz w:val="12"/>
                <w:szCs w:val="12"/>
                <w:b w:val="1"/>
                <w:bCs w:val="1"/>
                <w:color w:val="auto"/>
                <w:w w:val="97"/>
              </w:rPr>
              <w:t>Total</w:t>
            </w:r>
          </w:p>
        </w:tc>
        <w:tc>
          <w:tcPr>
            <w:tcW w:w="2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4"/>
          </w:tcPr>
          <w:p>
            <w:pPr>
              <w:jc w:val="right"/>
              <w:ind w:right="37"/>
              <w:spacing w:after="0"/>
              <w:rPr>
                <w:sz w:val="20"/>
                <w:szCs w:val="20"/>
                <w:color w:val="auto"/>
              </w:rPr>
            </w:pPr>
            <w:r>
              <w:rPr>
                <w:rFonts w:ascii="Arial" w:cs="Arial" w:eastAsia="Arial" w:hAnsi="Arial"/>
                <w:sz w:val="12"/>
                <w:szCs w:val="12"/>
                <w:b w:val="1"/>
                <w:bCs w:val="1"/>
                <w:color w:val="auto"/>
              </w:rPr>
              <w:t>Adjustments</w:t>
            </w:r>
          </w:p>
        </w:tc>
        <w:tc>
          <w:tcPr>
            <w:tcW w:w="2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0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(Dollars in millions)</w:t>
            </w:r>
          </w:p>
        </w:tc>
        <w:tc>
          <w:tcPr>
            <w:tcW w:w="980" w:type="dxa"/>
            <w:vAlign w:val="bottom"/>
            <w:gridSpan w:val="4"/>
          </w:tcPr>
          <w:p>
            <w:pPr>
              <w:jc w:val="center"/>
              <w:ind w:right="40"/>
              <w:spacing w:after="0" w:line="117" w:lineRule="exact"/>
              <w:rPr>
                <w:sz w:val="20"/>
                <w:szCs w:val="20"/>
                <w:color w:val="auto"/>
              </w:rPr>
            </w:pPr>
            <w:r>
              <w:rPr>
                <w:rFonts w:ascii="Arial" w:cs="Arial" w:eastAsia="Arial" w:hAnsi="Arial"/>
                <w:sz w:val="12"/>
                <w:szCs w:val="12"/>
                <w:b w:val="1"/>
                <w:bCs w:val="1"/>
                <w:color w:val="auto"/>
                <w:w w:val="99"/>
              </w:rPr>
              <w:t>Education</w:t>
            </w:r>
          </w:p>
        </w:tc>
        <w:tc>
          <w:tcPr>
            <w:tcW w:w="600" w:type="dxa"/>
            <w:vAlign w:val="bottom"/>
            <w:gridSpan w:val="3"/>
          </w:tcPr>
          <w:p>
            <w:pPr>
              <w:jc w:val="right"/>
              <w:spacing w:after="0" w:line="117" w:lineRule="exact"/>
              <w:rPr>
                <w:sz w:val="20"/>
                <w:szCs w:val="20"/>
                <w:color w:val="auto"/>
              </w:rPr>
            </w:pPr>
            <w:r>
              <w:rPr>
                <w:rFonts w:ascii="Arial" w:cs="Arial" w:eastAsia="Arial" w:hAnsi="Arial"/>
                <w:sz w:val="12"/>
                <w:szCs w:val="12"/>
                <w:b w:val="1"/>
                <w:bCs w:val="1"/>
                <w:color w:val="auto"/>
                <w:w w:val="94"/>
              </w:rPr>
              <w:t>Consumer</w:t>
            </w:r>
          </w:p>
        </w:tc>
        <w:tc>
          <w:tcPr>
            <w:tcW w:w="220" w:type="dxa"/>
            <w:vAlign w:val="bottom"/>
          </w:tcPr>
          <w:p>
            <w:pPr>
              <w:spacing w:after="0"/>
              <w:rPr>
                <w:sz w:val="10"/>
                <w:szCs w:val="10"/>
                <w:color w:val="auto"/>
              </w:rPr>
            </w:pPr>
          </w:p>
        </w:tc>
        <w:tc>
          <w:tcPr>
            <w:tcW w:w="640" w:type="dxa"/>
            <w:vAlign w:val="bottom"/>
            <w:gridSpan w:val="2"/>
          </w:tcPr>
          <w:p>
            <w:pPr>
              <w:ind w:left="60"/>
              <w:spacing w:after="0" w:line="117" w:lineRule="exact"/>
              <w:rPr>
                <w:sz w:val="20"/>
                <w:szCs w:val="20"/>
                <w:color w:val="auto"/>
              </w:rPr>
            </w:pPr>
            <w:r>
              <w:rPr>
                <w:rFonts w:ascii="Arial" w:cs="Arial" w:eastAsia="Arial" w:hAnsi="Arial"/>
                <w:sz w:val="12"/>
                <w:szCs w:val="12"/>
                <w:b w:val="1"/>
                <w:bCs w:val="1"/>
                <w:color w:val="auto"/>
              </w:rPr>
              <w:t>Business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ind w:right="109"/>
              <w:spacing w:after="0" w:line="117" w:lineRule="exact"/>
              <w:rPr>
                <w:sz w:val="20"/>
                <w:szCs w:val="20"/>
                <w:color w:val="auto"/>
              </w:rPr>
            </w:pPr>
            <w:r>
              <w:rPr>
                <w:rFonts w:ascii="Arial" w:cs="Arial" w:eastAsia="Arial" w:hAnsi="Arial"/>
                <w:sz w:val="12"/>
                <w:szCs w:val="12"/>
                <w:b w:val="1"/>
                <w:bCs w:val="1"/>
                <w:color w:val="auto"/>
              </w:rPr>
              <w:t>Core</w:t>
            </w: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3"/>
          </w:tcPr>
          <w:p>
            <w:pPr>
              <w:jc w:val="right"/>
              <w:ind w:right="57"/>
              <w:spacing w:after="0" w:line="117" w:lineRule="exact"/>
              <w:rPr>
                <w:sz w:val="20"/>
                <w:szCs w:val="20"/>
                <w:color w:val="auto"/>
              </w:rPr>
            </w:pPr>
            <w:r>
              <w:rPr>
                <w:rFonts w:ascii="Arial" w:cs="Arial" w:eastAsia="Arial" w:hAnsi="Arial"/>
                <w:sz w:val="12"/>
                <w:szCs w:val="12"/>
                <w:b w:val="1"/>
                <w:bCs w:val="1"/>
                <w:color w:val="auto"/>
              </w:rPr>
              <w:t>Additions/</w:t>
            </w:r>
          </w:p>
        </w:tc>
        <w:tc>
          <w:tcPr>
            <w:tcW w:w="240" w:type="dxa"/>
            <w:vAlign w:val="bottom"/>
          </w:tcPr>
          <w:p>
            <w:pPr>
              <w:spacing w:after="0"/>
              <w:rPr>
                <w:sz w:val="10"/>
                <w:szCs w:val="10"/>
                <w:color w:val="auto"/>
              </w:rPr>
            </w:pPr>
          </w:p>
        </w:tc>
        <w:tc>
          <w:tcPr>
            <w:tcW w:w="840" w:type="dxa"/>
            <w:vAlign w:val="bottom"/>
            <w:gridSpan w:val="3"/>
          </w:tcPr>
          <w:p>
            <w:pPr>
              <w:jc w:val="right"/>
              <w:ind w:right="229"/>
              <w:spacing w:after="0" w:line="117" w:lineRule="exact"/>
              <w:rPr>
                <w:sz w:val="20"/>
                <w:szCs w:val="20"/>
                <w:color w:val="auto"/>
              </w:rPr>
            </w:pPr>
            <w:r>
              <w:rPr>
                <w:rFonts w:ascii="Arial" w:cs="Arial" w:eastAsia="Arial" w:hAnsi="Arial"/>
                <w:sz w:val="12"/>
                <w:szCs w:val="12"/>
                <w:b w:val="1"/>
                <w:bCs w:val="1"/>
                <w:color w:val="auto"/>
              </w:rPr>
              <w:t>Total</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jc w:val="center"/>
              <w:ind w:right="180"/>
              <w:spacing w:after="0" w:line="117"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47"/>
        </w:trPr>
        <w:tc>
          <w:tcPr>
            <w:tcW w:w="280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auto"/>
                <w:w w:val="96"/>
              </w:rPr>
              <w:t>Loans</w:t>
            </w:r>
          </w:p>
        </w:tc>
        <w:tc>
          <w:tcPr>
            <w:tcW w:w="20" w:type="dxa"/>
            <w:vAlign w:val="bottom"/>
          </w:tcPr>
          <w:p>
            <w:pPr>
              <w:spacing w:after="0"/>
              <w:rPr>
                <w:sz w:val="12"/>
                <w:szCs w:val="12"/>
                <w:color w:val="auto"/>
              </w:rPr>
            </w:pPr>
          </w:p>
        </w:tc>
        <w:tc>
          <w:tcPr>
            <w:tcW w:w="580" w:type="dxa"/>
            <w:vAlign w:val="bottom"/>
            <w:gridSpan w:val="2"/>
          </w:tcPr>
          <w:p>
            <w:pPr>
              <w:jc w:val="right"/>
              <w:ind w:right="8"/>
              <w:spacing w:after="0"/>
              <w:rPr>
                <w:sz w:val="20"/>
                <w:szCs w:val="20"/>
                <w:color w:val="auto"/>
              </w:rPr>
            </w:pPr>
            <w:r>
              <w:rPr>
                <w:rFonts w:ascii="Arial" w:cs="Arial" w:eastAsia="Arial" w:hAnsi="Arial"/>
                <w:sz w:val="12"/>
                <w:szCs w:val="12"/>
                <w:b w:val="1"/>
                <w:bCs w:val="1"/>
                <w:color w:val="auto"/>
              </w:rPr>
              <w:t>Lending</w:t>
            </w:r>
          </w:p>
        </w:tc>
        <w:tc>
          <w:tcPr>
            <w:tcW w:w="860" w:type="dxa"/>
            <w:vAlign w:val="bottom"/>
            <w:gridSpan w:val="3"/>
          </w:tcPr>
          <w:p>
            <w:pPr>
              <w:jc w:val="right"/>
              <w:spacing w:after="0"/>
              <w:rPr>
                <w:sz w:val="20"/>
                <w:szCs w:val="20"/>
                <w:color w:val="auto"/>
              </w:rPr>
            </w:pPr>
            <w:r>
              <w:rPr>
                <w:rFonts w:ascii="Arial" w:cs="Arial" w:eastAsia="Arial" w:hAnsi="Arial"/>
                <w:sz w:val="12"/>
                <w:szCs w:val="12"/>
                <w:b w:val="1"/>
                <w:bCs w:val="1"/>
                <w:color w:val="auto"/>
              </w:rPr>
              <w:t>Processing</w:t>
            </w:r>
          </w:p>
        </w:tc>
        <w:tc>
          <w:tcPr>
            <w:tcW w:w="220" w:type="dxa"/>
            <w:vAlign w:val="bottom"/>
          </w:tcPr>
          <w:p>
            <w:pPr>
              <w:spacing w:after="0"/>
              <w:rPr>
                <w:sz w:val="12"/>
                <w:szCs w:val="12"/>
                <w:color w:val="auto"/>
              </w:rPr>
            </w:pPr>
          </w:p>
        </w:tc>
        <w:tc>
          <w:tcPr>
            <w:tcW w:w="540" w:type="dxa"/>
            <w:vAlign w:val="bottom"/>
            <w:gridSpan w:val="2"/>
          </w:tcPr>
          <w:p>
            <w:pPr>
              <w:jc w:val="right"/>
              <w:ind w:right="48"/>
              <w:spacing w:after="0"/>
              <w:rPr>
                <w:sz w:val="20"/>
                <w:szCs w:val="20"/>
                <w:color w:val="auto"/>
              </w:rPr>
            </w:pPr>
            <w:r>
              <w:rPr>
                <w:rFonts w:ascii="Arial" w:cs="Arial" w:eastAsia="Arial" w:hAnsi="Arial"/>
                <w:sz w:val="12"/>
                <w:szCs w:val="12"/>
                <w:b w:val="1"/>
                <w:bCs w:val="1"/>
                <w:color w:val="auto"/>
              </w:rPr>
              <w:t>Other</w:t>
            </w:r>
          </w:p>
        </w:tc>
        <w:tc>
          <w:tcPr>
            <w:tcW w:w="240" w:type="dxa"/>
            <w:vAlign w:val="bottom"/>
          </w:tcPr>
          <w:p>
            <w:pPr>
              <w:spacing w:after="0"/>
              <w:rPr>
                <w:sz w:val="12"/>
                <w:szCs w:val="12"/>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Earnings</w:t>
            </w:r>
          </w:p>
        </w:tc>
        <w:tc>
          <w:tcPr>
            <w:tcW w:w="1200" w:type="dxa"/>
            <w:vAlign w:val="bottom"/>
            <w:gridSpan w:val="5"/>
          </w:tcPr>
          <w:p>
            <w:pPr>
              <w:jc w:val="right"/>
              <w:spacing w:after="0"/>
              <w:rPr>
                <w:sz w:val="20"/>
                <w:szCs w:val="20"/>
                <w:color w:val="auto"/>
              </w:rPr>
            </w:pPr>
            <w:r>
              <w:rPr>
                <w:rFonts w:ascii="Arial" w:cs="Arial" w:eastAsia="Arial" w:hAnsi="Arial"/>
                <w:sz w:val="12"/>
                <w:szCs w:val="12"/>
                <w:b w:val="1"/>
                <w:bCs w:val="1"/>
                <w:color w:val="auto"/>
              </w:rPr>
              <w:t>Reclassifications</w:t>
            </w:r>
          </w:p>
        </w:tc>
        <w:tc>
          <w:tcPr>
            <w:tcW w:w="1020" w:type="dxa"/>
            <w:vAlign w:val="bottom"/>
            <w:gridSpan w:val="4"/>
          </w:tcPr>
          <w:p>
            <w:pPr>
              <w:jc w:val="right"/>
              <w:spacing w:after="0"/>
              <w:rPr>
                <w:sz w:val="20"/>
                <w:szCs w:val="20"/>
                <w:color w:val="auto"/>
              </w:rPr>
            </w:pPr>
            <w:r>
              <w:rPr>
                <w:rFonts w:ascii="Arial" w:cs="Arial" w:eastAsia="Arial" w:hAnsi="Arial"/>
                <w:sz w:val="12"/>
                <w:szCs w:val="12"/>
                <w:b w:val="1"/>
                <w:bCs w:val="1"/>
                <w:color w:val="auto"/>
              </w:rPr>
              <w:t>(Subtractions)</w:t>
            </w:r>
          </w:p>
        </w:tc>
        <w:tc>
          <w:tcPr>
            <w:tcW w:w="1080" w:type="dxa"/>
            <w:vAlign w:val="bottom"/>
            <w:gridSpan w:val="4"/>
          </w:tcPr>
          <w:p>
            <w:pPr>
              <w:jc w:val="right"/>
              <w:spacing w:after="0"/>
              <w:rPr>
                <w:sz w:val="20"/>
                <w:szCs w:val="20"/>
                <w:color w:val="auto"/>
              </w:rPr>
            </w:pPr>
            <w:r>
              <w:rPr>
                <w:rFonts w:ascii="Arial" w:cs="Arial" w:eastAsia="Arial" w:hAnsi="Arial"/>
                <w:sz w:val="12"/>
                <w:szCs w:val="12"/>
                <w:b w:val="1"/>
                <w:bCs w:val="1"/>
                <w:color w:val="auto"/>
              </w:rPr>
              <w:t>Adjustments</w:t>
            </w:r>
            <w:r>
              <w:rPr>
                <w:rFonts w:ascii="Arial" w:cs="Arial" w:eastAsia="Arial" w:hAnsi="Arial"/>
                <w:sz w:val="9"/>
                <w:szCs w:val="9"/>
                <w:b w:val="1"/>
                <w:bCs w:val="1"/>
                <w:color w:val="auto"/>
              </w:rPr>
              <w:t>(1)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2"/>
              </w:rPr>
              <w:t>GAAP</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80" w:type="dxa"/>
            <w:vAlign w:val="bottom"/>
            <w:tcBorders>
              <w:top w:val="single" w:sz="8" w:color="auto"/>
            </w:tcBorders>
            <w:gridSpan w:val="3"/>
            <w:shd w:val="clear" w:color="auto" w:fill="CCEEFF"/>
          </w:tcPr>
          <w:p>
            <w:pPr>
              <w:spacing w:after="0" w:line="155" w:lineRule="exact"/>
              <w:rPr>
                <w:sz w:val="20"/>
                <w:szCs w:val="20"/>
                <w:color w:val="auto"/>
              </w:rPr>
            </w:pPr>
            <w:r>
              <w:rPr>
                <w:rFonts w:ascii="Arial" w:cs="Arial" w:eastAsia="Arial" w:hAnsi="Arial"/>
                <w:sz w:val="14"/>
                <w:szCs w:val="14"/>
                <w:color w:val="auto"/>
              </w:rPr>
              <w:t>Interest income:</w:t>
            </w:r>
          </w:p>
        </w:tc>
        <w:tc>
          <w:tcPr>
            <w:tcW w:w="2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right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80" w:type="dxa"/>
            <w:vAlign w:val="bottom"/>
            <w:gridSpan w:val="3"/>
          </w:tcPr>
          <w:p>
            <w:pPr>
              <w:ind w:left="200"/>
              <w:spacing w:after="0"/>
              <w:rPr>
                <w:sz w:val="20"/>
                <w:szCs w:val="20"/>
                <w:color w:val="auto"/>
              </w:rPr>
            </w:pPr>
            <w:r>
              <w:rPr>
                <w:rFonts w:ascii="Arial" w:cs="Arial" w:eastAsia="Arial" w:hAnsi="Arial"/>
                <w:sz w:val="14"/>
                <w:szCs w:val="14"/>
                <w:color w:val="auto"/>
              </w:rPr>
              <w:t>Education loans</w:t>
            </w:r>
          </w:p>
        </w:tc>
        <w:tc>
          <w:tcPr>
            <w:tcW w:w="420" w:type="dxa"/>
            <w:vAlign w:val="bottom"/>
            <w:gridSpan w:val="2"/>
          </w:tcPr>
          <w:p>
            <w:pPr>
              <w:jc w:val="right"/>
              <w:ind w:right="62"/>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649</w:t>
            </w:r>
          </w:p>
        </w:tc>
        <w:tc>
          <w:tcPr>
            <w:tcW w:w="220" w:type="dxa"/>
            <w:vAlign w:val="bottom"/>
          </w:tcPr>
          <w:p>
            <w:pPr>
              <w:spacing w:after="0"/>
              <w:rPr>
                <w:sz w:val="14"/>
                <w:szCs w:val="14"/>
                <w:color w:val="auto"/>
              </w:rPr>
            </w:pPr>
          </w:p>
        </w:tc>
        <w:tc>
          <w:tcPr>
            <w:tcW w:w="200" w:type="dxa"/>
            <w:vAlign w:val="bottom"/>
            <w:gridSpan w:val="2"/>
          </w:tcPr>
          <w:p>
            <w:pPr>
              <w:jc w:val="right"/>
              <w:ind w:right="22"/>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414</w:t>
            </w:r>
          </w:p>
        </w:tc>
        <w:tc>
          <w:tcPr>
            <w:tcW w:w="5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49"/>
              <w:spacing w:after="0"/>
              <w:rPr>
                <w:sz w:val="20"/>
                <w:szCs w:val="20"/>
                <w:color w:val="auto"/>
              </w:rPr>
            </w:pPr>
            <w:r>
              <w:rPr>
                <w:rFonts w:ascii="Arial" w:cs="Arial" w:eastAsia="Arial" w:hAnsi="Arial"/>
                <w:sz w:val="14"/>
                <w:szCs w:val="14"/>
                <w:color w:val="auto"/>
                <w:w w:val="96"/>
              </w:rPr>
              <w:t>1,063</w:t>
            </w:r>
          </w:p>
        </w:tc>
        <w:tc>
          <w:tcPr>
            <w:tcW w:w="6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560" w:type="dxa"/>
            <w:vAlign w:val="bottom"/>
            <w:gridSpan w:val="3"/>
          </w:tcPr>
          <w:p>
            <w:pPr>
              <w:jc w:val="right"/>
              <w:ind w:right="77"/>
              <w:spacing w:after="0"/>
              <w:rPr>
                <w:sz w:val="20"/>
                <w:szCs w:val="20"/>
                <w:color w:val="auto"/>
              </w:rPr>
            </w:pPr>
            <w:r>
              <w:rPr>
                <w:rFonts w:ascii="Arial" w:cs="Arial" w:eastAsia="Arial" w:hAnsi="Arial"/>
                <w:sz w:val="14"/>
                <w:szCs w:val="14"/>
                <w:color w:val="auto"/>
              </w:rPr>
              <w:t>4</w:t>
            </w:r>
          </w:p>
        </w:tc>
        <w:tc>
          <w:tcPr>
            <w:tcW w:w="660" w:type="dxa"/>
            <w:vAlign w:val="bottom"/>
            <w:gridSpan w:val="2"/>
          </w:tcPr>
          <w:p>
            <w:pPr>
              <w:jc w:val="right"/>
              <w:ind w:right="255"/>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17"/>
              <w:spacing w:after="0"/>
              <w:rPr>
                <w:sz w:val="20"/>
                <w:szCs w:val="20"/>
                <w:color w:val="auto"/>
              </w:rPr>
            </w:pPr>
            <w:r>
              <w:rPr>
                <w:rFonts w:ascii="Arial" w:cs="Arial" w:eastAsia="Arial" w:hAnsi="Arial"/>
                <w:sz w:val="14"/>
                <w:szCs w:val="14"/>
                <w:color w:val="auto"/>
              </w:rPr>
              <w:t>(17)</w:t>
            </w:r>
          </w:p>
        </w:tc>
        <w:tc>
          <w:tcPr>
            <w:tcW w:w="620" w:type="dxa"/>
            <w:vAlign w:val="bottom"/>
            <w:gridSpan w:val="2"/>
          </w:tcPr>
          <w:p>
            <w:pPr>
              <w:jc w:val="right"/>
              <w:ind w:right="193"/>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9"/>
              <w:spacing w:after="0"/>
              <w:rPr>
                <w:sz w:val="20"/>
                <w:szCs w:val="20"/>
                <w:color w:val="auto"/>
              </w:rPr>
            </w:pPr>
            <w:r>
              <w:rPr>
                <w:rFonts w:ascii="Arial" w:cs="Arial" w:eastAsia="Arial" w:hAnsi="Arial"/>
                <w:sz w:val="14"/>
                <w:szCs w:val="14"/>
                <w:color w:val="auto"/>
              </w:rPr>
              <w:t>(13)</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69"/>
              <w:spacing w:after="0"/>
              <w:rPr>
                <w:sz w:val="20"/>
                <w:szCs w:val="20"/>
                <w:color w:val="auto"/>
              </w:rPr>
            </w:pPr>
            <w:r>
              <w:rPr>
                <w:rFonts w:ascii="Arial" w:cs="Arial" w:eastAsia="Arial" w:hAnsi="Arial"/>
                <w:sz w:val="14"/>
                <w:szCs w:val="14"/>
                <w:color w:val="auto"/>
                <w:w w:val="96"/>
              </w:rPr>
              <w:t>1,050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Other loans</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77"/>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780" w:type="dxa"/>
            <w:vAlign w:val="bottom"/>
            <w:gridSpan w:val="3"/>
          </w:tcPr>
          <w:p>
            <w:pPr>
              <w:ind w:left="200"/>
              <w:spacing w:after="0"/>
              <w:rPr>
                <w:sz w:val="20"/>
                <w:szCs w:val="20"/>
                <w:color w:val="auto"/>
              </w:rPr>
            </w:pPr>
            <w:r>
              <w:rPr>
                <w:rFonts w:ascii="Arial" w:cs="Arial" w:eastAsia="Arial" w:hAnsi="Arial"/>
                <w:sz w:val="14"/>
                <w:szCs w:val="14"/>
                <w:color w:val="auto"/>
              </w:rPr>
              <w:t>Cash and investments</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18</w:t>
            </w: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Total interest income</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658</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417</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96"/>
              </w:rPr>
              <w:t>1,081</w:t>
            </w: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77"/>
              <w:spacing w:after="0"/>
              <w:rPr>
                <w:sz w:val="20"/>
                <w:szCs w:val="20"/>
                <w:color w:val="auto"/>
              </w:rPr>
            </w:pPr>
            <w:r>
              <w:rPr>
                <w:rFonts w:ascii="Arial" w:cs="Arial" w:eastAsia="Arial" w:hAnsi="Arial"/>
                <w:sz w:val="14"/>
                <w:szCs w:val="14"/>
                <w:color w:val="auto"/>
              </w:rPr>
              <w:t>4</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7"/>
              <w:spacing w:after="0"/>
              <w:rPr>
                <w:sz w:val="20"/>
                <w:szCs w:val="20"/>
                <w:color w:val="auto"/>
              </w:rPr>
            </w:pPr>
            <w:r>
              <w:rPr>
                <w:rFonts w:ascii="Arial" w:cs="Arial" w:eastAsia="Arial" w:hAnsi="Arial"/>
                <w:sz w:val="14"/>
                <w:szCs w:val="14"/>
                <w:color w:val="auto"/>
              </w:rPr>
              <w:t>(17)</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(13)</w:t>
            </w:r>
          </w:p>
        </w:tc>
        <w:tc>
          <w:tcPr>
            <w:tcW w:w="2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5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96"/>
              </w:rPr>
              <w:t>1,068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00" w:type="dxa"/>
            <w:vAlign w:val="bottom"/>
            <w:gridSpan w:val="4"/>
          </w:tcPr>
          <w:p>
            <w:pPr>
              <w:spacing w:after="0"/>
              <w:rPr>
                <w:sz w:val="20"/>
                <w:szCs w:val="20"/>
                <w:color w:val="auto"/>
              </w:rPr>
            </w:pPr>
            <w:r>
              <w:rPr>
                <w:rFonts w:ascii="Arial" w:cs="Arial" w:eastAsia="Arial" w:hAnsi="Arial"/>
                <w:sz w:val="14"/>
                <w:szCs w:val="14"/>
                <w:color w:val="auto"/>
              </w:rPr>
              <w:t>Total interest expense</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510</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222</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771</w:t>
            </w: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774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Net interest income (loss)</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148</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310</w:t>
            </w: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37"/>
              <w:spacing w:after="0"/>
              <w:rPr>
                <w:sz w:val="20"/>
                <w:szCs w:val="20"/>
                <w:color w:val="auto"/>
              </w:rPr>
            </w:pPr>
            <w:r>
              <w:rPr>
                <w:rFonts w:ascii="Arial" w:cs="Arial" w:eastAsia="Arial" w:hAnsi="Arial"/>
                <w:sz w:val="14"/>
                <w:szCs w:val="14"/>
                <w:color w:val="auto"/>
              </w:rPr>
              <w:t>(4)</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7"/>
              <w:spacing w:after="0"/>
              <w:rPr>
                <w:sz w:val="20"/>
                <w:szCs w:val="20"/>
                <w:color w:val="auto"/>
              </w:rPr>
            </w:pPr>
            <w:r>
              <w:rPr>
                <w:rFonts w:ascii="Arial" w:cs="Arial" w:eastAsia="Arial" w:hAnsi="Arial"/>
                <w:sz w:val="14"/>
                <w:szCs w:val="14"/>
                <w:color w:val="auto"/>
              </w:rPr>
              <w:t>(12)</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(16)</w:t>
            </w:r>
          </w:p>
        </w:tc>
        <w:tc>
          <w:tcPr>
            <w:tcW w:w="2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5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294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00" w:type="dxa"/>
            <w:vAlign w:val="bottom"/>
            <w:gridSpan w:val="4"/>
          </w:tcPr>
          <w:p>
            <w:pPr>
              <w:spacing w:after="0"/>
              <w:rPr>
                <w:sz w:val="20"/>
                <w:szCs w:val="20"/>
                <w:color w:val="auto"/>
              </w:rPr>
            </w:pPr>
            <w:r>
              <w:rPr>
                <w:rFonts w:ascii="Arial" w:cs="Arial" w:eastAsia="Arial" w:hAnsi="Arial"/>
                <w:sz w:val="14"/>
                <w:szCs w:val="14"/>
                <w:color w:val="auto"/>
              </w:rPr>
              <w:t>Less: provisions for loan losses</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50</w:t>
            </w: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50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Net interest income (loss) after provisions</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780" w:type="dxa"/>
            <w:vAlign w:val="bottom"/>
            <w:gridSpan w:val="3"/>
            <w:shd w:val="clear" w:color="auto" w:fill="CCEEFF"/>
          </w:tcPr>
          <w:p>
            <w:pPr>
              <w:ind w:left="200"/>
              <w:spacing w:after="0" w:line="157" w:lineRule="exact"/>
              <w:rPr>
                <w:sz w:val="20"/>
                <w:szCs w:val="20"/>
                <w:color w:val="auto"/>
              </w:rPr>
            </w:pPr>
            <w:r>
              <w:rPr>
                <w:rFonts w:ascii="Arial" w:cs="Arial" w:eastAsia="Arial" w:hAnsi="Arial"/>
                <w:sz w:val="14"/>
                <w:szCs w:val="14"/>
                <w:color w:val="auto"/>
              </w:rPr>
              <w:t>for loan losses</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140</w:t>
            </w: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153</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(33)</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260</w:t>
            </w: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37"/>
              <w:spacing w:after="0" w:line="157" w:lineRule="exact"/>
              <w:rPr>
                <w:sz w:val="20"/>
                <w:szCs w:val="20"/>
                <w:color w:val="auto"/>
              </w:rPr>
            </w:pPr>
            <w:r>
              <w:rPr>
                <w:rFonts w:ascii="Arial" w:cs="Arial" w:eastAsia="Arial" w:hAnsi="Arial"/>
                <w:sz w:val="14"/>
                <w:szCs w:val="14"/>
                <w:color w:val="auto"/>
              </w:rPr>
              <w:t>(4)</w:t>
            </w: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7"/>
              <w:spacing w:after="0" w:line="157" w:lineRule="exact"/>
              <w:rPr>
                <w:sz w:val="20"/>
                <w:szCs w:val="20"/>
                <w:color w:val="auto"/>
              </w:rPr>
            </w:pPr>
            <w:r>
              <w:rPr>
                <w:rFonts w:ascii="Arial" w:cs="Arial" w:eastAsia="Arial" w:hAnsi="Arial"/>
                <w:sz w:val="14"/>
                <w:szCs w:val="14"/>
                <w:color w:val="auto"/>
              </w:rPr>
              <w:t>(12)</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9"/>
              <w:spacing w:after="0" w:line="157" w:lineRule="exact"/>
              <w:rPr>
                <w:sz w:val="20"/>
                <w:szCs w:val="20"/>
                <w:color w:val="auto"/>
              </w:rPr>
            </w:pPr>
            <w:r>
              <w:rPr>
                <w:rFonts w:ascii="Arial" w:cs="Arial" w:eastAsia="Arial" w:hAnsi="Arial"/>
                <w:sz w:val="14"/>
                <w:szCs w:val="14"/>
                <w:color w:val="auto"/>
              </w:rPr>
              <w:t>(16)</w:t>
            </w:r>
          </w:p>
        </w:tc>
        <w:tc>
          <w:tcPr>
            <w:tcW w:w="2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00" w:type="dxa"/>
            <w:vAlign w:val="bottom"/>
            <w:shd w:val="clear" w:color="auto" w:fill="CCEEFF"/>
          </w:tcPr>
          <w:p>
            <w:pPr>
              <w:jc w:val="right"/>
              <w:ind w:right="69"/>
              <w:spacing w:after="0" w:line="157" w:lineRule="exact"/>
              <w:rPr>
                <w:sz w:val="20"/>
                <w:szCs w:val="20"/>
                <w:color w:val="auto"/>
              </w:rPr>
            </w:pPr>
            <w:r>
              <w:rPr>
                <w:rFonts w:ascii="Arial" w:cs="Arial" w:eastAsia="Arial" w:hAnsi="Arial"/>
                <w:sz w:val="14"/>
                <w:szCs w:val="14"/>
                <w:color w:val="auto"/>
              </w:rPr>
              <w:t>244</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0" w:type="dxa"/>
            <w:vAlign w:val="bottom"/>
            <w:gridSpan w:val="4"/>
          </w:tcPr>
          <w:p>
            <w:pPr>
              <w:spacing w:after="0"/>
              <w:rPr>
                <w:sz w:val="20"/>
                <w:szCs w:val="20"/>
                <w:color w:val="auto"/>
              </w:rPr>
            </w:pPr>
            <w:r>
              <w:rPr>
                <w:rFonts w:ascii="Arial" w:cs="Arial" w:eastAsia="Arial" w:hAnsi="Arial"/>
                <w:sz w:val="14"/>
                <w:szCs w:val="14"/>
                <w:color w:val="auto"/>
              </w:rPr>
              <w:t>Other income (loss):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Servicing revenue</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58</w:t>
            </w: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77"/>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5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gridSpan w:val="3"/>
          </w:tcPr>
          <w:p>
            <w:pPr>
              <w:ind w:left="200"/>
              <w:spacing w:after="0"/>
              <w:rPr>
                <w:sz w:val="20"/>
                <w:szCs w:val="20"/>
                <w:color w:val="auto"/>
              </w:rPr>
            </w:pPr>
            <w:r>
              <w:rPr>
                <w:rFonts w:ascii="Arial" w:cs="Arial" w:eastAsia="Arial" w:hAnsi="Arial"/>
                <w:sz w:val="14"/>
                <w:szCs w:val="14"/>
                <w:color w:val="auto"/>
              </w:rPr>
              <w:t>Asset recovery and business processing</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780" w:type="dxa"/>
            <w:vAlign w:val="bottom"/>
            <w:gridSpan w:val="3"/>
          </w:tcPr>
          <w:p>
            <w:pPr>
              <w:ind w:left="420"/>
              <w:spacing w:after="0" w:line="157" w:lineRule="exact"/>
              <w:rPr>
                <w:sz w:val="20"/>
                <w:szCs w:val="20"/>
                <w:color w:val="auto"/>
              </w:rPr>
            </w:pPr>
            <w:r>
              <w:rPr>
                <w:rFonts w:ascii="Arial" w:cs="Arial" w:eastAsia="Arial" w:hAnsi="Arial"/>
                <w:sz w:val="14"/>
                <w:szCs w:val="14"/>
                <w:color w:val="auto"/>
              </w:rPr>
              <w:t>revenue</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jc w:val="right"/>
              <w:ind w:right="8"/>
              <w:spacing w:after="0" w:line="157" w:lineRule="exact"/>
              <w:rPr>
                <w:sz w:val="20"/>
                <w:szCs w:val="20"/>
                <w:color w:val="auto"/>
              </w:rPr>
            </w:pPr>
            <w:r>
              <w:rPr>
                <w:rFonts w:ascii="Arial" w:cs="Arial" w:eastAsia="Arial" w:hAnsi="Arial"/>
                <w:sz w:val="14"/>
                <w:szCs w:val="14"/>
                <w:color w:val="auto"/>
              </w:rPr>
              <w:t>65</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jc w:val="right"/>
              <w:ind w:right="8"/>
              <w:spacing w:after="0" w:line="157" w:lineRule="exact"/>
              <w:rPr>
                <w:sz w:val="20"/>
                <w:szCs w:val="20"/>
                <w:color w:val="auto"/>
              </w:rPr>
            </w:pPr>
            <w:r>
              <w:rPr>
                <w:rFonts w:ascii="Arial" w:cs="Arial" w:eastAsia="Arial" w:hAnsi="Arial"/>
                <w:sz w:val="14"/>
                <w:szCs w:val="14"/>
                <w:color w:val="auto"/>
              </w:rPr>
              <w:t>59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49"/>
              <w:spacing w:after="0" w:line="157" w:lineRule="exact"/>
              <w:rPr>
                <w:sz w:val="20"/>
                <w:szCs w:val="20"/>
                <w:color w:val="auto"/>
              </w:rPr>
            </w:pPr>
            <w:r>
              <w:rPr>
                <w:rFonts w:ascii="Arial" w:cs="Arial" w:eastAsia="Arial" w:hAnsi="Arial"/>
                <w:sz w:val="14"/>
                <w:szCs w:val="14"/>
                <w:color w:val="auto"/>
              </w:rPr>
              <w:t>124</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gridSpan w:val="3"/>
          </w:tcPr>
          <w:p>
            <w:pPr>
              <w:jc w:val="right"/>
              <w:ind w:right="77"/>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gridSpan w:val="2"/>
          </w:tcPr>
          <w:p>
            <w:pPr>
              <w:jc w:val="right"/>
              <w:ind w:right="57"/>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69"/>
              <w:spacing w:after="0" w:line="157" w:lineRule="exact"/>
              <w:rPr>
                <w:sz w:val="20"/>
                <w:szCs w:val="20"/>
                <w:color w:val="auto"/>
              </w:rPr>
            </w:pPr>
            <w:r>
              <w:rPr>
                <w:rFonts w:ascii="Arial" w:cs="Arial" w:eastAsia="Arial" w:hAnsi="Arial"/>
                <w:sz w:val="14"/>
                <w:szCs w:val="14"/>
                <w:color w:val="auto"/>
              </w:rPr>
              <w:t>124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Other income (loss)</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w:t>
            </w: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77"/>
              <w:spacing w:after="0"/>
              <w:rPr>
                <w:sz w:val="20"/>
                <w:szCs w:val="20"/>
                <w:color w:val="auto"/>
              </w:rPr>
            </w:pPr>
            <w:r>
              <w:rPr>
                <w:rFonts w:ascii="Arial" w:cs="Arial" w:eastAsia="Arial" w:hAnsi="Arial"/>
                <w:sz w:val="14"/>
                <w:szCs w:val="14"/>
                <w:color w:val="auto"/>
              </w:rPr>
              <w:t>4</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39</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43</w:t>
            </w:r>
          </w:p>
        </w:tc>
        <w:tc>
          <w:tcPr>
            <w:tcW w:w="2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5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780" w:type="dxa"/>
            <w:vAlign w:val="bottom"/>
            <w:gridSpan w:val="3"/>
          </w:tcPr>
          <w:p>
            <w:pPr>
              <w:ind w:left="200"/>
              <w:spacing w:after="0"/>
              <w:rPr>
                <w:sz w:val="20"/>
                <w:szCs w:val="20"/>
                <w:color w:val="auto"/>
              </w:rPr>
            </w:pPr>
            <w:r>
              <w:rPr>
                <w:rFonts w:ascii="Arial" w:cs="Arial" w:eastAsia="Arial" w:hAnsi="Arial"/>
                <w:sz w:val="14"/>
                <w:szCs w:val="14"/>
                <w:color w:val="auto"/>
              </w:rPr>
              <w:t>Losses on debt repurchases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gridSpan w:val="3"/>
          </w:tcPr>
          <w:p>
            <w:pPr>
              <w:jc w:val="right"/>
              <w:ind w:right="77"/>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gridSpan w:val="2"/>
          </w:tcPr>
          <w:p>
            <w:pPr>
              <w:jc w:val="right"/>
              <w:ind w:right="57"/>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29"/>
              <w:spacing w:after="0"/>
              <w:rPr>
                <w:sz w:val="20"/>
                <w:szCs w:val="20"/>
                <w:color w:val="auto"/>
              </w:rPr>
            </w:pPr>
            <w:r>
              <w:rPr>
                <w:rFonts w:ascii="Arial" w:cs="Arial" w:eastAsia="Arial" w:hAnsi="Arial"/>
                <w:sz w:val="14"/>
                <w:szCs w:val="14"/>
                <w:color w:val="auto"/>
              </w:rPr>
              <w:t>(14)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Total other income (loss)</w:t>
            </w:r>
          </w:p>
        </w:tc>
        <w:tc>
          <w:tcPr>
            <w:tcW w:w="20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127</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220" w:type="dxa"/>
            <w:vAlign w:val="bottom"/>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w:t>
            </w:r>
          </w:p>
        </w:tc>
        <w:tc>
          <w:tcPr>
            <w:tcW w:w="2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2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176</w:t>
            </w:r>
          </w:p>
        </w:tc>
        <w:tc>
          <w:tcPr>
            <w:tcW w:w="240" w:type="dxa"/>
            <w:vAlign w:val="bottom"/>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gridSpan w:val="3"/>
            <w:shd w:val="clear" w:color="auto" w:fill="CCEEFF"/>
          </w:tcPr>
          <w:p>
            <w:pPr>
              <w:jc w:val="right"/>
              <w:ind w:right="77"/>
              <w:spacing w:after="0"/>
              <w:rPr>
                <w:sz w:val="20"/>
                <w:szCs w:val="20"/>
                <w:color w:val="auto"/>
              </w:rPr>
            </w:pPr>
            <w:r>
              <w:rPr>
                <w:rFonts w:ascii="Arial" w:cs="Arial" w:eastAsia="Arial" w:hAnsi="Arial"/>
                <w:sz w:val="14"/>
                <w:szCs w:val="14"/>
                <w:color w:val="auto"/>
              </w:rPr>
              <w:t>4</w:t>
            </w:r>
          </w:p>
        </w:tc>
        <w:tc>
          <w:tcPr>
            <w:tcW w:w="220" w:type="dxa"/>
            <w:vAlign w:val="bottom"/>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39</w:t>
            </w:r>
          </w:p>
        </w:tc>
        <w:tc>
          <w:tcPr>
            <w:tcW w:w="240" w:type="dxa"/>
            <w:vAlign w:val="bottom"/>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43</w:t>
            </w:r>
          </w:p>
        </w:tc>
        <w:tc>
          <w:tcPr>
            <w:tcW w:w="240" w:type="dxa"/>
            <w:vAlign w:val="bottom"/>
            <w:shd w:val="clear" w:color="auto" w:fill="CCEEFF"/>
          </w:tcPr>
          <w:p>
            <w:pPr>
              <w:spacing w:after="0"/>
              <w:rPr>
                <w:sz w:val="14"/>
                <w:szCs w:val="14"/>
                <w:color w:val="auto"/>
              </w:rPr>
            </w:pPr>
          </w:p>
        </w:tc>
        <w:tc>
          <w:tcPr>
            <w:tcW w:w="120" w:type="dxa"/>
            <w:vAlign w:val="bottom"/>
            <w:tcBorders>
              <w:top w:val="single" w:sz="8" w:color="auto"/>
              <w:right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219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gridSpan w:val="4"/>
          </w:tcPr>
          <w:p>
            <w:pPr>
              <w:spacing w:after="0"/>
              <w:rPr>
                <w:sz w:val="20"/>
                <w:szCs w:val="20"/>
                <w:color w:val="auto"/>
              </w:rPr>
            </w:pPr>
            <w:r>
              <w:rPr>
                <w:rFonts w:ascii="Arial" w:cs="Arial" w:eastAsia="Arial" w:hAnsi="Arial"/>
                <w:sz w:val="14"/>
                <w:szCs w:val="14"/>
                <w:color w:val="auto"/>
              </w:rPr>
              <w:t>Expenses: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Direct operating expenses</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178</w:t>
            </w: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77"/>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5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178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780" w:type="dxa"/>
            <w:vAlign w:val="bottom"/>
            <w:gridSpan w:val="3"/>
          </w:tcPr>
          <w:p>
            <w:pPr>
              <w:ind w:left="200"/>
              <w:spacing w:after="0"/>
              <w:rPr>
                <w:sz w:val="20"/>
                <w:szCs w:val="20"/>
                <w:color w:val="auto"/>
              </w:rPr>
            </w:pPr>
            <w:r>
              <w:rPr>
                <w:rFonts w:ascii="Arial" w:cs="Arial" w:eastAsia="Arial" w:hAnsi="Arial"/>
                <w:sz w:val="14"/>
                <w:szCs w:val="14"/>
                <w:color w:val="auto"/>
              </w:rPr>
              <w:t>Unallocated shared services expenses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57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49"/>
              <w:spacing w:after="0"/>
              <w:rPr>
                <w:sz w:val="20"/>
                <w:szCs w:val="20"/>
                <w:color w:val="auto"/>
              </w:rPr>
            </w:pPr>
            <w:r>
              <w:rPr>
                <w:rFonts w:ascii="Arial" w:cs="Arial" w:eastAsia="Arial" w:hAnsi="Arial"/>
                <w:sz w:val="14"/>
                <w:szCs w:val="14"/>
                <w:color w:val="auto"/>
              </w:rPr>
              <w:t>57</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gridSpan w:val="3"/>
          </w:tcPr>
          <w:p>
            <w:pPr>
              <w:jc w:val="right"/>
              <w:ind w:right="77"/>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gridSpan w:val="2"/>
          </w:tcPr>
          <w:p>
            <w:pPr>
              <w:jc w:val="right"/>
              <w:ind w:right="57"/>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9"/>
              <w:spacing w:after="0"/>
              <w:rPr>
                <w:sz w:val="20"/>
                <w:szCs w:val="20"/>
                <w:color w:val="auto"/>
              </w:rPr>
            </w:pPr>
            <w:r>
              <w:rPr>
                <w:rFonts w:ascii="Arial" w:cs="Arial" w:eastAsia="Arial" w:hAnsi="Arial"/>
                <w:sz w:val="14"/>
                <w:szCs w:val="14"/>
                <w:color w:val="auto"/>
              </w:rPr>
              <w:t>57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Operating expenses</w:t>
            </w:r>
          </w:p>
        </w:tc>
        <w:tc>
          <w:tcPr>
            <w:tcW w:w="20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89</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220" w:type="dxa"/>
            <w:vAlign w:val="bottom"/>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49</w:t>
            </w:r>
          </w:p>
        </w:tc>
        <w:tc>
          <w:tcPr>
            <w:tcW w:w="2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w:t>
            </w:r>
          </w:p>
        </w:tc>
        <w:tc>
          <w:tcPr>
            <w:tcW w:w="2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235</w:t>
            </w:r>
          </w:p>
        </w:tc>
        <w:tc>
          <w:tcPr>
            <w:tcW w:w="240" w:type="dxa"/>
            <w:vAlign w:val="bottom"/>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gridSpan w:val="3"/>
            <w:shd w:val="clear" w:color="auto" w:fill="CCEEFF"/>
          </w:tcPr>
          <w:p>
            <w:pPr>
              <w:jc w:val="right"/>
              <w:ind w:right="77"/>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20" w:type="dxa"/>
            <w:vAlign w:val="bottom"/>
            <w:tcBorders>
              <w:top w:val="single" w:sz="8" w:color="auto"/>
              <w:right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235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gridSpan w:val="3"/>
          </w:tcPr>
          <w:p>
            <w:pPr>
              <w:ind w:left="200"/>
              <w:spacing w:after="0"/>
              <w:rPr>
                <w:sz w:val="20"/>
                <w:szCs w:val="20"/>
                <w:color w:val="auto"/>
              </w:rPr>
            </w:pPr>
            <w:r>
              <w:rPr>
                <w:rFonts w:ascii="Arial" w:cs="Arial" w:eastAsia="Arial" w:hAnsi="Arial"/>
                <w:sz w:val="14"/>
                <w:szCs w:val="14"/>
                <w:color w:val="auto"/>
              </w:rPr>
              <w:t>Goodwill and acquired intangible asset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780" w:type="dxa"/>
            <w:vAlign w:val="bottom"/>
            <w:gridSpan w:val="3"/>
          </w:tcPr>
          <w:p>
            <w:pPr>
              <w:ind w:left="420"/>
              <w:spacing w:after="0" w:line="157" w:lineRule="exact"/>
              <w:rPr>
                <w:sz w:val="20"/>
                <w:szCs w:val="20"/>
                <w:color w:val="auto"/>
              </w:rPr>
            </w:pPr>
            <w:r>
              <w:rPr>
                <w:rFonts w:ascii="Arial" w:cs="Arial" w:eastAsia="Arial" w:hAnsi="Arial"/>
                <w:sz w:val="14"/>
                <w:szCs w:val="14"/>
                <w:color w:val="auto"/>
              </w:rPr>
              <w:t>impairment and amortization</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gridSpan w:val="3"/>
          </w:tcPr>
          <w:p>
            <w:pPr>
              <w:jc w:val="right"/>
              <w:ind w:right="77"/>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gridSpan w:val="2"/>
          </w:tcPr>
          <w:p>
            <w:pPr>
              <w:jc w:val="right"/>
              <w:ind w:right="57"/>
              <w:spacing w:after="0" w:line="157" w:lineRule="exact"/>
              <w:rPr>
                <w:sz w:val="20"/>
                <w:szCs w:val="20"/>
                <w:color w:val="auto"/>
              </w:rPr>
            </w:pPr>
            <w:r>
              <w:rPr>
                <w:rFonts w:ascii="Arial" w:cs="Arial" w:eastAsia="Arial" w:hAnsi="Arial"/>
                <w:sz w:val="14"/>
                <w:szCs w:val="14"/>
                <w:color w:val="auto"/>
              </w:rPr>
              <w:t>6</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gridSpan w:val="2"/>
          </w:tcPr>
          <w:p>
            <w:pPr>
              <w:jc w:val="right"/>
              <w:ind w:right="49"/>
              <w:spacing w:after="0" w:line="157" w:lineRule="exact"/>
              <w:rPr>
                <w:sz w:val="20"/>
                <w:szCs w:val="20"/>
                <w:color w:val="auto"/>
              </w:rPr>
            </w:pPr>
            <w:r>
              <w:rPr>
                <w:rFonts w:ascii="Arial" w:cs="Arial" w:eastAsia="Arial" w:hAnsi="Arial"/>
                <w:sz w:val="14"/>
                <w:szCs w:val="14"/>
                <w:color w:val="auto"/>
              </w:rPr>
              <w:t>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69"/>
              <w:spacing w:after="0" w:line="157" w:lineRule="exact"/>
              <w:rPr>
                <w:sz w:val="20"/>
                <w:szCs w:val="20"/>
                <w:color w:val="auto"/>
              </w:rPr>
            </w:pPr>
            <w:r>
              <w:rPr>
                <w:rFonts w:ascii="Arial" w:cs="Arial" w:eastAsia="Arial" w:hAnsi="Arial"/>
                <w:sz w:val="14"/>
                <w:szCs w:val="14"/>
                <w:color w:val="auto"/>
              </w:rPr>
              <w:t>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Restructuring/other reorganization</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780" w:type="dxa"/>
            <w:vAlign w:val="bottom"/>
            <w:gridSpan w:val="3"/>
            <w:shd w:val="clear" w:color="auto" w:fill="CCEEFF"/>
          </w:tcPr>
          <w:p>
            <w:pPr>
              <w:ind w:left="420"/>
              <w:spacing w:after="0" w:line="157" w:lineRule="exact"/>
              <w:rPr>
                <w:sz w:val="20"/>
                <w:szCs w:val="20"/>
                <w:color w:val="auto"/>
              </w:rPr>
            </w:pPr>
            <w:r>
              <w:rPr>
                <w:rFonts w:ascii="Arial" w:cs="Arial" w:eastAsia="Arial" w:hAnsi="Arial"/>
                <w:sz w:val="14"/>
                <w:szCs w:val="14"/>
                <w:color w:val="auto"/>
              </w:rPr>
              <w:t>expenses</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77"/>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57"/>
              <w:spacing w:after="0" w:line="157"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00" w:type="dxa"/>
            <w:vAlign w:val="bottom"/>
            <w:shd w:val="clear" w:color="auto" w:fill="CCEEFF"/>
          </w:tcPr>
          <w:p>
            <w:pPr>
              <w:jc w:val="right"/>
              <w:ind w:right="69"/>
              <w:spacing w:after="0" w:line="157" w:lineRule="exact"/>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800" w:type="dxa"/>
            <w:vAlign w:val="bottom"/>
            <w:gridSpan w:val="4"/>
          </w:tcPr>
          <w:p>
            <w:pPr>
              <w:spacing w:after="0"/>
              <w:rPr>
                <w:sz w:val="20"/>
                <w:szCs w:val="20"/>
                <w:color w:val="auto"/>
              </w:rPr>
            </w:pPr>
            <w:r>
              <w:rPr>
                <w:rFonts w:ascii="Arial" w:cs="Arial" w:eastAsia="Arial" w:hAnsi="Arial"/>
                <w:sz w:val="14"/>
                <w:szCs w:val="14"/>
                <w:color w:val="auto"/>
              </w:rPr>
              <w:t>Total expenses</w:t>
            </w:r>
          </w:p>
        </w:tc>
        <w:tc>
          <w:tcPr>
            <w:tcW w:w="20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89</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40</w:t>
            </w:r>
          </w:p>
        </w:tc>
        <w:tc>
          <w:tcPr>
            <w:tcW w:w="22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49</w:t>
            </w:r>
          </w:p>
        </w:tc>
        <w:tc>
          <w:tcPr>
            <w:tcW w:w="2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59</w:t>
            </w:r>
          </w:p>
        </w:tc>
        <w:tc>
          <w:tcPr>
            <w:tcW w:w="2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237</w:t>
            </w:r>
          </w:p>
        </w:tc>
        <w:tc>
          <w:tcPr>
            <w:tcW w:w="240" w:type="dxa"/>
            <w:vAlign w:val="bottom"/>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gridSpan w:val="3"/>
          </w:tcPr>
          <w:p>
            <w:pPr>
              <w:jc w:val="right"/>
              <w:ind w:right="77"/>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gridSpan w:val="2"/>
          </w:tcPr>
          <w:p>
            <w:pPr>
              <w:jc w:val="right"/>
              <w:ind w:right="57"/>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gridSpan w:val="2"/>
          </w:tcPr>
          <w:p>
            <w:pPr>
              <w:jc w:val="right"/>
              <w:ind w:right="49"/>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243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Income (loss) before income tax expense</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780" w:type="dxa"/>
            <w:vAlign w:val="bottom"/>
            <w:gridSpan w:val="3"/>
            <w:shd w:val="clear" w:color="auto" w:fill="CCEEFF"/>
          </w:tcPr>
          <w:p>
            <w:pPr>
              <w:ind w:left="200"/>
              <w:spacing w:after="0" w:line="157" w:lineRule="exact"/>
              <w:rPr>
                <w:sz w:val="20"/>
                <w:szCs w:val="20"/>
                <w:color w:val="auto"/>
              </w:rPr>
            </w:pPr>
            <w:r>
              <w:rPr>
                <w:rFonts w:ascii="Arial" w:cs="Arial" w:eastAsia="Arial" w:hAnsi="Arial"/>
                <w:sz w:val="14"/>
                <w:szCs w:val="14"/>
                <w:color w:val="auto"/>
              </w:rPr>
              <w:t>(benefit)</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178</w:t>
            </w: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115</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10</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w w:val="97"/>
              </w:rPr>
              <w:t>(104)</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199</w:t>
            </w: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77"/>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57"/>
              <w:spacing w:after="0" w:line="157" w:lineRule="exact"/>
              <w:rPr>
                <w:sz w:val="20"/>
                <w:szCs w:val="20"/>
                <w:color w:val="auto"/>
              </w:rPr>
            </w:pPr>
            <w:r>
              <w:rPr>
                <w:rFonts w:ascii="Arial" w:cs="Arial" w:eastAsia="Arial" w:hAnsi="Arial"/>
                <w:sz w:val="14"/>
                <w:szCs w:val="14"/>
                <w:color w:val="auto"/>
              </w:rPr>
              <w:t>21</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21</w:t>
            </w:r>
          </w:p>
        </w:tc>
        <w:tc>
          <w:tcPr>
            <w:tcW w:w="2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00" w:type="dxa"/>
            <w:vAlign w:val="bottom"/>
            <w:shd w:val="clear" w:color="auto" w:fill="CCEEFF"/>
          </w:tcPr>
          <w:p>
            <w:pPr>
              <w:jc w:val="right"/>
              <w:ind w:right="69"/>
              <w:spacing w:after="0" w:line="157" w:lineRule="exact"/>
              <w:rPr>
                <w:sz w:val="20"/>
                <w:szCs w:val="20"/>
                <w:color w:val="auto"/>
              </w:rPr>
            </w:pPr>
            <w:r>
              <w:rPr>
                <w:rFonts w:ascii="Arial" w:cs="Arial" w:eastAsia="Arial" w:hAnsi="Arial"/>
                <w:sz w:val="14"/>
                <w:szCs w:val="14"/>
                <w:color w:val="auto"/>
              </w:rPr>
              <w:t>220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780" w:type="dxa"/>
            <w:vAlign w:val="bottom"/>
            <w:gridSpan w:val="3"/>
          </w:tcPr>
          <w:p>
            <w:pPr>
              <w:spacing w:after="0" w:line="162" w:lineRule="exact"/>
              <w:rPr>
                <w:sz w:val="20"/>
                <w:szCs w:val="20"/>
                <w:color w:val="auto"/>
              </w:rPr>
            </w:pPr>
            <w:r>
              <w:rPr>
                <w:rFonts w:ascii="Arial" w:cs="Arial" w:eastAsia="Arial" w:hAnsi="Arial"/>
                <w:sz w:val="11"/>
                <w:szCs w:val="11"/>
                <w:color w:val="auto"/>
              </w:rPr>
              <w:t>Income tax expense (benefit)</w:t>
            </w:r>
            <w:r>
              <w:rPr>
                <w:rFonts w:ascii="Arial" w:cs="Arial" w:eastAsia="Arial" w:hAnsi="Arial"/>
                <w:sz w:val="18"/>
                <w:szCs w:val="18"/>
                <w:color w:val="auto"/>
                <w:vertAlign w:val="superscript"/>
              </w:rPr>
              <w:t>(2)</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46</w:t>
            </w: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49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420" w:type="dxa"/>
            <w:vAlign w:val="bottom"/>
            <w:gridSpan w:val="2"/>
            <w:shd w:val="clear" w:color="auto" w:fill="CCEEFF"/>
          </w:tcPr>
          <w:p>
            <w:pPr>
              <w:jc w:val="right"/>
              <w:ind w:right="62"/>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136</w:t>
            </w:r>
          </w:p>
        </w:tc>
        <w:tc>
          <w:tcPr>
            <w:tcW w:w="22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22"/>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153</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560" w:type="dxa"/>
            <w:vAlign w:val="bottom"/>
            <w:gridSpan w:val="3"/>
            <w:shd w:val="clear" w:color="auto" w:fill="CCEEFF"/>
          </w:tcPr>
          <w:p>
            <w:pPr>
              <w:jc w:val="right"/>
              <w:ind w:right="77"/>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55"/>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18</w:t>
            </w:r>
          </w:p>
        </w:tc>
        <w:tc>
          <w:tcPr>
            <w:tcW w:w="620" w:type="dxa"/>
            <w:vAlign w:val="bottom"/>
            <w:gridSpan w:val="2"/>
            <w:shd w:val="clear" w:color="auto" w:fill="CCEEFF"/>
          </w:tcPr>
          <w:p>
            <w:pPr>
              <w:jc w:val="right"/>
              <w:ind w:right="193"/>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18</w:t>
            </w:r>
          </w:p>
        </w:tc>
        <w:tc>
          <w:tcPr>
            <w:tcW w:w="3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171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4"/>
        </w:trPr>
        <w:tc>
          <w:tcPr>
            <w:tcW w:w="2800" w:type="dxa"/>
            <w:vAlign w:val="bottom"/>
            <w:gridSpan w:val="4"/>
          </w:tcPr>
          <w:p>
            <w:pPr>
              <w:spacing w:after="0"/>
              <w:rPr>
                <w:sz w:val="20"/>
                <w:szCs w:val="20"/>
                <w:color w:val="auto"/>
              </w:rPr>
            </w:pPr>
            <w:r>
              <w:rPr>
                <w:rFonts w:ascii="Arial" w:cs="Arial" w:eastAsia="Arial" w:hAnsi="Arial"/>
                <w:sz w:val="24"/>
                <w:szCs w:val="24"/>
                <w:color w:val="auto"/>
                <w:vertAlign w:val="superscript"/>
              </w:rPr>
              <w:t>(1)</w:t>
            </w:r>
            <w:r>
              <w:rPr>
                <w:rFonts w:ascii="Arial" w:cs="Arial" w:eastAsia="Arial" w:hAnsi="Arial"/>
                <w:sz w:val="14"/>
                <w:szCs w:val="14"/>
                <w:color w:val="auto"/>
              </w:rPr>
              <w:t xml:space="preserve">   Core Earnings adjustments to GAAP:</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11"/>
          </w:tcPr>
          <w:p>
            <w:pPr>
              <w:jc w:val="right"/>
              <w:ind w:right="240"/>
              <w:spacing w:after="0"/>
              <w:rPr>
                <w:sz w:val="20"/>
                <w:szCs w:val="20"/>
                <w:color w:val="auto"/>
              </w:rPr>
            </w:pPr>
            <w:r>
              <w:rPr>
                <w:rFonts w:ascii="Arial" w:cs="Arial" w:eastAsia="Arial" w:hAnsi="Arial"/>
                <w:sz w:val="13"/>
                <w:szCs w:val="13"/>
                <w:b w:val="1"/>
                <w:bCs w:val="1"/>
                <w:color w:val="auto"/>
                <w:w w:val="96"/>
              </w:rPr>
              <w:t>QUARTER ENDED DECEMBER 31, 2019</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tcPr>
          <w:p>
            <w:pPr>
              <w:ind w:left="40"/>
              <w:spacing w:after="0"/>
              <w:rPr>
                <w:sz w:val="20"/>
                <w:szCs w:val="20"/>
                <w:color w:val="auto"/>
              </w:rPr>
            </w:pPr>
            <w:r>
              <w:rPr>
                <w:rFonts w:ascii="Arial" w:cs="Arial" w:eastAsia="Arial" w:hAnsi="Arial"/>
                <w:sz w:val="13"/>
                <w:szCs w:val="13"/>
                <w:b w:val="1"/>
                <w:bCs w:val="1"/>
                <w:color w:val="auto"/>
                <w:w w:val="97"/>
              </w:rPr>
              <w:t>Net Impact of</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7"/>
              </w:rPr>
              <w:t>Net Impact of</w:t>
            </w:r>
          </w:p>
        </w:tc>
        <w:tc>
          <w:tcPr>
            <w:tcW w:w="120" w:type="dxa"/>
            <w:vAlign w:val="bottom"/>
          </w:tcPr>
          <w:p>
            <w:pPr>
              <w:spacing w:after="0"/>
              <w:rPr>
                <w:sz w:val="11"/>
                <w:szCs w:val="11"/>
                <w:color w:val="auto"/>
              </w:rPr>
            </w:pPr>
          </w:p>
        </w:tc>
        <w:tc>
          <w:tcPr>
            <w:tcW w:w="86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w w:val="97"/>
              </w:rPr>
              <w:t>Goodwill and</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(Dollars in millions)</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6"/>
              </w:rPr>
              <w:t>Derivative</w:t>
            </w:r>
          </w:p>
        </w:tc>
        <w:tc>
          <w:tcPr>
            <w:tcW w:w="120" w:type="dxa"/>
            <w:vAlign w:val="bottom"/>
          </w:tcPr>
          <w:p>
            <w:pPr>
              <w:spacing w:after="0"/>
              <w:rPr>
                <w:sz w:val="11"/>
                <w:szCs w:val="11"/>
                <w:color w:val="auto"/>
              </w:rPr>
            </w:pPr>
          </w:p>
        </w:tc>
        <w:tc>
          <w:tcPr>
            <w:tcW w:w="860" w:type="dxa"/>
            <w:vAlign w:val="bottom"/>
            <w:gridSpan w:val="3"/>
          </w:tcPr>
          <w:p>
            <w:pPr>
              <w:jc w:val="right"/>
              <w:ind w:right="93"/>
              <w:spacing w:after="0" w:line="135" w:lineRule="exact"/>
              <w:rPr>
                <w:sz w:val="20"/>
                <w:szCs w:val="20"/>
                <w:color w:val="auto"/>
              </w:rPr>
            </w:pPr>
            <w:r>
              <w:rPr>
                <w:rFonts w:ascii="Arial" w:cs="Arial" w:eastAsia="Arial" w:hAnsi="Arial"/>
                <w:sz w:val="13"/>
                <w:szCs w:val="13"/>
                <w:b w:val="1"/>
                <w:bCs w:val="1"/>
                <w:color w:val="auto"/>
              </w:rPr>
              <w:t>Acquired</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60" w:type="dxa"/>
            <w:vAlign w:val="bottom"/>
            <w:tcBorders>
              <w:bottom w:val="single" w:sz="8" w:color="auto"/>
            </w:tcBorders>
            <w:gridSpan w:val="2"/>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7"/>
              </w:rPr>
              <w:t>Accounting</w:t>
            </w:r>
          </w:p>
        </w:tc>
        <w:tc>
          <w:tcPr>
            <w:tcW w:w="12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3"/>
                <w:szCs w:val="13"/>
                <w:b w:val="1"/>
                <w:bCs w:val="1"/>
                <w:color w:val="auto"/>
              </w:rPr>
              <w:t>Intangibles</w:t>
            </w:r>
          </w:p>
        </w:tc>
        <w:tc>
          <w:tcPr>
            <w:tcW w:w="14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3"/>
                <w:szCs w:val="13"/>
                <w:b w:val="1"/>
                <w:bCs w:val="1"/>
                <w:color w:val="auto"/>
              </w:rPr>
              <w:t>Total</w:t>
            </w: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40" w:type="dxa"/>
            <w:vAlign w:val="bottom"/>
            <w:gridSpan w:val="6"/>
            <w:shd w:val="clear" w:color="auto" w:fill="CCEEFF"/>
          </w:tcPr>
          <w:p>
            <w:pPr>
              <w:spacing w:after="0" w:line="155" w:lineRule="exact"/>
              <w:rPr>
                <w:sz w:val="20"/>
                <w:szCs w:val="20"/>
                <w:color w:val="auto"/>
              </w:rPr>
            </w:pPr>
            <w:r>
              <w:rPr>
                <w:rFonts w:ascii="Arial" w:cs="Arial" w:eastAsia="Arial" w:hAnsi="Arial"/>
                <w:sz w:val="14"/>
                <w:szCs w:val="14"/>
                <w:color w:val="auto"/>
              </w:rPr>
              <w:t>Net interest income after provisions for loan losses</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(16)</w:t>
            </w:r>
          </w:p>
        </w:tc>
        <w:tc>
          <w:tcPr>
            <w:tcW w:w="360" w:type="dxa"/>
            <w:vAlign w:val="bottom"/>
            <w:gridSpan w:val="2"/>
            <w:shd w:val="clear" w:color="auto" w:fill="CCEEFF"/>
          </w:tcPr>
          <w:p>
            <w:pPr>
              <w:ind w:left="160"/>
              <w:spacing w:after="0" w:line="155"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13"/>
              <w:spacing w:after="0" w:line="155"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129"/>
              <w:spacing w:after="0" w:line="155" w:lineRule="exact"/>
              <w:rPr>
                <w:sz w:val="20"/>
                <w:szCs w:val="20"/>
                <w:color w:val="auto"/>
              </w:rPr>
            </w:pPr>
            <w:r>
              <w:rPr>
                <w:rFonts w:ascii="Arial" w:cs="Arial" w:eastAsia="Arial" w:hAnsi="Arial"/>
                <w:sz w:val="14"/>
                <w:szCs w:val="14"/>
                <w:color w:val="auto"/>
              </w:rPr>
              <w:t>$</w:t>
            </w:r>
          </w:p>
        </w:tc>
        <w:tc>
          <w:tcPr>
            <w:tcW w:w="360" w:type="dxa"/>
            <w:vAlign w:val="bottom"/>
            <w:tcBorders>
              <w:right w:val="single" w:sz="8" w:color="CCEEFF"/>
            </w:tcBorders>
            <w:gridSpan w:val="2"/>
            <w:shd w:val="clear" w:color="auto" w:fill="CCEEFF"/>
          </w:tcPr>
          <w:p>
            <w:pPr>
              <w:jc w:val="right"/>
              <w:ind w:right="80"/>
              <w:spacing w:after="0" w:line="155" w:lineRule="exact"/>
              <w:rPr>
                <w:sz w:val="20"/>
                <w:szCs w:val="20"/>
                <w:color w:val="auto"/>
              </w:rPr>
            </w:pPr>
            <w:r>
              <w:rPr>
                <w:rFonts w:ascii="Arial" w:cs="Arial" w:eastAsia="Arial" w:hAnsi="Arial"/>
                <w:sz w:val="14"/>
                <w:szCs w:val="14"/>
                <w:color w:val="auto"/>
              </w:rPr>
              <w:t>(16)</w:t>
            </w: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60" w:type="dxa"/>
            <w:vAlign w:val="bottom"/>
            <w:gridSpan w:val="2"/>
          </w:tcPr>
          <w:p>
            <w:pPr>
              <w:spacing w:after="0"/>
              <w:rPr>
                <w:sz w:val="20"/>
                <w:szCs w:val="20"/>
                <w:color w:val="auto"/>
              </w:rPr>
            </w:pPr>
            <w:r>
              <w:rPr>
                <w:rFonts w:ascii="Arial" w:cs="Arial" w:eastAsia="Arial" w:hAnsi="Arial"/>
                <w:sz w:val="14"/>
                <w:szCs w:val="14"/>
                <w:color w:val="auto"/>
              </w:rPr>
              <w:t>Total other income (loss)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right"/>
              <w:ind w:right="15"/>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380" w:type="dxa"/>
            <w:vAlign w:val="bottom"/>
            <w:gridSpan w:val="11"/>
            <w:shd w:val="clear" w:color="auto" w:fill="CCEEFF"/>
          </w:tcPr>
          <w:p>
            <w:pPr>
              <w:spacing w:after="0"/>
              <w:rPr>
                <w:sz w:val="20"/>
                <w:szCs w:val="20"/>
                <w:color w:val="auto"/>
              </w:rPr>
            </w:pPr>
            <w:r>
              <w:rPr>
                <w:rFonts w:ascii="Arial" w:cs="Arial" w:eastAsia="Arial" w:hAnsi="Arial"/>
                <w:sz w:val="14"/>
                <w:szCs w:val="14"/>
                <w:color w:val="auto"/>
              </w:rPr>
              <w:t>Goodwill and acquired intangible asset impairment and amortization</w:t>
            </w: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gridSpan w:val="2"/>
            <w:shd w:val="clear" w:color="auto" w:fill="CCEEFF"/>
          </w:tcPr>
          <w:p>
            <w:pPr>
              <w:jc w:val="right"/>
              <w:ind w:right="13"/>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auto"/>
              <w:right w:val="single" w:sz="8" w:color="CCEEFF"/>
            </w:tcBorders>
            <w:shd w:val="clear" w:color="auto" w:fill="CCEEFF"/>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80" w:type="dxa"/>
            <w:vAlign w:val="bottom"/>
            <w:gridSpan w:val="4"/>
          </w:tcPr>
          <w:p>
            <w:pPr>
              <w:spacing w:after="0"/>
              <w:rPr>
                <w:sz w:val="20"/>
                <w:szCs w:val="20"/>
                <w:color w:val="auto"/>
              </w:rPr>
            </w:pPr>
            <w:r>
              <w:rPr>
                <w:rFonts w:ascii="Arial" w:cs="Arial" w:eastAsia="Arial" w:hAnsi="Arial"/>
                <w:sz w:val="14"/>
                <w:szCs w:val="14"/>
                <w:color w:val="auto"/>
              </w:rPr>
              <w:t>Total Core Earnings adjustments to GAAP</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5"/>
              <w:spacing w:after="0"/>
              <w:rPr>
                <w:sz w:val="20"/>
                <w:szCs w:val="20"/>
                <w:color w:val="auto"/>
              </w:rPr>
            </w:pPr>
            <w:r>
              <w:rPr>
                <w:rFonts w:ascii="Arial" w:cs="Arial" w:eastAsia="Arial" w:hAnsi="Arial"/>
                <w:sz w:val="14"/>
                <w:szCs w:val="14"/>
                <w:color w:val="auto"/>
              </w:rPr>
              <w:t>27</w:t>
            </w:r>
          </w:p>
        </w:tc>
        <w:tc>
          <w:tcPr>
            <w:tcW w:w="3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60" w:type="dxa"/>
            <w:vAlign w:val="bottom"/>
            <w:gridSpan w:val="2"/>
            <w:shd w:val="clear" w:color="auto" w:fill="CCEEFF"/>
          </w:tcPr>
          <w:p>
            <w:pPr>
              <w:spacing w:after="0" w:line="156" w:lineRule="exact"/>
              <w:rPr>
                <w:sz w:val="20"/>
                <w:szCs w:val="20"/>
                <w:color w:val="auto"/>
              </w:rPr>
            </w:pPr>
            <w:r>
              <w:rPr>
                <w:rFonts w:ascii="Arial" w:cs="Arial" w:eastAsia="Arial" w:hAnsi="Arial"/>
                <w:sz w:val="14"/>
                <w:szCs w:val="14"/>
                <w:color w:val="auto"/>
              </w:rPr>
              <w:t>Income tax expense (benefit)</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3</w:t>
            </w:r>
          </w:p>
        </w:tc>
        <w:tc>
          <w:tcPr>
            <w:tcW w:w="120" w:type="dxa"/>
            <w:vAlign w:val="bottom"/>
            <w:tcBorders>
              <w:bottom w:val="single" w:sz="8" w:color="auto"/>
              <w:right w:val="single" w:sz="8" w:color="CCEEFF"/>
            </w:tcBorders>
            <w:shd w:val="clear" w:color="auto" w:fill="CCEEFF"/>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6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320" w:hanging="316"/>
        <w:spacing w:after="0"/>
        <w:tabs>
          <w:tab w:leader="none" w:pos="320" w:val="left"/>
        </w:tabs>
        <w:numPr>
          <w:ilvl w:val="0"/>
          <w:numId w:val="15"/>
        </w:numPr>
        <w:rPr>
          <w:rFonts w:ascii="Arial" w:cs="Arial" w:eastAsia="Arial" w:hAnsi="Arial"/>
          <w:sz w:val="24"/>
          <w:szCs w:val="24"/>
          <w:color w:val="auto"/>
          <w:vertAlign w:val="superscript"/>
        </w:rPr>
      </w:pPr>
      <w:r>
        <w:rPr>
          <w:rFonts w:ascii="Arial" w:cs="Arial" w:eastAsia="Arial" w:hAnsi="Arial"/>
          <w:sz w:val="14"/>
          <w:szCs w:val="14"/>
          <w:color w:val="auto"/>
        </w:rPr>
        <w:t>Income taxes are based on a percentage of net income before tax for the individual reportable segment.</w:t>
      </w:r>
    </w:p>
    <w:p>
      <w:pPr>
        <w:spacing w:after="0" w:line="127" w:lineRule="exact"/>
        <w:rPr>
          <w:sz w:val="20"/>
          <w:szCs w:val="20"/>
          <w:color w:val="auto"/>
        </w:rPr>
      </w:pPr>
    </w:p>
    <w:p>
      <w:pPr>
        <w:ind w:left="1078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040"/>
          </w:cols>
          <w:pgMar w:left="440" w:top="287" w:right="4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560" w:type="dxa"/>
            <w:vAlign w:val="bottom"/>
            <w:gridSpan w:val="11"/>
          </w:tcPr>
          <w:p>
            <w:pPr>
              <w:jc w:val="right"/>
              <w:ind w:right="509"/>
              <w:spacing w:after="0"/>
              <w:rPr>
                <w:sz w:val="20"/>
                <w:szCs w:val="20"/>
                <w:color w:val="auto"/>
              </w:rPr>
            </w:pPr>
            <w:r>
              <w:rPr>
                <w:rFonts w:ascii="Arial" w:cs="Arial" w:eastAsia="Arial" w:hAnsi="Arial"/>
                <w:sz w:val="14"/>
                <w:szCs w:val="14"/>
                <w:b w:val="1"/>
                <w:bCs w:val="1"/>
                <w:color w:val="auto"/>
              </w:rPr>
              <w:t>QUARTER ENDED SEPTEMBER 30, 2019</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gridSpan w:val="2"/>
          </w:tcPr>
          <w:p>
            <w:pPr>
              <w:jc w:val="right"/>
              <w:ind w:right="9"/>
              <w:spacing w:after="0"/>
              <w:rPr>
                <w:sz w:val="20"/>
                <w:szCs w:val="20"/>
                <w:color w:val="auto"/>
              </w:rPr>
            </w:pPr>
            <w:r>
              <w:rPr>
                <w:rFonts w:ascii="Arial" w:cs="Arial" w:eastAsia="Arial" w:hAnsi="Arial"/>
                <w:sz w:val="12"/>
                <w:szCs w:val="12"/>
                <w:b w:val="1"/>
                <w:bCs w:val="1"/>
                <w:color w:val="auto"/>
              </w:rPr>
              <w:t>Federal</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jc w:val="right"/>
              <w:ind w:right="89"/>
              <w:spacing w:after="0"/>
              <w:rPr>
                <w:sz w:val="20"/>
                <w:szCs w:val="20"/>
                <w:color w:val="auto"/>
              </w:rPr>
            </w:pPr>
            <w:r>
              <w:rPr>
                <w:rFonts w:ascii="Arial" w:cs="Arial" w:eastAsia="Arial" w:hAnsi="Arial"/>
                <w:sz w:val="12"/>
                <w:szCs w:val="12"/>
                <w:b w:val="1"/>
                <w:bCs w:val="1"/>
                <w:color w:val="auto"/>
              </w:rPr>
              <w:t>Total</w:t>
            </w:r>
          </w:p>
        </w:tc>
        <w:tc>
          <w:tcPr>
            <w:tcW w:w="2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ind w:left="180"/>
              <w:spacing w:after="0"/>
              <w:rPr>
                <w:sz w:val="20"/>
                <w:szCs w:val="20"/>
                <w:color w:val="auto"/>
              </w:rPr>
            </w:pPr>
            <w:r>
              <w:rPr>
                <w:rFonts w:ascii="Arial" w:cs="Arial" w:eastAsia="Arial" w:hAnsi="Arial"/>
                <w:sz w:val="12"/>
                <w:szCs w:val="12"/>
                <w:b w:val="1"/>
                <w:bCs w:val="1"/>
                <w:color w:val="auto"/>
              </w:rPr>
              <w:t>Adjustments</w:t>
            </w: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(Dollars in millions)</w:t>
            </w:r>
          </w:p>
        </w:tc>
        <w:tc>
          <w:tcPr>
            <w:tcW w:w="560" w:type="dxa"/>
            <w:vAlign w:val="bottom"/>
            <w:gridSpan w:val="2"/>
          </w:tcPr>
          <w:p>
            <w:pPr>
              <w:spacing w:after="0" w:line="117" w:lineRule="exact"/>
              <w:rPr>
                <w:sz w:val="20"/>
                <w:szCs w:val="20"/>
                <w:color w:val="auto"/>
              </w:rPr>
            </w:pPr>
            <w:r>
              <w:rPr>
                <w:rFonts w:ascii="Arial" w:cs="Arial" w:eastAsia="Arial" w:hAnsi="Arial"/>
                <w:sz w:val="12"/>
                <w:szCs w:val="12"/>
                <w:b w:val="1"/>
                <w:bCs w:val="1"/>
                <w:color w:val="auto"/>
                <w:w w:val="93"/>
              </w:rPr>
              <w:t>Education</w:t>
            </w:r>
          </w:p>
        </w:tc>
        <w:tc>
          <w:tcPr>
            <w:tcW w:w="800" w:type="dxa"/>
            <w:vAlign w:val="bottom"/>
            <w:gridSpan w:val="3"/>
          </w:tcPr>
          <w:p>
            <w:pPr>
              <w:ind w:left="200"/>
              <w:spacing w:after="0" w:line="117" w:lineRule="exact"/>
              <w:rPr>
                <w:sz w:val="20"/>
                <w:szCs w:val="20"/>
                <w:color w:val="auto"/>
              </w:rPr>
            </w:pPr>
            <w:r>
              <w:rPr>
                <w:rFonts w:ascii="Arial" w:cs="Arial" w:eastAsia="Arial" w:hAnsi="Arial"/>
                <w:sz w:val="12"/>
                <w:szCs w:val="12"/>
                <w:b w:val="1"/>
                <w:bCs w:val="1"/>
                <w:color w:val="auto"/>
                <w:w w:val="97"/>
              </w:rPr>
              <w:t>Consumer</w:t>
            </w:r>
          </w:p>
        </w:tc>
        <w:tc>
          <w:tcPr>
            <w:tcW w:w="200" w:type="dxa"/>
            <w:vAlign w:val="bottom"/>
          </w:tcPr>
          <w:p>
            <w:pPr>
              <w:spacing w:after="0"/>
              <w:rPr>
                <w:sz w:val="10"/>
                <w:szCs w:val="10"/>
                <w:color w:val="auto"/>
              </w:rPr>
            </w:pPr>
          </w:p>
        </w:tc>
        <w:tc>
          <w:tcPr>
            <w:tcW w:w="620" w:type="dxa"/>
            <w:vAlign w:val="bottom"/>
            <w:gridSpan w:val="2"/>
          </w:tcPr>
          <w:p>
            <w:pPr>
              <w:jc w:val="right"/>
              <w:spacing w:after="0" w:line="117" w:lineRule="exact"/>
              <w:rPr>
                <w:sz w:val="20"/>
                <w:szCs w:val="20"/>
                <w:color w:val="auto"/>
              </w:rPr>
            </w:pPr>
            <w:r>
              <w:rPr>
                <w:rFonts w:ascii="Arial" w:cs="Arial" w:eastAsia="Arial" w:hAnsi="Arial"/>
                <w:sz w:val="12"/>
                <w:szCs w:val="12"/>
                <w:b w:val="1"/>
                <w:bCs w:val="1"/>
                <w:color w:val="auto"/>
              </w:rPr>
              <w:t>Business</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89"/>
              <w:spacing w:after="0" w:line="117" w:lineRule="exact"/>
              <w:rPr>
                <w:sz w:val="20"/>
                <w:szCs w:val="20"/>
                <w:color w:val="auto"/>
              </w:rPr>
            </w:pPr>
            <w:r>
              <w:rPr>
                <w:rFonts w:ascii="Arial" w:cs="Arial" w:eastAsia="Arial" w:hAnsi="Arial"/>
                <w:sz w:val="12"/>
                <w:szCs w:val="12"/>
                <w:b w:val="1"/>
                <w:bCs w:val="1"/>
                <w:color w:val="auto"/>
              </w:rPr>
              <w:t>Core</w:t>
            </w: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ind w:right="49"/>
              <w:spacing w:after="0" w:line="117" w:lineRule="exact"/>
              <w:rPr>
                <w:sz w:val="20"/>
                <w:szCs w:val="20"/>
                <w:color w:val="auto"/>
              </w:rPr>
            </w:pPr>
            <w:r>
              <w:rPr>
                <w:rFonts w:ascii="Arial" w:cs="Arial" w:eastAsia="Arial" w:hAnsi="Arial"/>
                <w:sz w:val="12"/>
                <w:szCs w:val="12"/>
                <w:b w:val="1"/>
                <w:bCs w:val="1"/>
                <w:color w:val="auto"/>
                <w:w w:val="95"/>
              </w:rPr>
              <w:t>Additions/</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ind w:right="209"/>
              <w:spacing w:after="0" w:line="117" w:lineRule="exact"/>
              <w:rPr>
                <w:sz w:val="20"/>
                <w:szCs w:val="20"/>
                <w:color w:val="auto"/>
              </w:rPr>
            </w:pPr>
            <w:r>
              <w:rPr>
                <w:rFonts w:ascii="Arial" w:cs="Arial" w:eastAsia="Arial" w:hAnsi="Arial"/>
                <w:sz w:val="12"/>
                <w:szCs w:val="12"/>
                <w:b w:val="1"/>
                <w:bCs w:val="1"/>
                <w:color w:val="auto"/>
              </w:rPr>
              <w:t>Total</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center"/>
              <w:ind w:right="140"/>
              <w:spacing w:after="0" w:line="117"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47"/>
        </w:trPr>
        <w:tc>
          <w:tcPr>
            <w:tcW w:w="34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49"/>
              <w:spacing w:after="0"/>
              <w:rPr>
                <w:sz w:val="20"/>
                <w:szCs w:val="20"/>
                <w:color w:val="auto"/>
              </w:rPr>
            </w:pPr>
            <w:r>
              <w:rPr>
                <w:rFonts w:ascii="Arial" w:cs="Arial" w:eastAsia="Arial" w:hAnsi="Arial"/>
                <w:sz w:val="12"/>
                <w:szCs w:val="12"/>
                <w:b w:val="1"/>
                <w:bCs w:val="1"/>
                <w:color w:val="auto"/>
                <w:w w:val="96"/>
              </w:rPr>
              <w:t>Loans</w:t>
            </w:r>
          </w:p>
        </w:tc>
        <w:tc>
          <w:tcPr>
            <w:tcW w:w="220" w:type="dxa"/>
            <w:vAlign w:val="bottom"/>
          </w:tcPr>
          <w:p>
            <w:pPr>
              <w:spacing w:after="0"/>
              <w:rPr>
                <w:sz w:val="12"/>
                <w:szCs w:val="12"/>
                <w:color w:val="auto"/>
              </w:rPr>
            </w:pPr>
          </w:p>
        </w:tc>
        <w:tc>
          <w:tcPr>
            <w:tcW w:w="580" w:type="dxa"/>
            <w:vAlign w:val="bottom"/>
            <w:gridSpan w:val="2"/>
          </w:tcPr>
          <w:p>
            <w:pPr>
              <w:jc w:val="right"/>
              <w:ind w:right="8"/>
              <w:spacing w:after="0"/>
              <w:rPr>
                <w:sz w:val="20"/>
                <w:szCs w:val="20"/>
                <w:color w:val="auto"/>
              </w:rPr>
            </w:pPr>
            <w:r>
              <w:rPr>
                <w:rFonts w:ascii="Arial" w:cs="Arial" w:eastAsia="Arial" w:hAnsi="Arial"/>
                <w:sz w:val="12"/>
                <w:szCs w:val="12"/>
                <w:b w:val="1"/>
                <w:bCs w:val="1"/>
                <w:color w:val="auto"/>
              </w:rPr>
              <w:t>Lending</w:t>
            </w:r>
          </w:p>
        </w:tc>
        <w:tc>
          <w:tcPr>
            <w:tcW w:w="820" w:type="dxa"/>
            <w:vAlign w:val="bottom"/>
            <w:gridSpan w:val="3"/>
          </w:tcPr>
          <w:p>
            <w:pPr>
              <w:ind w:left="180"/>
              <w:spacing w:after="0"/>
              <w:rPr>
                <w:sz w:val="20"/>
                <w:szCs w:val="20"/>
                <w:color w:val="auto"/>
              </w:rPr>
            </w:pPr>
            <w:r>
              <w:rPr>
                <w:rFonts w:ascii="Arial" w:cs="Arial" w:eastAsia="Arial" w:hAnsi="Arial"/>
                <w:sz w:val="12"/>
                <w:szCs w:val="12"/>
                <w:b w:val="1"/>
                <w:bCs w:val="1"/>
                <w:color w:val="auto"/>
                <w:w w:val="95"/>
              </w:rPr>
              <w:t>Processing</w:t>
            </w:r>
          </w:p>
        </w:tc>
        <w:tc>
          <w:tcPr>
            <w:tcW w:w="220" w:type="dxa"/>
            <w:vAlign w:val="bottom"/>
          </w:tcPr>
          <w:p>
            <w:pPr>
              <w:spacing w:after="0"/>
              <w:rPr>
                <w:sz w:val="12"/>
                <w:szCs w:val="12"/>
                <w:color w:val="auto"/>
              </w:rPr>
            </w:pPr>
          </w:p>
        </w:tc>
        <w:tc>
          <w:tcPr>
            <w:tcW w:w="420" w:type="dxa"/>
            <w:vAlign w:val="bottom"/>
          </w:tcPr>
          <w:p>
            <w:pPr>
              <w:jc w:val="right"/>
              <w:ind w:right="9"/>
              <w:spacing w:after="0"/>
              <w:rPr>
                <w:sz w:val="20"/>
                <w:szCs w:val="20"/>
                <w:color w:val="auto"/>
              </w:rPr>
            </w:pPr>
            <w:r>
              <w:rPr>
                <w:rFonts w:ascii="Arial" w:cs="Arial" w:eastAsia="Arial" w:hAnsi="Arial"/>
                <w:sz w:val="12"/>
                <w:szCs w:val="12"/>
                <w:b w:val="1"/>
                <w:bCs w:val="1"/>
                <w:color w:val="auto"/>
                <w:w w:val="99"/>
              </w:rPr>
              <w:t>Other</w:t>
            </w:r>
          </w:p>
        </w:tc>
        <w:tc>
          <w:tcPr>
            <w:tcW w:w="200" w:type="dxa"/>
            <w:vAlign w:val="bottom"/>
          </w:tcPr>
          <w:p>
            <w:pPr>
              <w:spacing w:after="0"/>
              <w:rPr>
                <w:sz w:val="12"/>
                <w:szCs w:val="12"/>
                <w:color w:val="auto"/>
              </w:rPr>
            </w:pPr>
          </w:p>
        </w:tc>
        <w:tc>
          <w:tcPr>
            <w:tcW w:w="560" w:type="dxa"/>
            <w:vAlign w:val="bottom"/>
            <w:gridSpan w:val="2"/>
          </w:tcPr>
          <w:p>
            <w:pPr>
              <w:jc w:val="right"/>
              <w:spacing w:after="0"/>
              <w:rPr>
                <w:sz w:val="20"/>
                <w:szCs w:val="20"/>
                <w:color w:val="auto"/>
              </w:rPr>
            </w:pPr>
            <w:r>
              <w:rPr>
                <w:rFonts w:ascii="Arial" w:cs="Arial" w:eastAsia="Arial" w:hAnsi="Arial"/>
                <w:sz w:val="12"/>
                <w:szCs w:val="12"/>
                <w:b w:val="1"/>
                <w:bCs w:val="1"/>
                <w:color w:val="auto"/>
                <w:w w:val="97"/>
              </w:rPr>
              <w:t>Earnings</w:t>
            </w:r>
          </w:p>
        </w:tc>
        <w:tc>
          <w:tcPr>
            <w:tcW w:w="1160" w:type="dxa"/>
            <w:vAlign w:val="bottom"/>
            <w:gridSpan w:val="3"/>
          </w:tcPr>
          <w:p>
            <w:pPr>
              <w:ind w:left="200"/>
              <w:spacing w:after="0"/>
              <w:rPr>
                <w:sz w:val="20"/>
                <w:szCs w:val="20"/>
                <w:color w:val="auto"/>
              </w:rPr>
            </w:pPr>
            <w:r>
              <w:rPr>
                <w:rFonts w:ascii="Arial" w:cs="Arial" w:eastAsia="Arial" w:hAnsi="Arial"/>
                <w:sz w:val="12"/>
                <w:szCs w:val="12"/>
                <w:b w:val="1"/>
                <w:bCs w:val="1"/>
                <w:color w:val="auto"/>
                <w:w w:val="95"/>
              </w:rPr>
              <w:t>Reclassifications</w:t>
            </w:r>
          </w:p>
        </w:tc>
        <w:tc>
          <w:tcPr>
            <w:tcW w:w="1000" w:type="dxa"/>
            <w:vAlign w:val="bottom"/>
            <w:gridSpan w:val="3"/>
          </w:tcPr>
          <w:p>
            <w:pPr>
              <w:ind w:left="200"/>
              <w:spacing w:after="0"/>
              <w:rPr>
                <w:sz w:val="20"/>
                <w:szCs w:val="20"/>
                <w:color w:val="auto"/>
              </w:rPr>
            </w:pPr>
            <w:r>
              <w:rPr>
                <w:rFonts w:ascii="Arial" w:cs="Arial" w:eastAsia="Arial" w:hAnsi="Arial"/>
                <w:sz w:val="12"/>
                <w:szCs w:val="12"/>
                <w:b w:val="1"/>
                <w:bCs w:val="1"/>
                <w:color w:val="auto"/>
                <w:w w:val="95"/>
              </w:rPr>
              <w:t>(Subtractions)</w:t>
            </w:r>
          </w:p>
        </w:tc>
        <w:tc>
          <w:tcPr>
            <w:tcW w:w="1040" w:type="dxa"/>
            <w:vAlign w:val="bottom"/>
            <w:gridSpan w:val="3"/>
          </w:tcPr>
          <w:p>
            <w:pPr>
              <w:ind w:left="200"/>
              <w:spacing w:after="0"/>
              <w:rPr>
                <w:sz w:val="20"/>
                <w:szCs w:val="20"/>
                <w:color w:val="auto"/>
              </w:rPr>
            </w:pPr>
            <w:r>
              <w:rPr>
                <w:rFonts w:ascii="Arial" w:cs="Arial" w:eastAsia="Arial" w:hAnsi="Arial"/>
                <w:sz w:val="12"/>
                <w:szCs w:val="12"/>
                <w:b w:val="1"/>
                <w:bCs w:val="1"/>
                <w:color w:val="auto"/>
                <w:w w:val="97"/>
              </w:rPr>
              <w:t>Adjustments</w:t>
            </w:r>
            <w:r>
              <w:rPr>
                <w:rFonts w:ascii="Arial" w:cs="Arial" w:eastAsia="Arial" w:hAnsi="Arial"/>
                <w:sz w:val="9"/>
                <w:szCs w:val="9"/>
                <w:b w:val="1"/>
                <w:bCs w:val="1"/>
                <w:color w:val="auto"/>
                <w:w w:val="97"/>
              </w:rPr>
              <w:t>(1)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2"/>
              </w:rPr>
              <w:t>GAAP</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Interest income:</w:t>
            </w: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gridSpan w:val="2"/>
          </w:tcPr>
          <w:p>
            <w:pPr>
              <w:ind w:left="200"/>
              <w:spacing w:after="0"/>
              <w:rPr>
                <w:sz w:val="20"/>
                <w:szCs w:val="20"/>
                <w:color w:val="auto"/>
              </w:rPr>
            </w:pPr>
            <w:r>
              <w:rPr>
                <w:rFonts w:ascii="Arial" w:cs="Arial" w:eastAsia="Arial" w:hAnsi="Arial"/>
                <w:sz w:val="14"/>
                <w:szCs w:val="14"/>
                <w:color w:val="auto"/>
              </w:rPr>
              <w:t>Education loans</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ind w:right="49"/>
              <w:spacing w:after="0"/>
              <w:rPr>
                <w:sz w:val="20"/>
                <w:szCs w:val="20"/>
                <w:color w:val="auto"/>
              </w:rPr>
            </w:pPr>
            <w:r>
              <w:rPr>
                <w:rFonts w:ascii="Arial" w:cs="Arial" w:eastAsia="Arial" w:hAnsi="Arial"/>
                <w:sz w:val="14"/>
                <w:szCs w:val="14"/>
                <w:color w:val="auto"/>
              </w:rPr>
              <w:t>721</w:t>
            </w:r>
          </w:p>
        </w:tc>
        <w:tc>
          <w:tcPr>
            <w:tcW w:w="36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437</w:t>
            </w:r>
          </w:p>
        </w:tc>
        <w:tc>
          <w:tcPr>
            <w:tcW w:w="4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9"/>
              <w:spacing w:after="0"/>
              <w:rPr>
                <w:sz w:val="20"/>
                <w:szCs w:val="20"/>
                <w:color w:val="auto"/>
              </w:rPr>
            </w:pPr>
            <w:r>
              <w:rPr>
                <w:rFonts w:ascii="Arial" w:cs="Arial" w:eastAsia="Arial" w:hAnsi="Arial"/>
                <w:sz w:val="14"/>
                <w:szCs w:val="14"/>
                <w:color w:val="auto"/>
              </w:rPr>
              <w:t>$ —</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49"/>
              <w:spacing w:after="0"/>
              <w:rPr>
                <w:sz w:val="20"/>
                <w:szCs w:val="20"/>
                <w:color w:val="auto"/>
              </w:rPr>
            </w:pPr>
            <w:r>
              <w:rPr>
                <w:rFonts w:ascii="Arial" w:cs="Arial" w:eastAsia="Arial" w:hAnsi="Arial"/>
                <w:sz w:val="14"/>
                <w:szCs w:val="14"/>
                <w:color w:val="auto"/>
              </w:rPr>
              <w:t>1,158</w:t>
            </w:r>
          </w:p>
        </w:tc>
        <w:tc>
          <w:tcPr>
            <w:tcW w:w="58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3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(17)</w:t>
            </w:r>
          </w:p>
        </w:tc>
        <w:tc>
          <w:tcPr>
            <w:tcW w:w="38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(15)</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69"/>
              <w:spacing w:after="0"/>
              <w:rPr>
                <w:sz w:val="20"/>
                <w:szCs w:val="20"/>
                <w:color w:val="auto"/>
              </w:rPr>
            </w:pPr>
            <w:r>
              <w:rPr>
                <w:rFonts w:ascii="Arial" w:cs="Arial" w:eastAsia="Arial" w:hAnsi="Arial"/>
                <w:sz w:val="14"/>
                <w:szCs w:val="14"/>
                <w:color w:val="auto"/>
                <w:w w:val="96"/>
              </w:rPr>
              <w:t>1,143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Other loans</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20" w:type="dxa"/>
            <w:vAlign w:val="bottom"/>
            <w:gridSpan w:val="2"/>
          </w:tcPr>
          <w:p>
            <w:pPr>
              <w:ind w:left="200"/>
              <w:spacing w:after="0"/>
              <w:rPr>
                <w:sz w:val="20"/>
                <w:szCs w:val="20"/>
                <w:color w:val="auto"/>
              </w:rPr>
            </w:pPr>
            <w:r>
              <w:rPr>
                <w:rFonts w:ascii="Arial" w:cs="Arial" w:eastAsia="Arial" w:hAnsi="Arial"/>
                <w:sz w:val="14"/>
                <w:szCs w:val="14"/>
                <w:color w:val="auto"/>
              </w:rPr>
              <w:t>Cash and investments</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8</w:t>
            </w:r>
          </w:p>
        </w:tc>
        <w:tc>
          <w:tcPr>
            <w:tcW w:w="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23</w:t>
            </w: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interest income</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732</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441</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8</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1,181</w:t>
            </w: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96"/>
              </w:rPr>
              <w:t>1,166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40" w:type="dxa"/>
            <w:vAlign w:val="bottom"/>
            <w:gridSpan w:val="3"/>
          </w:tcPr>
          <w:p>
            <w:pPr>
              <w:spacing w:after="0"/>
              <w:rPr>
                <w:sz w:val="20"/>
                <w:szCs w:val="20"/>
                <w:color w:val="auto"/>
              </w:rPr>
            </w:pPr>
            <w:r>
              <w:rPr>
                <w:rFonts w:ascii="Arial" w:cs="Arial" w:eastAsia="Arial" w:hAnsi="Arial"/>
                <w:sz w:val="14"/>
                <w:szCs w:val="14"/>
                <w:color w:val="auto"/>
              </w:rPr>
              <w:t>Total interest expense</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588</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242</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42</w:t>
            </w:r>
          </w:p>
        </w:tc>
        <w:tc>
          <w:tcPr>
            <w:tcW w:w="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872</w:t>
            </w: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(18)</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854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interest income (loss)</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144</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199</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(34)</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309</w:t>
            </w: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312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40" w:type="dxa"/>
            <w:vAlign w:val="bottom"/>
            <w:gridSpan w:val="3"/>
          </w:tcPr>
          <w:p>
            <w:pPr>
              <w:spacing w:after="0"/>
              <w:rPr>
                <w:sz w:val="20"/>
                <w:szCs w:val="20"/>
                <w:color w:val="auto"/>
              </w:rPr>
            </w:pPr>
            <w:r>
              <w:rPr>
                <w:rFonts w:ascii="Arial" w:cs="Arial" w:eastAsia="Arial" w:hAnsi="Arial"/>
                <w:sz w:val="14"/>
                <w:szCs w:val="14"/>
                <w:color w:val="auto"/>
              </w:rPr>
              <w:t>Less: provisions for loan losses</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56</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64</w:t>
            </w: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64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interest income (loss) after provisions for loan</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420" w:type="dxa"/>
            <w:vAlign w:val="bottom"/>
            <w:gridSpan w:val="2"/>
            <w:shd w:val="clear" w:color="auto" w:fill="CCEEFF"/>
          </w:tcPr>
          <w:p>
            <w:pPr>
              <w:ind w:left="120"/>
              <w:spacing w:after="0" w:line="157" w:lineRule="exact"/>
              <w:rPr>
                <w:sz w:val="20"/>
                <w:szCs w:val="20"/>
                <w:color w:val="auto"/>
              </w:rPr>
            </w:pPr>
            <w:r>
              <w:rPr>
                <w:rFonts w:ascii="Arial" w:cs="Arial" w:eastAsia="Arial" w:hAnsi="Arial"/>
                <w:sz w:val="14"/>
                <w:szCs w:val="14"/>
                <w:color w:val="auto"/>
              </w:rPr>
              <w:t>losses</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136</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68"/>
              <w:spacing w:after="0" w:line="157" w:lineRule="exact"/>
              <w:rPr>
                <w:sz w:val="20"/>
                <w:szCs w:val="20"/>
                <w:color w:val="auto"/>
              </w:rPr>
            </w:pPr>
            <w:r>
              <w:rPr>
                <w:rFonts w:ascii="Arial" w:cs="Arial" w:eastAsia="Arial" w:hAnsi="Arial"/>
                <w:sz w:val="14"/>
                <w:szCs w:val="14"/>
                <w:color w:val="auto"/>
              </w:rPr>
              <w:t>143</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9"/>
              <w:spacing w:after="0" w:line="157" w:lineRule="exact"/>
              <w:rPr>
                <w:sz w:val="20"/>
                <w:szCs w:val="20"/>
                <w:color w:val="auto"/>
              </w:rPr>
            </w:pPr>
            <w:r>
              <w:rPr>
                <w:rFonts w:ascii="Arial" w:cs="Arial" w:eastAsia="Arial" w:hAnsi="Arial"/>
                <w:sz w:val="14"/>
                <w:szCs w:val="14"/>
                <w:color w:val="auto"/>
              </w:rPr>
              <w:t>(34)</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245</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6</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9"/>
              <w:spacing w:after="0" w:line="157" w:lineRule="exact"/>
              <w:rPr>
                <w:sz w:val="20"/>
                <w:szCs w:val="20"/>
                <w:color w:val="auto"/>
              </w:rPr>
            </w:pPr>
            <w:r>
              <w:rPr>
                <w:rFonts w:ascii="Arial" w:cs="Arial" w:eastAsia="Arial" w:hAnsi="Arial"/>
                <w:sz w:val="14"/>
                <w:szCs w:val="14"/>
                <w:color w:val="auto"/>
              </w:rPr>
              <w:t>(3)</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3</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69"/>
              <w:spacing w:after="0" w:line="157" w:lineRule="exact"/>
              <w:rPr>
                <w:sz w:val="20"/>
                <w:szCs w:val="20"/>
                <w:color w:val="auto"/>
              </w:rPr>
            </w:pPr>
            <w:r>
              <w:rPr>
                <w:rFonts w:ascii="Arial" w:cs="Arial" w:eastAsia="Arial" w:hAnsi="Arial"/>
                <w:sz w:val="14"/>
                <w:szCs w:val="14"/>
                <w:color w:val="auto"/>
              </w:rPr>
              <w:t>248</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40" w:type="dxa"/>
            <w:vAlign w:val="bottom"/>
            <w:gridSpan w:val="3"/>
          </w:tcPr>
          <w:p>
            <w:pPr>
              <w:spacing w:after="0"/>
              <w:rPr>
                <w:sz w:val="20"/>
                <w:szCs w:val="20"/>
                <w:color w:val="auto"/>
              </w:rPr>
            </w:pPr>
            <w:r>
              <w:rPr>
                <w:rFonts w:ascii="Arial" w:cs="Arial" w:eastAsia="Arial" w:hAnsi="Arial"/>
                <w:sz w:val="14"/>
                <w:szCs w:val="14"/>
                <w:color w:val="auto"/>
              </w:rPr>
              <w:t>Other income (loss):</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Servicing revenue</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57</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60</w:t>
            </w: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20" w:type="dxa"/>
            <w:vAlign w:val="bottom"/>
            <w:gridSpan w:val="2"/>
          </w:tcPr>
          <w:p>
            <w:pPr>
              <w:ind w:left="200"/>
              <w:spacing w:after="0"/>
              <w:rPr>
                <w:sz w:val="20"/>
                <w:szCs w:val="20"/>
                <w:color w:val="auto"/>
              </w:rPr>
            </w:pPr>
            <w:r>
              <w:rPr>
                <w:rFonts w:ascii="Arial" w:cs="Arial" w:eastAsia="Arial" w:hAnsi="Arial"/>
                <w:sz w:val="14"/>
                <w:szCs w:val="14"/>
                <w:color w:val="auto"/>
              </w:rPr>
              <w:t>Asset recovery and business processing</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420" w:type="dxa"/>
            <w:vAlign w:val="bottom"/>
            <w:gridSpan w:val="2"/>
          </w:tcPr>
          <w:p>
            <w:pPr>
              <w:ind w:left="420"/>
              <w:spacing w:after="0" w:line="157" w:lineRule="exact"/>
              <w:rPr>
                <w:sz w:val="20"/>
                <w:szCs w:val="20"/>
                <w:color w:val="auto"/>
              </w:rPr>
            </w:pPr>
            <w:r>
              <w:rPr>
                <w:rFonts w:ascii="Arial" w:cs="Arial" w:eastAsia="Arial" w:hAnsi="Arial"/>
                <w:sz w:val="14"/>
                <w:szCs w:val="14"/>
                <w:color w:val="auto"/>
              </w:rPr>
              <w:t>revenue</w:t>
            </w:r>
          </w:p>
        </w:tc>
        <w:tc>
          <w:tcPr>
            <w:tcW w:w="80" w:type="dxa"/>
            <w:vAlign w:val="bottom"/>
          </w:tcPr>
          <w:p>
            <w:pPr>
              <w:spacing w:after="0"/>
              <w:rPr>
                <w:sz w:val="13"/>
                <w:szCs w:val="13"/>
                <w:color w:val="auto"/>
              </w:rPr>
            </w:pPr>
          </w:p>
        </w:tc>
        <w:tc>
          <w:tcPr>
            <w:tcW w:w="480" w:type="dxa"/>
            <w:vAlign w:val="bottom"/>
          </w:tcPr>
          <w:p>
            <w:pPr>
              <w:jc w:val="right"/>
              <w:ind w:right="49"/>
              <w:spacing w:after="0" w:line="157" w:lineRule="exact"/>
              <w:rPr>
                <w:sz w:val="20"/>
                <w:szCs w:val="20"/>
                <w:color w:val="auto"/>
              </w:rPr>
            </w:pPr>
            <w:r>
              <w:rPr>
                <w:rFonts w:ascii="Arial" w:cs="Arial" w:eastAsia="Arial" w:hAnsi="Arial"/>
                <w:sz w:val="14"/>
                <w:szCs w:val="14"/>
                <w:color w:val="auto"/>
              </w:rPr>
              <w:t>57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66</w:t>
            </w:r>
          </w:p>
        </w:tc>
        <w:tc>
          <w:tcPr>
            <w:tcW w:w="220" w:type="dxa"/>
            <w:vAlign w:val="bottom"/>
          </w:tcPr>
          <w:p>
            <w:pPr>
              <w:spacing w:after="0"/>
              <w:rPr>
                <w:sz w:val="13"/>
                <w:szCs w:val="13"/>
                <w:color w:val="auto"/>
              </w:rPr>
            </w:pPr>
          </w:p>
        </w:tc>
        <w:tc>
          <w:tcPr>
            <w:tcW w:w="420" w:type="dxa"/>
            <w:vAlign w:val="bottom"/>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ind w:right="49"/>
              <w:spacing w:after="0" w:line="157" w:lineRule="exact"/>
              <w:rPr>
                <w:sz w:val="20"/>
                <w:szCs w:val="20"/>
                <w:color w:val="auto"/>
              </w:rPr>
            </w:pPr>
            <w:r>
              <w:rPr>
                <w:rFonts w:ascii="Arial" w:cs="Arial" w:eastAsia="Arial" w:hAnsi="Arial"/>
                <w:sz w:val="14"/>
                <w:szCs w:val="14"/>
                <w:color w:val="auto"/>
              </w:rPr>
              <w:t>123</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69"/>
              <w:spacing w:after="0" w:line="157" w:lineRule="exact"/>
              <w:rPr>
                <w:sz w:val="20"/>
                <w:szCs w:val="20"/>
                <w:color w:val="auto"/>
              </w:rPr>
            </w:pPr>
            <w:r>
              <w:rPr>
                <w:rFonts w:ascii="Arial" w:cs="Arial" w:eastAsia="Arial" w:hAnsi="Arial"/>
                <w:sz w:val="14"/>
                <w:szCs w:val="14"/>
                <w:color w:val="auto"/>
              </w:rPr>
              <w:t>123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Other income (loss)</w:t>
            </w:r>
          </w:p>
        </w:tc>
        <w:tc>
          <w:tcPr>
            <w:tcW w:w="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w:t>
            </w:r>
          </w:p>
        </w:tc>
        <w:tc>
          <w:tcPr>
            <w:tcW w:w="2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w:t>
            </w:r>
          </w:p>
        </w:tc>
        <w:tc>
          <w:tcPr>
            <w:tcW w:w="20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9</w:t>
            </w:r>
          </w:p>
        </w:tc>
        <w:tc>
          <w:tcPr>
            <w:tcW w:w="2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2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10</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w:t>
            </w:r>
          </w:p>
        </w:tc>
        <w:tc>
          <w:tcPr>
            <w:tcW w:w="2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40" w:type="dxa"/>
            <w:vAlign w:val="bottom"/>
            <w:gridSpan w:val="3"/>
          </w:tcPr>
          <w:p>
            <w:pPr>
              <w:spacing w:after="0"/>
              <w:rPr>
                <w:sz w:val="20"/>
                <w:szCs w:val="20"/>
                <w:color w:val="auto"/>
              </w:rPr>
            </w:pPr>
            <w:r>
              <w:rPr>
                <w:rFonts w:ascii="Arial" w:cs="Arial" w:eastAsia="Arial" w:hAnsi="Arial"/>
                <w:sz w:val="14"/>
                <w:szCs w:val="14"/>
                <w:color w:val="auto"/>
              </w:rPr>
              <w:t>Total other income (loss)</w:t>
            </w:r>
          </w:p>
        </w:tc>
        <w:tc>
          <w:tcPr>
            <w:tcW w:w="80" w:type="dxa"/>
            <w:vAlign w:val="bottom"/>
          </w:tcPr>
          <w:p>
            <w:pPr>
              <w:spacing w:after="0"/>
              <w:rPr>
                <w:sz w:val="14"/>
                <w:szCs w:val="14"/>
                <w:color w:val="auto"/>
              </w:rPr>
            </w:pPr>
          </w:p>
        </w:tc>
        <w:tc>
          <w:tcPr>
            <w:tcW w:w="480" w:type="dxa"/>
            <w:vAlign w:val="bottom"/>
          </w:tcPr>
          <w:p>
            <w:pPr>
              <w:jc w:val="right"/>
              <w:ind w:right="49"/>
              <w:spacing w:after="0"/>
              <w:rPr>
                <w:sz w:val="20"/>
                <w:szCs w:val="20"/>
                <w:color w:val="auto"/>
              </w:rPr>
            </w:pPr>
            <w:r>
              <w:rPr>
                <w:rFonts w:ascii="Arial" w:cs="Arial" w:eastAsia="Arial" w:hAnsi="Arial"/>
                <w:sz w:val="14"/>
                <w:szCs w:val="14"/>
                <w:color w:val="auto"/>
              </w:rPr>
              <w:t>120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66</w:t>
            </w:r>
          </w:p>
        </w:tc>
        <w:tc>
          <w:tcPr>
            <w:tcW w:w="640" w:type="dxa"/>
            <w:vAlign w:val="bottom"/>
            <w:gridSpan w:val="2"/>
          </w:tcPr>
          <w:p>
            <w:pPr>
              <w:jc w:val="right"/>
              <w:ind w:right="69"/>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ind w:right="49"/>
              <w:spacing w:after="0"/>
              <w:rPr>
                <w:sz w:val="20"/>
                <w:szCs w:val="20"/>
                <w:color w:val="auto"/>
              </w:rPr>
            </w:pPr>
            <w:r>
              <w:rPr>
                <w:rFonts w:ascii="Arial" w:cs="Arial" w:eastAsia="Arial" w:hAnsi="Arial"/>
                <w:sz w:val="14"/>
                <w:szCs w:val="14"/>
                <w:color w:val="auto"/>
              </w:rPr>
              <w:t>192</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69"/>
              <w:spacing w:after="0"/>
              <w:rPr>
                <w:sz w:val="20"/>
                <w:szCs w:val="20"/>
                <w:color w:val="auto"/>
              </w:rPr>
            </w:pPr>
            <w:r>
              <w:rPr>
                <w:rFonts w:ascii="Arial" w:cs="Arial" w:eastAsia="Arial" w:hAnsi="Arial"/>
                <w:sz w:val="14"/>
                <w:szCs w:val="14"/>
                <w:color w:val="auto"/>
              </w:rPr>
              <w:t>196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Expenses:</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gridSpan w:val="2"/>
          </w:tcPr>
          <w:p>
            <w:pPr>
              <w:ind w:left="200"/>
              <w:spacing w:after="0"/>
              <w:rPr>
                <w:sz w:val="20"/>
                <w:szCs w:val="20"/>
                <w:color w:val="auto"/>
              </w:rPr>
            </w:pPr>
            <w:r>
              <w:rPr>
                <w:rFonts w:ascii="Arial" w:cs="Arial" w:eastAsia="Arial" w:hAnsi="Arial"/>
                <w:sz w:val="14"/>
                <w:szCs w:val="14"/>
                <w:color w:val="auto"/>
              </w:rPr>
              <w:t>Direct operating expenses</w:t>
            </w:r>
          </w:p>
        </w:tc>
        <w:tc>
          <w:tcPr>
            <w:tcW w:w="80" w:type="dxa"/>
            <w:vAlign w:val="bottom"/>
          </w:tcPr>
          <w:p>
            <w:pPr>
              <w:spacing w:after="0"/>
              <w:rPr>
                <w:sz w:val="14"/>
                <w:szCs w:val="14"/>
                <w:color w:val="auto"/>
              </w:rPr>
            </w:pPr>
          </w:p>
        </w:tc>
        <w:tc>
          <w:tcPr>
            <w:tcW w:w="480" w:type="dxa"/>
            <w:vAlign w:val="bottom"/>
          </w:tcPr>
          <w:p>
            <w:pPr>
              <w:jc w:val="right"/>
              <w:ind w:right="49"/>
              <w:spacing w:after="0"/>
              <w:rPr>
                <w:sz w:val="20"/>
                <w:szCs w:val="20"/>
                <w:color w:val="auto"/>
              </w:rPr>
            </w:pPr>
            <w:r>
              <w:rPr>
                <w:rFonts w:ascii="Arial" w:cs="Arial" w:eastAsia="Arial" w:hAnsi="Arial"/>
                <w:sz w:val="14"/>
                <w:szCs w:val="14"/>
                <w:color w:val="auto"/>
              </w:rPr>
              <w:t>89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44</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54</w:t>
            </w:r>
          </w:p>
        </w:tc>
        <w:tc>
          <w:tcPr>
            <w:tcW w:w="220" w:type="dxa"/>
            <w:vAlign w:val="bottom"/>
          </w:tcPr>
          <w:p>
            <w:pPr>
              <w:spacing w:after="0"/>
              <w:rPr>
                <w:sz w:val="14"/>
                <w:szCs w:val="14"/>
                <w:color w:val="auto"/>
              </w:rPr>
            </w:pPr>
          </w:p>
        </w:tc>
        <w:tc>
          <w:tcPr>
            <w:tcW w:w="4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ind w:right="49"/>
              <w:spacing w:after="0"/>
              <w:rPr>
                <w:sz w:val="20"/>
                <w:szCs w:val="20"/>
                <w:color w:val="auto"/>
              </w:rPr>
            </w:pPr>
            <w:r>
              <w:rPr>
                <w:rFonts w:ascii="Arial" w:cs="Arial" w:eastAsia="Arial" w:hAnsi="Arial"/>
                <w:sz w:val="14"/>
                <w:szCs w:val="14"/>
                <w:color w:val="auto"/>
              </w:rPr>
              <w:t>187</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69"/>
              <w:spacing w:after="0"/>
              <w:rPr>
                <w:sz w:val="20"/>
                <w:szCs w:val="20"/>
                <w:color w:val="auto"/>
              </w:rPr>
            </w:pPr>
            <w:r>
              <w:rPr>
                <w:rFonts w:ascii="Arial" w:cs="Arial" w:eastAsia="Arial" w:hAnsi="Arial"/>
                <w:sz w:val="14"/>
                <w:szCs w:val="14"/>
                <w:color w:val="auto"/>
              </w:rPr>
              <w:t>187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Unallocated shared services expenses</w:t>
            </w:r>
          </w:p>
        </w:tc>
        <w:tc>
          <w:tcPr>
            <w:tcW w:w="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64</w:t>
            </w:r>
          </w:p>
        </w:tc>
        <w:tc>
          <w:tcPr>
            <w:tcW w:w="20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64</w:t>
            </w:r>
          </w:p>
        </w:tc>
        <w:tc>
          <w:tcPr>
            <w:tcW w:w="2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64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20" w:type="dxa"/>
            <w:vAlign w:val="bottom"/>
            <w:gridSpan w:val="2"/>
          </w:tcPr>
          <w:p>
            <w:pPr>
              <w:ind w:left="200"/>
              <w:spacing w:after="0"/>
              <w:rPr>
                <w:sz w:val="20"/>
                <w:szCs w:val="20"/>
                <w:color w:val="auto"/>
              </w:rPr>
            </w:pPr>
            <w:r>
              <w:rPr>
                <w:rFonts w:ascii="Arial" w:cs="Arial" w:eastAsia="Arial" w:hAnsi="Arial"/>
                <w:sz w:val="14"/>
                <w:szCs w:val="14"/>
                <w:color w:val="auto"/>
              </w:rPr>
              <w:t>Operating expenses</w:t>
            </w:r>
          </w:p>
        </w:tc>
        <w:tc>
          <w:tcPr>
            <w:tcW w:w="80" w:type="dxa"/>
            <w:vAlign w:val="bottom"/>
          </w:tcPr>
          <w:p>
            <w:pPr>
              <w:spacing w:after="0"/>
              <w:rPr>
                <w:sz w:val="14"/>
                <w:szCs w:val="14"/>
                <w:color w:val="auto"/>
              </w:rPr>
            </w:pPr>
          </w:p>
        </w:tc>
        <w:tc>
          <w:tcPr>
            <w:tcW w:w="480" w:type="dxa"/>
            <w:vAlign w:val="bottom"/>
          </w:tcPr>
          <w:p>
            <w:pPr>
              <w:jc w:val="right"/>
              <w:ind w:right="49"/>
              <w:spacing w:after="0"/>
              <w:rPr>
                <w:sz w:val="20"/>
                <w:szCs w:val="20"/>
                <w:color w:val="auto"/>
              </w:rPr>
            </w:pPr>
            <w:r>
              <w:rPr>
                <w:rFonts w:ascii="Arial" w:cs="Arial" w:eastAsia="Arial" w:hAnsi="Arial"/>
                <w:sz w:val="14"/>
                <w:szCs w:val="14"/>
                <w:color w:val="auto"/>
              </w:rPr>
              <w:t>89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44</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54</w:t>
            </w:r>
          </w:p>
        </w:tc>
        <w:tc>
          <w:tcPr>
            <w:tcW w:w="640" w:type="dxa"/>
            <w:vAlign w:val="bottom"/>
            <w:gridSpan w:val="2"/>
          </w:tcPr>
          <w:p>
            <w:pPr>
              <w:jc w:val="right"/>
              <w:ind w:right="69"/>
              <w:spacing w:after="0"/>
              <w:rPr>
                <w:sz w:val="20"/>
                <w:szCs w:val="20"/>
                <w:color w:val="auto"/>
              </w:rPr>
            </w:pPr>
            <w:r>
              <w:rPr>
                <w:rFonts w:ascii="Arial" w:cs="Arial" w:eastAsia="Arial" w:hAnsi="Arial"/>
                <w:sz w:val="14"/>
                <w:szCs w:val="14"/>
                <w:color w:val="auto"/>
              </w:rPr>
              <w:t>64</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ind w:right="49"/>
              <w:spacing w:after="0"/>
              <w:rPr>
                <w:sz w:val="20"/>
                <w:szCs w:val="20"/>
                <w:color w:val="auto"/>
              </w:rPr>
            </w:pPr>
            <w:r>
              <w:rPr>
                <w:rFonts w:ascii="Arial" w:cs="Arial" w:eastAsia="Arial" w:hAnsi="Arial"/>
                <w:sz w:val="14"/>
                <w:szCs w:val="14"/>
                <w:color w:val="auto"/>
              </w:rPr>
              <w:t>251</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69"/>
              <w:spacing w:after="0"/>
              <w:rPr>
                <w:sz w:val="20"/>
                <w:szCs w:val="20"/>
                <w:color w:val="auto"/>
              </w:rPr>
            </w:pPr>
            <w:r>
              <w:rPr>
                <w:rFonts w:ascii="Arial" w:cs="Arial" w:eastAsia="Arial" w:hAnsi="Arial"/>
                <w:sz w:val="14"/>
                <w:szCs w:val="14"/>
                <w:color w:val="auto"/>
              </w:rPr>
              <w:t>251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Goodwill and acquired intangible asset</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420" w:type="dxa"/>
            <w:vAlign w:val="bottom"/>
            <w:gridSpan w:val="2"/>
            <w:shd w:val="clear" w:color="auto" w:fill="CCEEFF"/>
          </w:tcPr>
          <w:p>
            <w:pPr>
              <w:ind w:left="420"/>
              <w:spacing w:after="0" w:line="157" w:lineRule="exact"/>
              <w:rPr>
                <w:sz w:val="20"/>
                <w:szCs w:val="20"/>
                <w:color w:val="auto"/>
              </w:rPr>
            </w:pPr>
            <w:r>
              <w:rPr>
                <w:rFonts w:ascii="Arial" w:cs="Arial" w:eastAsia="Arial" w:hAnsi="Arial"/>
                <w:sz w:val="14"/>
                <w:szCs w:val="14"/>
                <w:color w:val="auto"/>
              </w:rPr>
              <w:t>impairment and amortization</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6</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6</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69"/>
              <w:spacing w:after="0" w:line="157" w:lineRule="exact"/>
              <w:rPr>
                <w:sz w:val="20"/>
                <w:szCs w:val="20"/>
                <w:color w:val="auto"/>
              </w:rPr>
            </w:pPr>
            <w:r>
              <w:rPr>
                <w:rFonts w:ascii="Arial" w:cs="Arial" w:eastAsia="Arial" w:hAnsi="Arial"/>
                <w:sz w:val="14"/>
                <w:szCs w:val="14"/>
                <w:color w:val="auto"/>
              </w:rPr>
              <w:t>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20" w:type="dxa"/>
            <w:vAlign w:val="bottom"/>
            <w:gridSpan w:val="2"/>
          </w:tcPr>
          <w:p>
            <w:pPr>
              <w:ind w:left="200"/>
              <w:spacing w:after="0"/>
              <w:rPr>
                <w:sz w:val="20"/>
                <w:szCs w:val="20"/>
                <w:color w:val="auto"/>
              </w:rPr>
            </w:pPr>
            <w:r>
              <w:rPr>
                <w:rFonts w:ascii="Arial" w:cs="Arial" w:eastAsia="Arial" w:hAnsi="Arial"/>
                <w:sz w:val="14"/>
                <w:szCs w:val="14"/>
                <w:color w:val="auto"/>
              </w:rPr>
              <w:t>Restructuring/other reorganization</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420" w:type="dxa"/>
            <w:vAlign w:val="bottom"/>
            <w:gridSpan w:val="2"/>
          </w:tcPr>
          <w:p>
            <w:pPr>
              <w:ind w:left="420"/>
              <w:spacing w:after="0" w:line="157" w:lineRule="exact"/>
              <w:rPr>
                <w:sz w:val="20"/>
                <w:szCs w:val="20"/>
                <w:color w:val="auto"/>
              </w:rPr>
            </w:pPr>
            <w:r>
              <w:rPr>
                <w:rFonts w:ascii="Arial" w:cs="Arial" w:eastAsia="Arial" w:hAnsi="Arial"/>
                <w:sz w:val="14"/>
                <w:szCs w:val="14"/>
                <w:color w:val="auto"/>
              </w:rPr>
              <w:t>expenses</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20" w:type="dxa"/>
            <w:vAlign w:val="bottom"/>
            <w:tcBorders>
              <w:bottom w:val="single" w:sz="8" w:color="auto"/>
            </w:tcBorders>
          </w:tcPr>
          <w:p>
            <w:pPr>
              <w:jc w:val="right"/>
              <w:ind w:right="69"/>
              <w:spacing w:after="0" w:line="157" w:lineRule="exact"/>
              <w:rPr>
                <w:sz w:val="20"/>
                <w:szCs w:val="20"/>
                <w:color w:val="auto"/>
              </w:rPr>
            </w:pPr>
            <w:r>
              <w:rPr>
                <w:rFonts w:ascii="Arial" w:cs="Arial" w:eastAsia="Arial" w:hAnsi="Arial"/>
                <w:sz w:val="14"/>
                <w:szCs w:val="14"/>
                <w:color w:val="auto"/>
              </w:rPr>
              <w:t>2</w:t>
            </w:r>
          </w:p>
        </w:tc>
        <w:tc>
          <w:tcPr>
            <w:tcW w:w="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2</w:t>
            </w: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9"/>
              <w:spacing w:after="0" w:line="157" w:lineRule="exact"/>
              <w:rPr>
                <w:sz w:val="20"/>
                <w:szCs w:val="20"/>
                <w:color w:val="auto"/>
              </w:rPr>
            </w:pPr>
            <w:r>
              <w:rPr>
                <w:rFonts w:ascii="Arial" w:cs="Arial" w:eastAsia="Arial" w:hAnsi="Arial"/>
                <w:sz w:val="14"/>
                <w:szCs w:val="14"/>
                <w:color w:val="auto"/>
              </w:rPr>
              <w:t>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expenses</w:t>
            </w:r>
          </w:p>
        </w:tc>
        <w:tc>
          <w:tcPr>
            <w:tcW w:w="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89</w:t>
            </w:r>
          </w:p>
        </w:tc>
        <w:tc>
          <w:tcPr>
            <w:tcW w:w="2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44</w:t>
            </w:r>
          </w:p>
        </w:tc>
        <w:tc>
          <w:tcPr>
            <w:tcW w:w="2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w:t>
            </w:r>
          </w:p>
        </w:tc>
        <w:tc>
          <w:tcPr>
            <w:tcW w:w="22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66</w:t>
            </w:r>
          </w:p>
        </w:tc>
        <w:tc>
          <w:tcPr>
            <w:tcW w:w="20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253</w:t>
            </w:r>
          </w:p>
        </w:tc>
        <w:tc>
          <w:tcPr>
            <w:tcW w:w="2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w:t>
            </w:r>
          </w:p>
        </w:tc>
        <w:tc>
          <w:tcPr>
            <w:tcW w:w="2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259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40" w:type="dxa"/>
            <w:vAlign w:val="bottom"/>
            <w:gridSpan w:val="3"/>
          </w:tcPr>
          <w:p>
            <w:pPr>
              <w:spacing w:after="0"/>
              <w:rPr>
                <w:sz w:val="20"/>
                <w:szCs w:val="20"/>
                <w:color w:val="auto"/>
              </w:rPr>
            </w:pPr>
            <w:r>
              <w:rPr>
                <w:rFonts w:ascii="Arial" w:cs="Arial" w:eastAsia="Arial" w:hAnsi="Arial"/>
                <w:sz w:val="14"/>
                <w:szCs w:val="14"/>
                <w:color w:val="auto"/>
              </w:rPr>
              <w:t>Income (loss) before income tax expense (benefit)</w:t>
            </w:r>
          </w:p>
        </w:tc>
        <w:tc>
          <w:tcPr>
            <w:tcW w:w="80" w:type="dxa"/>
            <w:vAlign w:val="bottom"/>
          </w:tcPr>
          <w:p>
            <w:pPr>
              <w:spacing w:after="0"/>
              <w:rPr>
                <w:sz w:val="14"/>
                <w:szCs w:val="14"/>
                <w:color w:val="auto"/>
              </w:rPr>
            </w:pPr>
          </w:p>
        </w:tc>
        <w:tc>
          <w:tcPr>
            <w:tcW w:w="480" w:type="dxa"/>
            <w:vAlign w:val="bottom"/>
          </w:tcPr>
          <w:p>
            <w:pPr>
              <w:jc w:val="right"/>
              <w:ind w:right="49"/>
              <w:spacing w:after="0"/>
              <w:rPr>
                <w:sz w:val="20"/>
                <w:szCs w:val="20"/>
                <w:color w:val="auto"/>
              </w:rPr>
            </w:pPr>
            <w:r>
              <w:rPr>
                <w:rFonts w:ascii="Arial" w:cs="Arial" w:eastAsia="Arial" w:hAnsi="Arial"/>
                <w:sz w:val="14"/>
                <w:szCs w:val="14"/>
                <w:color w:val="auto"/>
              </w:rPr>
              <w:t>167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102</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640" w:type="dxa"/>
            <w:vAlign w:val="bottom"/>
            <w:gridSpan w:val="2"/>
          </w:tcPr>
          <w:p>
            <w:pPr>
              <w:jc w:val="right"/>
              <w:ind w:right="29"/>
              <w:spacing w:after="0"/>
              <w:rPr>
                <w:sz w:val="20"/>
                <w:szCs w:val="20"/>
                <w:color w:val="auto"/>
              </w:rPr>
            </w:pPr>
            <w:r>
              <w:rPr>
                <w:rFonts w:ascii="Arial" w:cs="Arial" w:eastAsia="Arial" w:hAnsi="Arial"/>
                <w:sz w:val="14"/>
                <w:szCs w:val="14"/>
                <w:color w:val="auto"/>
              </w:rPr>
              <w:t>(97)</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ind w:right="49"/>
              <w:spacing w:after="0"/>
              <w:rPr>
                <w:sz w:val="20"/>
                <w:szCs w:val="20"/>
                <w:color w:val="auto"/>
              </w:rPr>
            </w:pPr>
            <w:r>
              <w:rPr>
                <w:rFonts w:ascii="Arial" w:cs="Arial" w:eastAsia="Arial" w:hAnsi="Arial"/>
                <w:sz w:val="14"/>
                <w:szCs w:val="14"/>
                <w:color w:val="auto"/>
              </w:rPr>
              <w:t>184</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69"/>
              <w:spacing w:after="0"/>
              <w:rPr>
                <w:sz w:val="20"/>
                <w:szCs w:val="20"/>
                <w:color w:val="auto"/>
              </w:rPr>
            </w:pPr>
            <w:r>
              <w:rPr>
                <w:rFonts w:ascii="Arial" w:cs="Arial" w:eastAsia="Arial" w:hAnsi="Arial"/>
                <w:sz w:val="14"/>
                <w:szCs w:val="14"/>
                <w:color w:val="auto"/>
              </w:rPr>
              <w:t>185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gridSpan w:val="2"/>
            <w:shd w:val="clear" w:color="auto" w:fill="CCEEFF"/>
          </w:tcPr>
          <w:p>
            <w:pPr>
              <w:spacing w:after="0" w:line="162" w:lineRule="exact"/>
              <w:rPr>
                <w:sz w:val="20"/>
                <w:szCs w:val="20"/>
                <w:color w:val="auto"/>
              </w:rPr>
            </w:pPr>
            <w:r>
              <w:rPr>
                <w:rFonts w:ascii="Arial" w:cs="Arial" w:eastAsia="Arial" w:hAnsi="Arial"/>
                <w:sz w:val="11"/>
                <w:szCs w:val="11"/>
                <w:color w:val="auto"/>
              </w:rPr>
              <w:t>Income tax expense (benefit)</w:t>
            </w:r>
            <w:r>
              <w:rPr>
                <w:rFonts w:ascii="Arial" w:cs="Arial" w:eastAsia="Arial" w:hAnsi="Arial"/>
                <w:sz w:val="18"/>
                <w:szCs w:val="18"/>
                <w:color w:val="auto"/>
                <w:vertAlign w:val="superscript"/>
              </w:rPr>
              <w:t>(2)</w:t>
            </w:r>
          </w:p>
        </w:tc>
        <w:tc>
          <w:tcPr>
            <w:tcW w:w="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39</w:t>
            </w:r>
          </w:p>
        </w:tc>
        <w:tc>
          <w:tcPr>
            <w:tcW w:w="2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w:t>
            </w:r>
          </w:p>
        </w:tc>
        <w:tc>
          <w:tcPr>
            <w:tcW w:w="2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22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(23)</w:t>
            </w:r>
          </w:p>
        </w:tc>
        <w:tc>
          <w:tcPr>
            <w:tcW w:w="20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42</w:t>
            </w:r>
          </w:p>
        </w:tc>
        <w:tc>
          <w:tcPr>
            <w:tcW w:w="2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40" w:type="dxa"/>
            <w:vAlign w:val="bottom"/>
            <w:gridSpan w:val="3"/>
          </w:tcPr>
          <w:p>
            <w:pPr>
              <w:spacing w:after="0"/>
              <w:rPr>
                <w:sz w:val="20"/>
                <w:szCs w:val="20"/>
                <w:color w:val="auto"/>
              </w:rPr>
            </w:pPr>
            <w:r>
              <w:rPr>
                <w:rFonts w:ascii="Arial" w:cs="Arial" w:eastAsia="Arial" w:hAnsi="Arial"/>
                <w:sz w:val="14"/>
                <w:szCs w:val="14"/>
                <w:color w:val="auto"/>
              </w:rPr>
              <w:t>Net income (loss)</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ind w:right="49"/>
              <w:spacing w:after="0"/>
              <w:rPr>
                <w:sz w:val="20"/>
                <w:szCs w:val="20"/>
                <w:color w:val="auto"/>
              </w:rPr>
            </w:pPr>
            <w:r>
              <w:rPr>
                <w:rFonts w:ascii="Arial" w:cs="Arial" w:eastAsia="Arial" w:hAnsi="Arial"/>
                <w:sz w:val="14"/>
                <w:szCs w:val="14"/>
                <w:color w:val="auto"/>
              </w:rPr>
              <w:t>128</w:t>
            </w:r>
          </w:p>
        </w:tc>
        <w:tc>
          <w:tcPr>
            <w:tcW w:w="36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79</w:t>
            </w:r>
          </w:p>
        </w:tc>
        <w:tc>
          <w:tcPr>
            <w:tcW w:w="4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640" w:type="dxa"/>
            <w:vAlign w:val="bottom"/>
            <w:gridSpan w:val="2"/>
          </w:tcPr>
          <w:p>
            <w:pPr>
              <w:jc w:val="right"/>
              <w:ind w:right="29"/>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(74)</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49"/>
              <w:spacing w:after="0"/>
              <w:rPr>
                <w:sz w:val="20"/>
                <w:szCs w:val="20"/>
                <w:color w:val="auto"/>
              </w:rPr>
            </w:pPr>
            <w:r>
              <w:rPr>
                <w:rFonts w:ascii="Arial" w:cs="Arial" w:eastAsia="Arial" w:hAnsi="Arial"/>
                <w:sz w:val="14"/>
                <w:szCs w:val="14"/>
                <w:color w:val="auto"/>
              </w:rPr>
              <w:t>142</w:t>
            </w:r>
          </w:p>
        </w:tc>
        <w:tc>
          <w:tcPr>
            <w:tcW w:w="58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3</w:t>
            </w:r>
          </w:p>
        </w:tc>
        <w:tc>
          <w:tcPr>
            <w:tcW w:w="38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3</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69"/>
              <w:spacing w:after="0"/>
              <w:rPr>
                <w:sz w:val="20"/>
                <w:szCs w:val="20"/>
                <w:color w:val="auto"/>
              </w:rPr>
            </w:pPr>
            <w:r>
              <w:rPr>
                <w:rFonts w:ascii="Arial" w:cs="Arial" w:eastAsia="Arial" w:hAnsi="Arial"/>
                <w:sz w:val="14"/>
                <w:szCs w:val="14"/>
                <w:color w:val="auto"/>
              </w:rPr>
              <w:t>145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94615</wp:posOffset>
            </wp:positionV>
            <wp:extent cx="9779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76" w:lineRule="exact"/>
        <w:rPr>
          <w:sz w:val="20"/>
          <w:szCs w:val="20"/>
          <w:color w:val="auto"/>
        </w:rPr>
      </w:pPr>
    </w:p>
    <w:p>
      <w:pPr>
        <w:spacing w:after="0"/>
        <w:tabs>
          <w:tab w:leader="none" w:pos="300" w:val="left"/>
        </w:tabs>
        <w:rPr>
          <w:sz w:val="20"/>
          <w:szCs w:val="20"/>
          <w:color w:val="auto"/>
        </w:rPr>
      </w:pPr>
      <w:r>
        <w:rPr>
          <w:rFonts w:ascii="Arial" w:cs="Arial" w:eastAsia="Arial" w:hAnsi="Arial"/>
          <w:sz w:val="24"/>
          <w:szCs w:val="24"/>
          <w:color w:val="auto"/>
          <w:vertAlign w:val="superscript"/>
        </w:rPr>
        <w:t>(1)</w:t>
      </w:r>
      <w:r>
        <w:rPr>
          <w:sz w:val="20"/>
          <w:szCs w:val="20"/>
          <w:color w:val="auto"/>
        </w:rPr>
        <w:tab/>
      </w:r>
      <w:r>
        <w:rPr>
          <w:rFonts w:ascii="Arial" w:cs="Arial" w:eastAsia="Arial" w:hAnsi="Arial"/>
          <w:sz w:val="14"/>
          <w:szCs w:val="14"/>
          <w:color w:val="auto"/>
        </w:rPr>
        <w:t>Core Earnings adjustments to GAAP:</w:t>
      </w:r>
    </w:p>
    <w:p>
      <w:pPr>
        <w:spacing w:after="0" w:line="263" w:lineRule="exact"/>
        <w:rPr>
          <w:sz w:val="20"/>
          <w:szCs w:val="20"/>
          <w:color w:val="auto"/>
        </w:rPr>
      </w:pPr>
    </w:p>
    <w:p>
      <w:pPr>
        <w:ind w:left="7480"/>
        <w:spacing w:after="0"/>
        <w:rPr>
          <w:sz w:val="20"/>
          <w:szCs w:val="20"/>
          <w:color w:val="auto"/>
        </w:rPr>
      </w:pPr>
      <w:r>
        <w:rPr>
          <w:rFonts w:ascii="Arial" w:cs="Arial" w:eastAsia="Arial" w:hAnsi="Arial"/>
          <w:sz w:val="14"/>
          <w:szCs w:val="14"/>
          <w:b w:val="1"/>
          <w:bCs w:val="1"/>
          <w:color w:val="auto"/>
        </w:rPr>
        <w:t>QUARTER ENDED SEPTEMBER 30, 2019</w:t>
      </w:r>
    </w:p>
    <w:p>
      <w:pPr>
        <w:spacing w:after="0" w:line="32" w:lineRule="exact"/>
        <w:rPr>
          <w:sz w:val="20"/>
          <w:szCs w:val="20"/>
          <w:color w:val="auto"/>
        </w:rPr>
      </w:pPr>
    </w:p>
    <w:tbl>
      <w:tblPr>
        <w:tblLayout w:type="fixed"/>
        <w:tblInd w:w="540" w:type="dxa"/>
        <w:tblCellMar>
          <w:top w:w="0" w:type="dxa"/>
          <w:left w:w="0" w:type="dxa"/>
          <w:bottom w:w="0" w:type="dxa"/>
          <w:right w:w="0" w:type="dxa"/>
        </w:tblCellMar>
      </w:tblPr>
      <w:tr>
        <w:trPr>
          <w:trHeight w:val="149"/>
        </w:trPr>
        <w:tc>
          <w:tcPr>
            <w:tcW w:w="6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97"/>
              </w:rPr>
              <w:t>Net Impact of</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Net Impact of</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tcPr>
          <w:p>
            <w:pPr>
              <w:jc w:val="center"/>
              <w:ind w:right="380"/>
              <w:spacing w:after="0" w:line="135" w:lineRule="exact"/>
              <w:rPr>
                <w:sz w:val="20"/>
                <w:szCs w:val="20"/>
                <w:color w:val="auto"/>
              </w:rPr>
            </w:pPr>
            <w:r>
              <w:rPr>
                <w:rFonts w:ascii="Arial" w:cs="Arial" w:eastAsia="Arial" w:hAnsi="Arial"/>
                <w:sz w:val="13"/>
                <w:szCs w:val="13"/>
                <w:b w:val="1"/>
                <w:bCs w:val="1"/>
                <w:color w:val="auto"/>
                <w:w w:val="97"/>
              </w:rPr>
              <w:t>Goodwill and</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40" w:type="dxa"/>
            <w:vAlign w:val="bottom"/>
            <w:vMerge w:val="restart"/>
          </w:tcPr>
          <w:p>
            <w:pPr>
              <w:spacing w:after="0"/>
              <w:rPr>
                <w:sz w:val="20"/>
                <w:szCs w:val="20"/>
                <w:color w:val="auto"/>
              </w:rPr>
            </w:pPr>
            <w:r>
              <w:rPr>
                <w:rFonts w:ascii="Arial" w:cs="Arial" w:eastAsia="Arial" w:hAnsi="Arial"/>
                <w:sz w:val="13"/>
                <w:szCs w:val="13"/>
                <w:b w:val="1"/>
                <w:bCs w:val="1"/>
                <w:color w:val="auto"/>
              </w:rPr>
              <w:t>(Dollars in millions)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1"/>
              <w:spacing w:after="0" w:line="135" w:lineRule="exact"/>
              <w:rPr>
                <w:sz w:val="20"/>
                <w:szCs w:val="20"/>
                <w:color w:val="auto"/>
              </w:rPr>
            </w:pPr>
            <w:r>
              <w:rPr>
                <w:rFonts w:ascii="Arial" w:cs="Arial" w:eastAsia="Arial" w:hAnsi="Arial"/>
                <w:sz w:val="13"/>
                <w:szCs w:val="13"/>
                <w:b w:val="1"/>
                <w:bCs w:val="1"/>
                <w:color w:val="auto"/>
                <w:w w:val="96"/>
              </w:rPr>
              <w:t>Derivative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tcPr>
          <w:p>
            <w:pPr>
              <w:jc w:val="center"/>
              <w:ind w:right="380"/>
              <w:spacing w:after="0" w:line="135" w:lineRule="exact"/>
              <w:rPr>
                <w:sz w:val="20"/>
                <w:szCs w:val="20"/>
                <w:color w:val="auto"/>
              </w:rPr>
            </w:pPr>
            <w:r>
              <w:rPr>
                <w:rFonts w:ascii="Arial" w:cs="Arial" w:eastAsia="Arial" w:hAnsi="Arial"/>
                <w:sz w:val="13"/>
                <w:szCs w:val="13"/>
                <w:b w:val="1"/>
                <w:bCs w:val="1"/>
                <w:color w:val="auto"/>
                <w:w w:val="99"/>
              </w:rPr>
              <w:t>Acquired</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68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95"/>
              </w:rPr>
              <w:t>Accounting</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32"/>
              <w:spacing w:after="0"/>
              <w:rPr>
                <w:sz w:val="20"/>
                <w:szCs w:val="20"/>
                <w:color w:val="auto"/>
              </w:rPr>
            </w:pPr>
            <w:r>
              <w:rPr>
                <w:rFonts w:ascii="Arial" w:cs="Arial" w:eastAsia="Arial" w:hAnsi="Arial"/>
                <w:sz w:val="13"/>
                <w:szCs w:val="13"/>
                <w:b w:val="1"/>
                <w:bCs w:val="1"/>
                <w:color w:val="auto"/>
                <w:w w:val="99"/>
              </w:rPr>
              <w:t>Intangibles</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Total</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Net interest income after provisions for loan losses</w:t>
            </w:r>
          </w:p>
        </w:tc>
        <w:tc>
          <w:tcPr>
            <w:tcW w:w="20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w:t>
            </w:r>
          </w:p>
        </w:tc>
        <w:tc>
          <w:tcPr>
            <w:tcW w:w="24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1260" w:type="dxa"/>
            <w:vAlign w:val="bottom"/>
            <w:gridSpan w:val="3"/>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   $</w:t>
            </w:r>
          </w:p>
        </w:tc>
        <w:tc>
          <w:tcPr>
            <w:tcW w:w="560" w:type="dxa"/>
            <w:vAlign w:val="bottom"/>
            <w:shd w:val="clear" w:color="auto" w:fill="CCEEFF"/>
          </w:tcPr>
          <w:p>
            <w:pPr>
              <w:jc w:val="center"/>
              <w:ind w:left="249"/>
              <w:spacing w:after="0" w:line="155" w:lineRule="exact"/>
              <w:rPr>
                <w:sz w:val="20"/>
                <w:szCs w:val="20"/>
                <w:color w:val="auto"/>
              </w:rPr>
            </w:pPr>
            <w:r>
              <w:rPr>
                <w:rFonts w:ascii="Arial" w:cs="Arial" w:eastAsia="Arial" w:hAnsi="Arial"/>
                <w:sz w:val="14"/>
                <w:szCs w:val="14"/>
                <w:color w:val="auto"/>
              </w:rPr>
              <w:t>3</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40" w:type="dxa"/>
            <w:vAlign w:val="bottom"/>
          </w:tcPr>
          <w:p>
            <w:pPr>
              <w:spacing w:after="0"/>
              <w:rPr>
                <w:sz w:val="20"/>
                <w:szCs w:val="20"/>
                <w:color w:val="auto"/>
              </w:rPr>
            </w:pPr>
            <w:r>
              <w:rPr>
                <w:rFonts w:ascii="Arial" w:cs="Arial" w:eastAsia="Arial" w:hAnsi="Arial"/>
                <w:sz w:val="14"/>
                <w:szCs w:val="14"/>
                <w:color w:val="auto"/>
              </w:rPr>
              <w:t>Total other income (loss)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560" w:type="dxa"/>
            <w:vAlign w:val="bottom"/>
          </w:tcPr>
          <w:p>
            <w:pPr>
              <w:jc w:val="center"/>
              <w:ind w:left="249"/>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shd w:val="clear" w:color="auto" w:fill="CCEEFF"/>
          </w:tcPr>
          <w:p>
            <w:pPr>
              <w:spacing w:after="0"/>
              <w:rPr>
                <w:sz w:val="20"/>
                <w:szCs w:val="20"/>
                <w:color w:val="auto"/>
              </w:rPr>
            </w:pPr>
            <w:r>
              <w:rPr>
                <w:rFonts w:ascii="Arial" w:cs="Arial" w:eastAsia="Arial" w:hAnsi="Arial"/>
                <w:sz w:val="14"/>
                <w:szCs w:val="14"/>
                <w:color w:val="auto"/>
              </w:rPr>
              <w:t>Goodwill and acquired intangible asset impairment and amortization</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center"/>
              <w:ind w:left="249"/>
              <w:spacing w:after="0"/>
              <w:rPr>
                <w:sz w:val="20"/>
                <w:szCs w:val="20"/>
                <w:color w:val="auto"/>
              </w:rPr>
            </w:pPr>
            <w:r>
              <w:rPr>
                <w:rFonts w:ascii="Arial" w:cs="Arial" w:eastAsia="Arial" w:hAnsi="Arial"/>
                <w:sz w:val="14"/>
                <w:szCs w:val="14"/>
                <w:color w:val="auto"/>
              </w:rPr>
              <w:t>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40" w:type="dxa"/>
            <w:vAlign w:val="bottom"/>
          </w:tcPr>
          <w:p>
            <w:pPr>
              <w:spacing w:after="0"/>
              <w:rPr>
                <w:sz w:val="20"/>
                <w:szCs w:val="20"/>
                <w:color w:val="auto"/>
              </w:rPr>
            </w:pPr>
            <w:r>
              <w:rPr>
                <w:rFonts w:ascii="Arial" w:cs="Arial" w:eastAsia="Arial" w:hAnsi="Arial"/>
                <w:sz w:val="14"/>
                <w:szCs w:val="14"/>
                <w:color w:val="auto"/>
              </w:rPr>
              <w:t>Total Core Earnings adjustments to GAAP</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center"/>
              <w:ind w:left="249"/>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4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Income tax expense (benefit)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center"/>
              <w:ind w:left="229"/>
              <w:spacing w:after="0" w:line="156" w:lineRule="exact"/>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840" w:type="dxa"/>
            <w:vAlign w:val="bottom"/>
          </w:tcPr>
          <w:p>
            <w:pPr>
              <w:spacing w:after="0"/>
              <w:rPr>
                <w:sz w:val="20"/>
                <w:szCs w:val="20"/>
                <w:color w:val="auto"/>
              </w:rPr>
            </w:pPr>
            <w:r>
              <w:rPr>
                <w:rFonts w:ascii="Arial" w:cs="Arial" w:eastAsia="Arial" w:hAnsi="Arial"/>
                <w:sz w:val="14"/>
                <w:szCs w:val="14"/>
                <w:color w:val="auto"/>
              </w:rPr>
              <w:t>Net income (loss)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560" w:type="dxa"/>
            <w:vAlign w:val="bottom"/>
          </w:tcPr>
          <w:p>
            <w:pPr>
              <w:jc w:val="center"/>
              <w:ind w:left="249"/>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320" w:hanging="316"/>
        <w:spacing w:after="0"/>
        <w:tabs>
          <w:tab w:leader="none" w:pos="320" w:val="left"/>
        </w:tabs>
        <w:numPr>
          <w:ilvl w:val="0"/>
          <w:numId w:val="16"/>
        </w:numPr>
        <w:rPr>
          <w:rFonts w:ascii="Arial" w:cs="Arial" w:eastAsia="Arial" w:hAnsi="Arial"/>
          <w:sz w:val="24"/>
          <w:szCs w:val="24"/>
          <w:color w:val="auto"/>
          <w:vertAlign w:val="superscript"/>
        </w:rPr>
      </w:pPr>
      <w:r>
        <w:rPr>
          <w:rFonts w:ascii="Arial" w:cs="Arial" w:eastAsia="Arial" w:hAnsi="Arial"/>
          <w:sz w:val="14"/>
          <w:szCs w:val="14"/>
          <w:color w:val="auto"/>
        </w:rPr>
        <w:t>Income taxes are based on a percentage of net income before tax for the individual reportable segment.</w:t>
      </w:r>
    </w:p>
    <w:p>
      <w:pPr>
        <w:spacing w:after="0" w:line="127" w:lineRule="exact"/>
        <w:rPr>
          <w:sz w:val="20"/>
          <w:szCs w:val="20"/>
          <w:color w:val="auto"/>
        </w:rPr>
      </w:pPr>
    </w:p>
    <w:p>
      <w:pPr>
        <w:ind w:left="1078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040"/>
          </w:cols>
          <w:pgMar w:left="440" w:top="315" w:right="4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60" w:type="dxa"/>
            <w:vAlign w:val="bottom"/>
            <w:gridSpan w:val="9"/>
          </w:tcPr>
          <w:p>
            <w:pPr>
              <w:jc w:val="right"/>
              <w:ind w:right="222"/>
              <w:spacing w:after="0"/>
              <w:rPr>
                <w:sz w:val="20"/>
                <w:szCs w:val="20"/>
                <w:color w:val="auto"/>
              </w:rPr>
            </w:pPr>
            <w:r>
              <w:rPr>
                <w:rFonts w:ascii="Arial" w:cs="Arial" w:eastAsia="Arial" w:hAnsi="Arial"/>
                <w:sz w:val="13"/>
                <w:szCs w:val="13"/>
                <w:b w:val="1"/>
                <w:bCs w:val="1"/>
                <w:color w:val="auto"/>
              </w:rPr>
              <w:t>QUARTER ENDED DECEMBER 31, 2018</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8"/>
              </w:rPr>
              <w:t>Federal</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ind w:right="89"/>
              <w:spacing w:after="0"/>
              <w:rPr>
                <w:sz w:val="20"/>
                <w:szCs w:val="20"/>
                <w:color w:val="auto"/>
              </w:rPr>
            </w:pPr>
            <w:r>
              <w:rPr>
                <w:rFonts w:ascii="Arial" w:cs="Arial" w:eastAsia="Arial" w:hAnsi="Arial"/>
                <w:sz w:val="12"/>
                <w:szCs w:val="12"/>
                <w:b w:val="1"/>
                <w:bCs w:val="1"/>
                <w:color w:val="auto"/>
              </w:rPr>
              <w:t>Total</w:t>
            </w: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2"/>
                <w:szCs w:val="12"/>
                <w:b w:val="1"/>
                <w:bCs w:val="1"/>
                <w:color w:val="auto"/>
              </w:rPr>
              <w:t>Adjustments</w:t>
            </w: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7"/>
        </w:trPr>
        <w:tc>
          <w:tcPr>
            <w:tcW w:w="33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(Dollars in millions)</w:t>
            </w:r>
          </w:p>
        </w:tc>
        <w:tc>
          <w:tcPr>
            <w:tcW w:w="700" w:type="dxa"/>
            <w:vAlign w:val="bottom"/>
            <w:gridSpan w:val="3"/>
          </w:tcPr>
          <w:p>
            <w:pPr>
              <w:jc w:val="center"/>
              <w:ind w:left="53"/>
              <w:spacing w:after="0" w:line="117" w:lineRule="exact"/>
              <w:rPr>
                <w:sz w:val="20"/>
                <w:szCs w:val="20"/>
                <w:color w:val="auto"/>
              </w:rPr>
            </w:pPr>
            <w:r>
              <w:rPr>
                <w:rFonts w:ascii="Arial" w:cs="Arial" w:eastAsia="Arial" w:hAnsi="Arial"/>
                <w:sz w:val="12"/>
                <w:szCs w:val="12"/>
                <w:b w:val="1"/>
                <w:bCs w:val="1"/>
                <w:color w:val="auto"/>
                <w:w w:val="99"/>
              </w:rPr>
              <w:t>Education</w:t>
            </w:r>
          </w:p>
        </w:tc>
        <w:tc>
          <w:tcPr>
            <w:tcW w:w="760" w:type="dxa"/>
            <w:vAlign w:val="bottom"/>
            <w:gridSpan w:val="3"/>
          </w:tcPr>
          <w:p>
            <w:pPr>
              <w:jc w:val="right"/>
              <w:spacing w:after="0" w:line="117" w:lineRule="exact"/>
              <w:rPr>
                <w:sz w:val="20"/>
                <w:szCs w:val="20"/>
                <w:color w:val="auto"/>
              </w:rPr>
            </w:pPr>
            <w:r>
              <w:rPr>
                <w:rFonts w:ascii="Arial" w:cs="Arial" w:eastAsia="Arial" w:hAnsi="Arial"/>
                <w:sz w:val="12"/>
                <w:szCs w:val="12"/>
                <w:b w:val="1"/>
                <w:bCs w:val="1"/>
                <w:color w:val="auto"/>
              </w:rPr>
              <w:t>Consumer</w:t>
            </w:r>
          </w:p>
        </w:tc>
        <w:tc>
          <w:tcPr>
            <w:tcW w:w="180" w:type="dxa"/>
            <w:vAlign w:val="bottom"/>
          </w:tcPr>
          <w:p>
            <w:pPr>
              <w:spacing w:after="0"/>
              <w:rPr>
                <w:sz w:val="10"/>
                <w:szCs w:val="10"/>
                <w:color w:val="auto"/>
              </w:rPr>
            </w:pPr>
          </w:p>
        </w:tc>
        <w:tc>
          <w:tcPr>
            <w:tcW w:w="620" w:type="dxa"/>
            <w:vAlign w:val="bottom"/>
            <w:gridSpan w:val="2"/>
          </w:tcPr>
          <w:p>
            <w:pPr>
              <w:ind w:left="40"/>
              <w:spacing w:after="0" w:line="117" w:lineRule="exact"/>
              <w:rPr>
                <w:sz w:val="20"/>
                <w:szCs w:val="20"/>
                <w:color w:val="auto"/>
              </w:rPr>
            </w:pPr>
            <w:r>
              <w:rPr>
                <w:rFonts w:ascii="Arial" w:cs="Arial" w:eastAsia="Arial" w:hAnsi="Arial"/>
                <w:sz w:val="12"/>
                <w:szCs w:val="12"/>
                <w:b w:val="1"/>
                <w:bCs w:val="1"/>
                <w:color w:val="auto"/>
              </w:rPr>
              <w:t>Business</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ind w:right="89"/>
              <w:spacing w:after="0" w:line="117" w:lineRule="exact"/>
              <w:rPr>
                <w:sz w:val="20"/>
                <w:szCs w:val="20"/>
                <w:color w:val="auto"/>
              </w:rPr>
            </w:pPr>
            <w:r>
              <w:rPr>
                <w:rFonts w:ascii="Arial" w:cs="Arial" w:eastAsia="Arial" w:hAnsi="Arial"/>
                <w:sz w:val="12"/>
                <w:szCs w:val="12"/>
                <w:b w:val="1"/>
                <w:bCs w:val="1"/>
                <w:color w:val="auto"/>
              </w:rPr>
              <w:t>Core</w:t>
            </w: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tcPr>
          <w:p>
            <w:pPr>
              <w:jc w:val="right"/>
              <w:ind w:right="48"/>
              <w:spacing w:after="0" w:line="117" w:lineRule="exact"/>
              <w:rPr>
                <w:sz w:val="20"/>
                <w:szCs w:val="20"/>
                <w:color w:val="auto"/>
              </w:rPr>
            </w:pPr>
            <w:r>
              <w:rPr>
                <w:rFonts w:ascii="Arial" w:cs="Arial" w:eastAsia="Arial" w:hAnsi="Arial"/>
                <w:sz w:val="12"/>
                <w:szCs w:val="12"/>
                <w:b w:val="1"/>
                <w:bCs w:val="1"/>
                <w:color w:val="auto"/>
              </w:rPr>
              <w:t>Additions/</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jc w:val="right"/>
              <w:ind w:right="209"/>
              <w:spacing w:after="0" w:line="117" w:lineRule="exact"/>
              <w:rPr>
                <w:sz w:val="20"/>
                <w:szCs w:val="20"/>
                <w:color w:val="auto"/>
              </w:rPr>
            </w:pPr>
            <w:r>
              <w:rPr>
                <w:rFonts w:ascii="Arial" w:cs="Arial" w:eastAsia="Arial" w:hAnsi="Arial"/>
                <w:sz w:val="12"/>
                <w:szCs w:val="12"/>
                <w:b w:val="1"/>
                <w:bCs w:val="1"/>
                <w:color w:val="auto"/>
              </w:rPr>
              <w:t>Total</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jc w:val="center"/>
              <w:ind w:right="180"/>
              <w:spacing w:after="0" w:line="117"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47"/>
        </w:trPr>
        <w:tc>
          <w:tcPr>
            <w:tcW w:w="3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6"/>
              </w:rPr>
              <w:t>Loans</w:t>
            </w:r>
          </w:p>
        </w:tc>
        <w:tc>
          <w:tcPr>
            <w:tcW w:w="180" w:type="dxa"/>
            <w:vAlign w:val="bottom"/>
          </w:tcPr>
          <w:p>
            <w:pPr>
              <w:spacing w:after="0"/>
              <w:rPr>
                <w:sz w:val="12"/>
                <w:szCs w:val="12"/>
                <w:color w:val="auto"/>
              </w:rPr>
            </w:pPr>
          </w:p>
        </w:tc>
        <w:tc>
          <w:tcPr>
            <w:tcW w:w="580" w:type="dxa"/>
            <w:vAlign w:val="bottom"/>
            <w:gridSpan w:val="2"/>
          </w:tcPr>
          <w:p>
            <w:pPr>
              <w:jc w:val="right"/>
              <w:ind w:right="8"/>
              <w:spacing w:after="0"/>
              <w:rPr>
                <w:sz w:val="20"/>
                <w:szCs w:val="20"/>
                <w:color w:val="auto"/>
              </w:rPr>
            </w:pPr>
            <w:r>
              <w:rPr>
                <w:rFonts w:ascii="Arial" w:cs="Arial" w:eastAsia="Arial" w:hAnsi="Arial"/>
                <w:sz w:val="12"/>
                <w:szCs w:val="12"/>
                <w:b w:val="1"/>
                <w:bCs w:val="1"/>
                <w:color w:val="auto"/>
              </w:rPr>
              <w:t>Lending</w:t>
            </w:r>
          </w:p>
        </w:tc>
        <w:tc>
          <w:tcPr>
            <w:tcW w:w="800" w:type="dxa"/>
            <w:vAlign w:val="bottom"/>
            <w:gridSpan w:val="3"/>
          </w:tcPr>
          <w:p>
            <w:pPr>
              <w:jc w:val="right"/>
              <w:spacing w:after="0"/>
              <w:rPr>
                <w:sz w:val="20"/>
                <w:szCs w:val="20"/>
                <w:color w:val="auto"/>
              </w:rPr>
            </w:pPr>
            <w:r>
              <w:rPr>
                <w:rFonts w:ascii="Arial" w:cs="Arial" w:eastAsia="Arial" w:hAnsi="Arial"/>
                <w:sz w:val="12"/>
                <w:szCs w:val="12"/>
                <w:b w:val="1"/>
                <w:bCs w:val="1"/>
                <w:color w:val="auto"/>
              </w:rPr>
              <w:t>Processing</w:t>
            </w:r>
          </w:p>
        </w:tc>
        <w:tc>
          <w:tcPr>
            <w:tcW w:w="180" w:type="dxa"/>
            <w:vAlign w:val="bottom"/>
          </w:tcPr>
          <w:p>
            <w:pPr>
              <w:spacing w:after="0"/>
              <w:rPr>
                <w:sz w:val="12"/>
                <w:szCs w:val="12"/>
                <w:color w:val="auto"/>
              </w:rPr>
            </w:pPr>
          </w:p>
        </w:tc>
        <w:tc>
          <w:tcPr>
            <w:tcW w:w="540" w:type="dxa"/>
            <w:vAlign w:val="bottom"/>
            <w:gridSpan w:val="2"/>
          </w:tcPr>
          <w:p>
            <w:pPr>
              <w:jc w:val="right"/>
              <w:ind w:right="48"/>
              <w:spacing w:after="0"/>
              <w:rPr>
                <w:sz w:val="20"/>
                <w:szCs w:val="20"/>
                <w:color w:val="auto"/>
              </w:rPr>
            </w:pPr>
            <w:r>
              <w:rPr>
                <w:rFonts w:ascii="Arial" w:cs="Arial" w:eastAsia="Arial" w:hAnsi="Arial"/>
                <w:sz w:val="12"/>
                <w:szCs w:val="12"/>
                <w:b w:val="1"/>
                <w:bCs w:val="1"/>
                <w:color w:val="auto"/>
              </w:rPr>
              <w:t>Other</w:t>
            </w:r>
          </w:p>
        </w:tc>
        <w:tc>
          <w:tcPr>
            <w:tcW w:w="180" w:type="dxa"/>
            <w:vAlign w:val="bottom"/>
          </w:tcPr>
          <w:p>
            <w:pPr>
              <w:spacing w:after="0"/>
              <w:rPr>
                <w:sz w:val="12"/>
                <w:szCs w:val="12"/>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Earnings</w:t>
            </w:r>
          </w:p>
        </w:tc>
        <w:tc>
          <w:tcPr>
            <w:tcW w:w="1140" w:type="dxa"/>
            <w:vAlign w:val="bottom"/>
            <w:gridSpan w:val="3"/>
          </w:tcPr>
          <w:p>
            <w:pPr>
              <w:jc w:val="right"/>
              <w:spacing w:after="0"/>
              <w:rPr>
                <w:sz w:val="20"/>
                <w:szCs w:val="20"/>
                <w:color w:val="auto"/>
              </w:rPr>
            </w:pPr>
            <w:r>
              <w:rPr>
                <w:rFonts w:ascii="Arial" w:cs="Arial" w:eastAsia="Arial" w:hAnsi="Arial"/>
                <w:sz w:val="12"/>
                <w:szCs w:val="12"/>
                <w:b w:val="1"/>
                <w:bCs w:val="1"/>
                <w:color w:val="auto"/>
              </w:rPr>
              <w:t>Reclassifications</w:t>
            </w:r>
          </w:p>
        </w:tc>
        <w:tc>
          <w:tcPr>
            <w:tcW w:w="980" w:type="dxa"/>
            <w:vAlign w:val="bottom"/>
            <w:gridSpan w:val="3"/>
          </w:tcPr>
          <w:p>
            <w:pPr>
              <w:jc w:val="right"/>
              <w:spacing w:after="0"/>
              <w:rPr>
                <w:sz w:val="20"/>
                <w:szCs w:val="20"/>
                <w:color w:val="auto"/>
              </w:rPr>
            </w:pPr>
            <w:r>
              <w:rPr>
                <w:rFonts w:ascii="Arial" w:cs="Arial" w:eastAsia="Arial" w:hAnsi="Arial"/>
                <w:sz w:val="12"/>
                <w:szCs w:val="12"/>
                <w:b w:val="1"/>
                <w:bCs w:val="1"/>
                <w:color w:val="auto"/>
              </w:rPr>
              <w:t>(Subtractions)</w:t>
            </w:r>
          </w:p>
        </w:tc>
        <w:tc>
          <w:tcPr>
            <w:tcW w:w="1000" w:type="dxa"/>
            <w:vAlign w:val="bottom"/>
            <w:gridSpan w:val="3"/>
          </w:tcPr>
          <w:p>
            <w:pPr>
              <w:jc w:val="right"/>
              <w:spacing w:after="0"/>
              <w:rPr>
                <w:sz w:val="20"/>
                <w:szCs w:val="20"/>
                <w:color w:val="auto"/>
              </w:rPr>
            </w:pPr>
            <w:r>
              <w:rPr>
                <w:rFonts w:ascii="Arial" w:cs="Arial" w:eastAsia="Arial" w:hAnsi="Arial"/>
                <w:sz w:val="12"/>
                <w:szCs w:val="12"/>
                <w:b w:val="1"/>
                <w:bCs w:val="1"/>
                <w:color w:val="auto"/>
              </w:rPr>
              <w:t>Adjustments</w:t>
            </w:r>
            <w:r>
              <w:rPr>
                <w:rFonts w:ascii="Arial" w:cs="Arial" w:eastAsia="Arial" w:hAnsi="Arial"/>
                <w:sz w:val="9"/>
                <w:szCs w:val="9"/>
                <w:b w:val="1"/>
                <w:bCs w:val="1"/>
                <w:color w:val="auto"/>
              </w:rPr>
              <w:t>(1)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2"/>
              </w:rPr>
              <w:t>GAAP</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Interest income:</w:t>
            </w: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tcPr>
          <w:p>
            <w:pPr>
              <w:ind w:left="200"/>
              <w:spacing w:after="0"/>
              <w:rPr>
                <w:sz w:val="20"/>
                <w:szCs w:val="20"/>
                <w:color w:val="auto"/>
              </w:rPr>
            </w:pPr>
            <w:r>
              <w:rPr>
                <w:rFonts w:ascii="Arial" w:cs="Arial" w:eastAsia="Arial" w:hAnsi="Arial"/>
                <w:sz w:val="14"/>
                <w:szCs w:val="14"/>
                <w:color w:val="auto"/>
              </w:rPr>
              <w:t>Education loans</w:t>
            </w:r>
          </w:p>
        </w:tc>
        <w:tc>
          <w:tcPr>
            <w:tcW w:w="300" w:type="dxa"/>
            <w:vAlign w:val="bottom"/>
            <w:gridSpan w:val="2"/>
          </w:tcPr>
          <w:p>
            <w:pPr>
              <w:jc w:val="right"/>
              <w:ind w:right="2"/>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799</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451</w:t>
            </w:r>
          </w:p>
        </w:tc>
        <w:tc>
          <w:tcPr>
            <w:tcW w:w="4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ind w:right="49"/>
              <w:spacing w:after="0"/>
              <w:rPr>
                <w:sz w:val="20"/>
                <w:szCs w:val="20"/>
                <w:color w:val="auto"/>
              </w:rPr>
            </w:pPr>
            <w:r>
              <w:rPr>
                <w:rFonts w:ascii="Arial" w:cs="Arial" w:eastAsia="Arial" w:hAnsi="Arial"/>
                <w:sz w:val="14"/>
                <w:szCs w:val="14"/>
                <w:color w:val="auto"/>
                <w:w w:val="96"/>
              </w:rPr>
              <w:t>1,250</w:t>
            </w: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460" w:type="dxa"/>
            <w:vAlign w:val="bottom"/>
            <w:gridSpan w:val="2"/>
          </w:tcPr>
          <w:p>
            <w:pPr>
              <w:jc w:val="right"/>
              <w:ind w:right="102"/>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3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(15)</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69"/>
              <w:spacing w:after="0"/>
              <w:rPr>
                <w:sz w:val="20"/>
                <w:szCs w:val="20"/>
                <w:color w:val="auto"/>
              </w:rPr>
            </w:pPr>
            <w:r>
              <w:rPr>
                <w:rFonts w:ascii="Arial" w:cs="Arial" w:eastAsia="Arial" w:hAnsi="Arial"/>
                <w:sz w:val="14"/>
                <w:szCs w:val="14"/>
                <w:color w:val="auto"/>
                <w:w w:val="96"/>
              </w:rPr>
              <w:t>1,235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loans</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00" w:type="dxa"/>
            <w:vAlign w:val="bottom"/>
          </w:tcPr>
          <w:p>
            <w:pPr>
              <w:ind w:left="200"/>
              <w:spacing w:after="0"/>
              <w:rPr>
                <w:sz w:val="20"/>
                <w:szCs w:val="20"/>
                <w:color w:val="auto"/>
              </w:rPr>
            </w:pPr>
            <w:r>
              <w:rPr>
                <w:rFonts w:ascii="Arial" w:cs="Arial" w:eastAsia="Arial" w:hAnsi="Arial"/>
                <w:sz w:val="14"/>
                <w:szCs w:val="14"/>
                <w:color w:val="auto"/>
              </w:rPr>
              <w:t>Cash and investments</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30</w:t>
            </w: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Total interest income</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814</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455</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96"/>
              </w:rPr>
              <w:t>1,282</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96"/>
              </w:rPr>
              <w:t>1,267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20" w:type="dxa"/>
            <w:vAlign w:val="bottom"/>
            <w:gridSpan w:val="2"/>
          </w:tcPr>
          <w:p>
            <w:pPr>
              <w:spacing w:after="0"/>
              <w:rPr>
                <w:sz w:val="20"/>
                <w:szCs w:val="20"/>
                <w:color w:val="auto"/>
              </w:rPr>
            </w:pPr>
            <w:r>
              <w:rPr>
                <w:rFonts w:ascii="Arial" w:cs="Arial" w:eastAsia="Arial" w:hAnsi="Arial"/>
                <w:sz w:val="14"/>
                <w:szCs w:val="14"/>
                <w:color w:val="auto"/>
              </w:rPr>
              <w:t>Total interest expense</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649</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266</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970</w:t>
            </w: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960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Net interest income (loss)</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189</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312</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307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20" w:type="dxa"/>
            <w:vAlign w:val="bottom"/>
            <w:gridSpan w:val="2"/>
          </w:tcPr>
          <w:p>
            <w:pPr>
              <w:spacing w:after="0"/>
              <w:rPr>
                <w:sz w:val="20"/>
                <w:szCs w:val="20"/>
                <w:color w:val="auto"/>
              </w:rPr>
            </w:pPr>
            <w:r>
              <w:rPr>
                <w:rFonts w:ascii="Arial" w:cs="Arial" w:eastAsia="Arial" w:hAnsi="Arial"/>
                <w:sz w:val="14"/>
                <w:szCs w:val="14"/>
                <w:color w:val="auto"/>
              </w:rPr>
              <w:t>Less: provisions for loan losses</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85</w:t>
            </w: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85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Net interest income (loss) after provisions for loan</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00" w:type="dxa"/>
            <w:vAlign w:val="bottom"/>
            <w:shd w:val="clear" w:color="auto" w:fill="CCEEFF"/>
          </w:tcPr>
          <w:p>
            <w:pPr>
              <w:ind w:left="200"/>
              <w:spacing w:after="0" w:line="157" w:lineRule="exact"/>
              <w:rPr>
                <w:sz w:val="20"/>
                <w:szCs w:val="20"/>
                <w:color w:val="auto"/>
              </w:rPr>
            </w:pPr>
            <w:r>
              <w:rPr>
                <w:rFonts w:ascii="Arial" w:cs="Arial" w:eastAsia="Arial" w:hAnsi="Arial"/>
                <w:sz w:val="14"/>
                <w:szCs w:val="14"/>
                <w:color w:val="auto"/>
              </w:rPr>
              <w:t>losses</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155</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114</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(42)</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227</w:t>
            </w: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(13)</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
              <w:spacing w:after="0" w:line="157" w:lineRule="exact"/>
              <w:rPr>
                <w:sz w:val="20"/>
                <w:szCs w:val="20"/>
                <w:color w:val="auto"/>
              </w:rPr>
            </w:pPr>
            <w:r>
              <w:rPr>
                <w:rFonts w:ascii="Arial" w:cs="Arial" w:eastAsia="Arial" w:hAnsi="Arial"/>
                <w:sz w:val="14"/>
                <w:szCs w:val="14"/>
                <w:color w:val="auto"/>
              </w:rPr>
              <w:t>(5)</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69"/>
              <w:spacing w:after="0" w:line="157" w:lineRule="exact"/>
              <w:rPr>
                <w:sz w:val="20"/>
                <w:szCs w:val="20"/>
                <w:color w:val="auto"/>
              </w:rPr>
            </w:pPr>
            <w:r>
              <w:rPr>
                <w:rFonts w:ascii="Arial" w:cs="Arial" w:eastAsia="Arial" w:hAnsi="Arial"/>
                <w:sz w:val="14"/>
                <w:szCs w:val="14"/>
                <w:color w:val="auto"/>
              </w:rPr>
              <w:t>222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20" w:type="dxa"/>
            <w:vAlign w:val="bottom"/>
            <w:gridSpan w:val="2"/>
          </w:tcPr>
          <w:p>
            <w:pPr>
              <w:spacing w:after="0"/>
              <w:rPr>
                <w:sz w:val="20"/>
                <w:szCs w:val="20"/>
                <w:color w:val="auto"/>
              </w:rPr>
            </w:pPr>
            <w:r>
              <w:rPr>
                <w:rFonts w:ascii="Arial" w:cs="Arial" w:eastAsia="Arial" w:hAnsi="Arial"/>
                <w:sz w:val="14"/>
                <w:szCs w:val="14"/>
                <w:color w:val="auto"/>
              </w:rPr>
              <w:t>Other income (loss):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Servicing revenue</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64</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00" w:type="dxa"/>
            <w:vAlign w:val="bottom"/>
          </w:tcPr>
          <w:p>
            <w:pPr>
              <w:ind w:left="200"/>
              <w:spacing w:after="0"/>
              <w:rPr>
                <w:sz w:val="20"/>
                <w:szCs w:val="20"/>
                <w:color w:val="auto"/>
              </w:rPr>
            </w:pPr>
            <w:r>
              <w:rPr>
                <w:rFonts w:ascii="Arial" w:cs="Arial" w:eastAsia="Arial" w:hAnsi="Arial"/>
                <w:sz w:val="14"/>
                <w:szCs w:val="14"/>
                <w:color w:val="auto"/>
              </w:rPr>
              <w:t>Asset recovery and business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00" w:type="dxa"/>
            <w:vAlign w:val="bottom"/>
          </w:tcPr>
          <w:p>
            <w:pPr>
              <w:ind w:left="420"/>
              <w:spacing w:after="0" w:line="157" w:lineRule="exact"/>
              <w:rPr>
                <w:sz w:val="20"/>
                <w:szCs w:val="20"/>
                <w:color w:val="auto"/>
              </w:rPr>
            </w:pPr>
            <w:r>
              <w:rPr>
                <w:rFonts w:ascii="Arial" w:cs="Arial" w:eastAsia="Arial" w:hAnsi="Arial"/>
                <w:sz w:val="14"/>
                <w:szCs w:val="14"/>
                <w:color w:val="auto"/>
              </w:rPr>
              <w:t>processing revenue</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51</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66</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49"/>
              <w:spacing w:after="0" w:line="157" w:lineRule="exact"/>
              <w:rPr>
                <w:sz w:val="20"/>
                <w:szCs w:val="20"/>
                <w:color w:val="auto"/>
              </w:rPr>
            </w:pPr>
            <w:r>
              <w:rPr>
                <w:rFonts w:ascii="Arial" w:cs="Arial" w:eastAsia="Arial" w:hAnsi="Arial"/>
                <w:sz w:val="14"/>
                <w:szCs w:val="14"/>
                <w:color w:val="auto"/>
              </w:rPr>
              <w:t>117</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69"/>
              <w:spacing w:after="0" w:line="157" w:lineRule="exact"/>
              <w:rPr>
                <w:sz w:val="20"/>
                <w:szCs w:val="20"/>
                <w:color w:val="auto"/>
              </w:rPr>
            </w:pPr>
            <w:r>
              <w:rPr>
                <w:rFonts w:ascii="Arial" w:cs="Arial" w:eastAsia="Arial" w:hAnsi="Arial"/>
                <w:sz w:val="14"/>
                <w:szCs w:val="14"/>
                <w:color w:val="auto"/>
              </w:rPr>
              <w:t>117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income (loss)</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(64)</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00" w:type="dxa"/>
            <w:vAlign w:val="bottom"/>
          </w:tcPr>
          <w:p>
            <w:pPr>
              <w:ind w:left="200"/>
              <w:spacing w:after="0"/>
              <w:rPr>
                <w:sz w:val="20"/>
                <w:szCs w:val="20"/>
                <w:color w:val="auto"/>
              </w:rPr>
            </w:pPr>
            <w:r>
              <w:rPr>
                <w:rFonts w:ascii="Arial" w:cs="Arial" w:eastAsia="Arial" w:hAnsi="Arial"/>
                <w:sz w:val="14"/>
                <w:szCs w:val="14"/>
                <w:color w:val="auto"/>
              </w:rPr>
              <w:t>Gains on debt repurchases</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18</w:t>
            </w: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Total other income (loss)</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202</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(54)</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148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gridSpan w:val="2"/>
          </w:tcPr>
          <w:p>
            <w:pPr>
              <w:spacing w:after="0"/>
              <w:rPr>
                <w:sz w:val="20"/>
                <w:szCs w:val="20"/>
                <w:color w:val="auto"/>
              </w:rPr>
            </w:pPr>
            <w:r>
              <w:rPr>
                <w:rFonts w:ascii="Arial" w:cs="Arial" w:eastAsia="Arial" w:hAnsi="Arial"/>
                <w:sz w:val="14"/>
                <w:szCs w:val="14"/>
                <w:color w:val="auto"/>
              </w:rPr>
              <w:t>Expenses: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Direct operating expenses</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182</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182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00" w:type="dxa"/>
            <w:vAlign w:val="bottom"/>
          </w:tcPr>
          <w:p>
            <w:pPr>
              <w:ind w:left="200"/>
              <w:spacing w:after="0"/>
              <w:rPr>
                <w:sz w:val="20"/>
                <w:szCs w:val="20"/>
                <w:color w:val="auto"/>
              </w:rPr>
            </w:pPr>
            <w:r>
              <w:rPr>
                <w:rFonts w:ascii="Arial" w:cs="Arial" w:eastAsia="Arial" w:hAnsi="Arial"/>
                <w:sz w:val="14"/>
                <w:szCs w:val="14"/>
                <w:color w:val="auto"/>
              </w:rPr>
              <w:t>Unallocated shared services expenses</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70</w:t>
            </w: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70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Operating expenses</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252</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252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00" w:type="dxa"/>
            <w:vAlign w:val="bottom"/>
          </w:tcPr>
          <w:p>
            <w:pPr>
              <w:ind w:left="200"/>
              <w:spacing w:after="0"/>
              <w:rPr>
                <w:sz w:val="20"/>
                <w:szCs w:val="20"/>
                <w:color w:val="auto"/>
              </w:rPr>
            </w:pPr>
            <w:r>
              <w:rPr>
                <w:rFonts w:ascii="Arial" w:cs="Arial" w:eastAsia="Arial" w:hAnsi="Arial"/>
                <w:sz w:val="14"/>
                <w:szCs w:val="14"/>
                <w:color w:val="auto"/>
              </w:rPr>
              <w:t>Goodwill and acquired intangible asset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00" w:type="dxa"/>
            <w:vAlign w:val="bottom"/>
          </w:tcPr>
          <w:p>
            <w:pPr>
              <w:ind w:left="420"/>
              <w:spacing w:after="0" w:line="157" w:lineRule="exact"/>
              <w:rPr>
                <w:sz w:val="20"/>
                <w:szCs w:val="20"/>
                <w:color w:val="auto"/>
              </w:rPr>
            </w:pPr>
            <w:r>
              <w:rPr>
                <w:rFonts w:ascii="Arial" w:cs="Arial" w:eastAsia="Arial" w:hAnsi="Arial"/>
                <w:sz w:val="14"/>
                <w:szCs w:val="14"/>
                <w:color w:val="auto"/>
              </w:rPr>
              <w:t>impairment and amortization</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jc w:val="right"/>
              <w:ind w:right="68"/>
              <w:spacing w:after="0" w:line="157" w:lineRule="exact"/>
              <w:rPr>
                <w:sz w:val="20"/>
                <w:szCs w:val="20"/>
                <w:color w:val="auto"/>
              </w:rPr>
            </w:pPr>
            <w:r>
              <w:rPr>
                <w:rFonts w:ascii="Arial" w:cs="Arial" w:eastAsia="Arial" w:hAnsi="Arial"/>
                <w:sz w:val="14"/>
                <w:szCs w:val="14"/>
                <w:color w:val="auto"/>
              </w:rPr>
              <w:t>8</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ind w:right="49"/>
              <w:spacing w:after="0" w:line="157" w:lineRule="exact"/>
              <w:rPr>
                <w:sz w:val="20"/>
                <w:szCs w:val="20"/>
                <w:color w:val="auto"/>
              </w:rPr>
            </w:pPr>
            <w:r>
              <w:rPr>
                <w:rFonts w:ascii="Arial" w:cs="Arial" w:eastAsia="Arial" w:hAnsi="Arial"/>
                <w:sz w:val="14"/>
                <w:szCs w:val="14"/>
                <w:color w:val="auto"/>
              </w:rPr>
              <w:t>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69"/>
              <w:spacing w:after="0" w:line="157" w:lineRule="exact"/>
              <w:rPr>
                <w:sz w:val="20"/>
                <w:szCs w:val="20"/>
                <w:color w:val="auto"/>
              </w:rPr>
            </w:pPr>
            <w:r>
              <w:rPr>
                <w:rFonts w:ascii="Arial" w:cs="Arial" w:eastAsia="Arial" w:hAnsi="Arial"/>
                <w:sz w:val="14"/>
                <w:szCs w:val="14"/>
                <w:color w:val="auto"/>
              </w:rPr>
              <w:t>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Restructuring/other reorganization expenses</w:t>
            </w:r>
          </w:p>
        </w:tc>
        <w:tc>
          <w:tcPr>
            <w:tcW w:w="1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20" w:type="dxa"/>
            <w:vAlign w:val="bottom"/>
            <w:gridSpan w:val="2"/>
          </w:tcPr>
          <w:p>
            <w:pPr>
              <w:spacing w:after="0"/>
              <w:rPr>
                <w:sz w:val="20"/>
                <w:szCs w:val="20"/>
                <w:color w:val="auto"/>
              </w:rPr>
            </w:pPr>
            <w:r>
              <w:rPr>
                <w:rFonts w:ascii="Arial" w:cs="Arial" w:eastAsia="Arial" w:hAnsi="Arial"/>
                <w:sz w:val="14"/>
                <w:szCs w:val="14"/>
                <w:color w:val="auto"/>
              </w:rPr>
              <w:t>Total expenses</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256</w:t>
            </w: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8</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264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Income (loss) before income tax expense (benefit)</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173</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(67)</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00" w:type="dxa"/>
            <w:vAlign w:val="bottom"/>
          </w:tcPr>
          <w:p>
            <w:pPr>
              <w:spacing w:after="0" w:line="162" w:lineRule="exact"/>
              <w:rPr>
                <w:sz w:val="20"/>
                <w:szCs w:val="20"/>
                <w:color w:val="auto"/>
              </w:rPr>
            </w:pPr>
            <w:r>
              <w:rPr>
                <w:rFonts w:ascii="Arial" w:cs="Arial" w:eastAsia="Arial" w:hAnsi="Arial"/>
                <w:sz w:val="11"/>
                <w:szCs w:val="11"/>
                <w:color w:val="auto"/>
              </w:rPr>
              <w:t>Income tax expense (benefit)</w:t>
            </w:r>
            <w:r>
              <w:rPr>
                <w:rFonts w:ascii="Arial" w:cs="Arial" w:eastAsia="Arial" w:hAnsi="Arial"/>
                <w:sz w:val="18"/>
                <w:szCs w:val="18"/>
                <w:color w:val="auto"/>
                <w:vertAlign w:val="superscript"/>
              </w:rPr>
              <w:t>(2)</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33</w:t>
            </w: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300" w:type="dxa"/>
            <w:vAlign w:val="bottom"/>
            <w:gridSpan w:val="2"/>
            <w:shd w:val="clear" w:color="auto" w:fill="CCEEFF"/>
          </w:tcPr>
          <w:p>
            <w:pPr>
              <w:jc w:val="right"/>
              <w:ind w:right="2"/>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140</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102"/>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94615</wp:posOffset>
            </wp:positionV>
            <wp:extent cx="9779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76" w:lineRule="exact"/>
        <w:rPr>
          <w:sz w:val="20"/>
          <w:szCs w:val="20"/>
          <w:color w:val="auto"/>
        </w:rPr>
      </w:pPr>
    </w:p>
    <w:p>
      <w:pPr>
        <w:spacing w:after="0"/>
        <w:tabs>
          <w:tab w:leader="none" w:pos="300" w:val="left"/>
        </w:tabs>
        <w:rPr>
          <w:sz w:val="20"/>
          <w:szCs w:val="20"/>
          <w:color w:val="auto"/>
        </w:rPr>
      </w:pPr>
      <w:r>
        <w:rPr>
          <w:rFonts w:ascii="Arial" w:cs="Arial" w:eastAsia="Arial" w:hAnsi="Arial"/>
          <w:sz w:val="24"/>
          <w:szCs w:val="24"/>
          <w:color w:val="auto"/>
          <w:vertAlign w:val="superscript"/>
        </w:rPr>
        <w:t>(1)</w:t>
      </w:r>
      <w:r>
        <w:rPr>
          <w:sz w:val="20"/>
          <w:szCs w:val="20"/>
          <w:color w:val="auto"/>
        </w:rPr>
        <w:tab/>
      </w:r>
      <w:r>
        <w:rPr>
          <w:rFonts w:ascii="Arial" w:cs="Arial" w:eastAsia="Arial" w:hAnsi="Arial"/>
          <w:sz w:val="14"/>
          <w:szCs w:val="14"/>
          <w:color w:val="auto"/>
        </w:rPr>
        <w:t>Core Earnings adjustments to GAAP:</w:t>
      </w:r>
    </w:p>
    <w:p>
      <w:pPr>
        <w:spacing w:after="0" w:line="263" w:lineRule="exact"/>
        <w:rPr>
          <w:sz w:val="20"/>
          <w:szCs w:val="20"/>
          <w:color w:val="auto"/>
        </w:rPr>
      </w:pPr>
    </w:p>
    <w:p>
      <w:pPr>
        <w:ind w:left="7660"/>
        <w:spacing w:after="0"/>
        <w:rPr>
          <w:sz w:val="20"/>
          <w:szCs w:val="20"/>
          <w:color w:val="auto"/>
        </w:rPr>
      </w:pPr>
      <w:r>
        <w:rPr>
          <w:rFonts w:ascii="Arial" w:cs="Arial" w:eastAsia="Arial" w:hAnsi="Arial"/>
          <w:sz w:val="14"/>
          <w:szCs w:val="14"/>
          <w:b w:val="1"/>
          <w:bCs w:val="1"/>
          <w:color w:val="auto"/>
        </w:rPr>
        <w:t>QUARTER ENDED DECEMBER 31, 2018</w:t>
      </w:r>
    </w:p>
    <w:p>
      <w:pPr>
        <w:spacing w:after="0" w:line="32" w:lineRule="exact"/>
        <w:rPr>
          <w:sz w:val="20"/>
          <w:szCs w:val="20"/>
          <w:color w:val="auto"/>
        </w:rPr>
      </w:pPr>
    </w:p>
    <w:tbl>
      <w:tblPr>
        <w:tblLayout w:type="fixed"/>
        <w:tblInd w:w="4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Net Impact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Net Impact of</w:t>
            </w:r>
          </w:p>
        </w:tc>
        <w:tc>
          <w:tcPr>
            <w:tcW w:w="140" w:type="dxa"/>
            <w:vAlign w:val="bottom"/>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Goodwill and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(Dollars in millions)</w:t>
            </w:r>
          </w:p>
        </w:tc>
        <w:tc>
          <w:tcPr>
            <w:tcW w:w="120" w:type="dxa"/>
            <w:vAlign w:val="bottom"/>
          </w:tcPr>
          <w:p>
            <w:pPr>
              <w:spacing w:after="0"/>
              <w:rPr>
                <w:sz w:val="11"/>
                <w:szCs w:val="11"/>
                <w:color w:val="auto"/>
              </w:rPr>
            </w:pPr>
          </w:p>
        </w:tc>
        <w:tc>
          <w:tcPr>
            <w:tcW w:w="840" w:type="dxa"/>
            <w:vAlign w:val="bottom"/>
          </w:tcPr>
          <w:p>
            <w:pPr>
              <w:jc w:val="center"/>
              <w:ind w:right="51"/>
              <w:spacing w:after="0" w:line="135" w:lineRule="exact"/>
              <w:rPr>
                <w:sz w:val="20"/>
                <w:szCs w:val="20"/>
                <w:color w:val="auto"/>
              </w:rPr>
            </w:pPr>
            <w:r>
              <w:rPr>
                <w:rFonts w:ascii="Arial" w:cs="Arial" w:eastAsia="Arial" w:hAnsi="Arial"/>
                <w:sz w:val="13"/>
                <w:szCs w:val="13"/>
                <w:b w:val="1"/>
                <w:bCs w:val="1"/>
                <w:color w:val="auto"/>
                <w:w w:val="96"/>
              </w:rPr>
              <w:t>Derivative</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91"/>
              <w:spacing w:after="0" w:line="135" w:lineRule="exact"/>
              <w:rPr>
                <w:sz w:val="20"/>
                <w:szCs w:val="20"/>
                <w:color w:val="auto"/>
              </w:rPr>
            </w:pPr>
            <w:r>
              <w:rPr>
                <w:rFonts w:ascii="Arial" w:cs="Arial" w:eastAsia="Arial" w:hAnsi="Arial"/>
                <w:sz w:val="13"/>
                <w:szCs w:val="13"/>
                <w:b w:val="1"/>
                <w:bCs w:val="1"/>
                <w:color w:val="auto"/>
                <w:w w:val="99"/>
              </w:rPr>
              <w:t>Acquired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72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71"/>
              <w:spacing w:after="0"/>
              <w:rPr>
                <w:sz w:val="20"/>
                <w:szCs w:val="20"/>
                <w:color w:val="auto"/>
              </w:rPr>
            </w:pPr>
            <w:r>
              <w:rPr>
                <w:rFonts w:ascii="Arial" w:cs="Arial" w:eastAsia="Arial" w:hAnsi="Arial"/>
                <w:sz w:val="13"/>
                <w:szCs w:val="13"/>
                <w:b w:val="1"/>
                <w:bCs w:val="1"/>
                <w:color w:val="auto"/>
                <w:w w:val="97"/>
              </w:rPr>
              <w:t>Accounting</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91"/>
              <w:spacing w:after="0"/>
              <w:rPr>
                <w:sz w:val="20"/>
                <w:szCs w:val="20"/>
                <w:color w:val="auto"/>
              </w:rPr>
            </w:pPr>
            <w:r>
              <w:rPr>
                <w:rFonts w:ascii="Arial" w:cs="Arial" w:eastAsia="Arial" w:hAnsi="Arial"/>
                <w:sz w:val="13"/>
                <w:szCs w:val="13"/>
                <w:b w:val="1"/>
                <w:bCs w:val="1"/>
                <w:color w:val="auto"/>
                <w:w w:val="99"/>
              </w:rPr>
              <w:t>Intangibles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gridSpan w:val="2"/>
          </w:tcPr>
          <w:p>
            <w:pPr>
              <w:ind w:left="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Net interest income after provisions for loan losses</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11"/>
              <w:spacing w:after="0" w:line="155" w:lineRule="exact"/>
              <w:rPr>
                <w:sz w:val="20"/>
                <w:szCs w:val="20"/>
                <w:color w:val="auto"/>
              </w:rPr>
            </w:pPr>
            <w:r>
              <w:rPr>
                <w:rFonts w:ascii="Arial" w:cs="Arial" w:eastAsia="Arial" w:hAnsi="Arial"/>
                <w:sz w:val="14"/>
                <w:szCs w:val="14"/>
                <w:color w:val="auto"/>
              </w:rPr>
              <w:t>(5)</w:t>
            </w: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71"/>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ind w:right="9"/>
              <w:spacing w:after="0" w:line="155" w:lineRule="exact"/>
              <w:rPr>
                <w:sz w:val="20"/>
                <w:szCs w:val="20"/>
                <w:color w:val="auto"/>
              </w:rPr>
            </w:pPr>
            <w:r>
              <w:rPr>
                <w:rFonts w:ascii="Arial" w:cs="Arial" w:eastAsia="Arial" w:hAnsi="Arial"/>
                <w:sz w:val="14"/>
                <w:szCs w:val="14"/>
                <w:color w:val="auto"/>
              </w:rPr>
              <w:t>(5)</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220" w:type="dxa"/>
            <w:vAlign w:val="bottom"/>
            <w:gridSpan w:val="3"/>
          </w:tcPr>
          <w:p>
            <w:pPr>
              <w:spacing w:after="0"/>
              <w:rPr>
                <w:sz w:val="20"/>
                <w:szCs w:val="20"/>
                <w:color w:val="auto"/>
              </w:rPr>
            </w:pPr>
            <w:r>
              <w:rPr>
                <w:rFonts w:ascii="Arial" w:cs="Arial" w:eastAsia="Arial" w:hAnsi="Arial"/>
                <w:sz w:val="14"/>
                <w:szCs w:val="14"/>
                <w:color w:val="auto"/>
              </w:rPr>
              <w:t>Total other income (loss)</w:t>
            </w:r>
          </w:p>
        </w:tc>
        <w:tc>
          <w:tcPr>
            <w:tcW w:w="120" w:type="dxa"/>
            <w:vAlign w:val="bottom"/>
          </w:tcPr>
          <w:p>
            <w:pPr>
              <w:spacing w:after="0"/>
              <w:rPr>
                <w:sz w:val="14"/>
                <w:szCs w:val="14"/>
                <w:color w:val="auto"/>
              </w:rPr>
            </w:pPr>
          </w:p>
        </w:tc>
        <w:tc>
          <w:tcPr>
            <w:tcW w:w="840" w:type="dxa"/>
            <w:vAlign w:val="bottom"/>
          </w:tcPr>
          <w:p>
            <w:pPr>
              <w:jc w:val="right"/>
              <w:ind w:right="11"/>
              <w:spacing w:after="0"/>
              <w:rPr>
                <w:sz w:val="20"/>
                <w:szCs w:val="20"/>
                <w:color w:val="auto"/>
              </w:rPr>
            </w:pPr>
            <w:r>
              <w:rPr>
                <w:rFonts w:ascii="Arial" w:cs="Arial" w:eastAsia="Arial" w:hAnsi="Arial"/>
                <w:sz w:val="14"/>
                <w:szCs w:val="14"/>
                <w:color w:val="auto"/>
              </w:rPr>
              <w:t>(54)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(54)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Goodwill and acquired intangible asset impairment and amortization</w:t>
            </w: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220" w:type="dxa"/>
            <w:vAlign w:val="bottom"/>
            <w:gridSpan w:val="3"/>
          </w:tcPr>
          <w:p>
            <w:pPr>
              <w:spacing w:after="0"/>
              <w:rPr>
                <w:sz w:val="20"/>
                <w:szCs w:val="20"/>
                <w:color w:val="auto"/>
              </w:rPr>
            </w:pPr>
            <w:r>
              <w:rPr>
                <w:rFonts w:ascii="Arial" w:cs="Arial" w:eastAsia="Arial" w:hAnsi="Arial"/>
                <w:sz w:val="14"/>
                <w:szCs w:val="14"/>
                <w:color w:val="auto"/>
              </w:rPr>
              <w:t>Total Core Earnings adjustments to GAAP</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1"/>
              <w:spacing w:after="0"/>
              <w:rPr>
                <w:sz w:val="20"/>
                <w:szCs w:val="20"/>
                <w:color w:val="auto"/>
              </w:rPr>
            </w:pPr>
            <w:r>
              <w:rPr>
                <w:rFonts w:ascii="Arial" w:cs="Arial" w:eastAsia="Arial" w:hAnsi="Arial"/>
                <w:sz w:val="14"/>
                <w:szCs w:val="14"/>
                <w:color w:val="auto"/>
              </w:rPr>
              <w:t>(59)</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(67)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200" w:type="dxa"/>
            <w:vAlign w:val="bottom"/>
            <w:gridSpan w:val="2"/>
            <w:shd w:val="clear" w:color="auto" w:fill="CCEEFF"/>
          </w:tcPr>
          <w:p>
            <w:pPr>
              <w:spacing w:after="0" w:line="156" w:lineRule="exact"/>
              <w:rPr>
                <w:sz w:val="20"/>
                <w:szCs w:val="20"/>
                <w:color w:val="auto"/>
              </w:rPr>
            </w:pPr>
            <w:r>
              <w:rPr>
                <w:rFonts w:ascii="Arial" w:cs="Arial" w:eastAsia="Arial" w:hAnsi="Arial"/>
                <w:sz w:val="14"/>
                <w:szCs w:val="14"/>
                <w:color w:val="auto"/>
              </w:rPr>
              <w:t>Income tax expense (benefit)</w:t>
            </w: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49"/>
              <w:spacing w:after="0" w:line="156" w:lineRule="exact"/>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220" w:type="dxa"/>
            <w:vAlign w:val="bottom"/>
            <w:gridSpan w:val="3"/>
          </w:tcPr>
          <w:p>
            <w:pPr>
              <w:spacing w:after="0"/>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(68)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320" w:hanging="316"/>
        <w:spacing w:after="0"/>
        <w:tabs>
          <w:tab w:leader="none" w:pos="320" w:val="left"/>
        </w:tabs>
        <w:numPr>
          <w:ilvl w:val="0"/>
          <w:numId w:val="17"/>
        </w:numPr>
        <w:rPr>
          <w:rFonts w:ascii="Arial" w:cs="Arial" w:eastAsia="Arial" w:hAnsi="Arial"/>
          <w:sz w:val="24"/>
          <w:szCs w:val="24"/>
          <w:color w:val="auto"/>
          <w:vertAlign w:val="superscript"/>
        </w:rPr>
      </w:pPr>
      <w:r>
        <w:rPr>
          <w:rFonts w:ascii="Arial" w:cs="Arial" w:eastAsia="Arial" w:hAnsi="Arial"/>
          <w:sz w:val="14"/>
          <w:szCs w:val="14"/>
          <w:color w:val="auto"/>
        </w:rPr>
        <w:t>Income taxes are based on a percentage of net income before tax for the individual reportable segment.</w:t>
      </w:r>
    </w:p>
    <w:p>
      <w:pPr>
        <w:spacing w:after="0" w:line="127" w:lineRule="exact"/>
        <w:rPr>
          <w:sz w:val="20"/>
          <w:szCs w:val="20"/>
          <w:color w:val="auto"/>
        </w:rPr>
      </w:pPr>
    </w:p>
    <w:p>
      <w:pPr>
        <w:ind w:left="1078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040"/>
          </w:cols>
          <w:pgMar w:left="440" w:top="307" w:right="4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7"/>
          </w:tcPr>
          <w:p>
            <w:pPr>
              <w:jc w:val="right"/>
              <w:spacing w:after="0"/>
              <w:rPr>
                <w:sz w:val="20"/>
                <w:szCs w:val="20"/>
                <w:color w:val="auto"/>
              </w:rPr>
            </w:pPr>
            <w:r>
              <w:rPr>
                <w:rFonts w:ascii="Arial" w:cs="Arial" w:eastAsia="Arial" w:hAnsi="Arial"/>
                <w:sz w:val="13"/>
                <w:szCs w:val="13"/>
                <w:b w:val="1"/>
                <w:bCs w:val="1"/>
                <w:color w:val="auto"/>
              </w:rPr>
              <w:t>YEAR ENDED DECEMBER 31, 2019</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center"/>
              <w:ind w:right="69"/>
              <w:spacing w:after="0"/>
              <w:rPr>
                <w:sz w:val="20"/>
                <w:szCs w:val="20"/>
                <w:color w:val="auto"/>
              </w:rPr>
            </w:pPr>
            <w:r>
              <w:rPr>
                <w:rFonts w:ascii="Arial" w:cs="Arial" w:eastAsia="Arial" w:hAnsi="Arial"/>
                <w:sz w:val="12"/>
                <w:szCs w:val="12"/>
                <w:b w:val="1"/>
                <w:bCs w:val="1"/>
                <w:color w:val="auto"/>
                <w:w w:val="98"/>
              </w:rPr>
              <w:t>Federal</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ind w:right="109"/>
              <w:spacing w:after="0"/>
              <w:rPr>
                <w:sz w:val="20"/>
                <w:szCs w:val="20"/>
                <w:color w:val="auto"/>
              </w:rPr>
            </w:pPr>
            <w:r>
              <w:rPr>
                <w:rFonts w:ascii="Arial" w:cs="Arial" w:eastAsia="Arial" w:hAnsi="Arial"/>
                <w:sz w:val="12"/>
                <w:szCs w:val="12"/>
                <w:b w:val="1"/>
                <w:bCs w:val="1"/>
                <w:color w:val="auto"/>
              </w:rPr>
              <w:t>Total</w:t>
            </w: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2"/>
                <w:szCs w:val="12"/>
                <w:b w:val="1"/>
                <w:bCs w:val="1"/>
                <w:color w:val="auto"/>
              </w:rPr>
              <w:t>Adjustments</w:t>
            </w: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7"/>
        </w:trPr>
        <w:tc>
          <w:tcPr>
            <w:tcW w:w="31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(Dollars in millions)</w:t>
            </w:r>
          </w:p>
        </w:tc>
        <w:tc>
          <w:tcPr>
            <w:tcW w:w="680" w:type="dxa"/>
            <w:vAlign w:val="bottom"/>
            <w:gridSpan w:val="2"/>
          </w:tcPr>
          <w:p>
            <w:pPr>
              <w:jc w:val="center"/>
              <w:spacing w:after="0" w:line="117" w:lineRule="exact"/>
              <w:rPr>
                <w:sz w:val="20"/>
                <w:szCs w:val="20"/>
                <w:color w:val="auto"/>
              </w:rPr>
            </w:pPr>
            <w:r>
              <w:rPr>
                <w:rFonts w:ascii="Arial" w:cs="Arial" w:eastAsia="Arial" w:hAnsi="Arial"/>
                <w:sz w:val="12"/>
                <w:szCs w:val="12"/>
                <w:b w:val="1"/>
                <w:bCs w:val="1"/>
                <w:color w:val="auto"/>
                <w:w w:val="96"/>
              </w:rPr>
              <w:t>Education</w:t>
            </w:r>
          </w:p>
        </w:tc>
        <w:tc>
          <w:tcPr>
            <w:tcW w:w="200" w:type="dxa"/>
            <w:vAlign w:val="bottom"/>
          </w:tcPr>
          <w:p>
            <w:pPr>
              <w:spacing w:after="0"/>
              <w:rPr>
                <w:sz w:val="10"/>
                <w:szCs w:val="10"/>
                <w:color w:val="auto"/>
              </w:rPr>
            </w:pPr>
          </w:p>
        </w:tc>
        <w:tc>
          <w:tcPr>
            <w:tcW w:w="600" w:type="dxa"/>
            <w:vAlign w:val="bottom"/>
            <w:gridSpan w:val="2"/>
          </w:tcPr>
          <w:p>
            <w:pPr>
              <w:jc w:val="right"/>
              <w:spacing w:after="0" w:line="117" w:lineRule="exact"/>
              <w:rPr>
                <w:sz w:val="20"/>
                <w:szCs w:val="20"/>
                <w:color w:val="auto"/>
              </w:rPr>
            </w:pPr>
            <w:r>
              <w:rPr>
                <w:rFonts w:ascii="Arial" w:cs="Arial" w:eastAsia="Arial" w:hAnsi="Arial"/>
                <w:sz w:val="12"/>
                <w:szCs w:val="12"/>
                <w:b w:val="1"/>
                <w:bCs w:val="1"/>
                <w:color w:val="auto"/>
                <w:w w:val="94"/>
              </w:rPr>
              <w:t>Consumer</w:t>
            </w:r>
          </w:p>
        </w:tc>
        <w:tc>
          <w:tcPr>
            <w:tcW w:w="200" w:type="dxa"/>
            <w:vAlign w:val="bottom"/>
          </w:tcPr>
          <w:p>
            <w:pPr>
              <w:spacing w:after="0"/>
              <w:rPr>
                <w:sz w:val="10"/>
                <w:szCs w:val="10"/>
                <w:color w:val="auto"/>
              </w:rPr>
            </w:pPr>
          </w:p>
        </w:tc>
        <w:tc>
          <w:tcPr>
            <w:tcW w:w="620" w:type="dxa"/>
            <w:vAlign w:val="bottom"/>
            <w:gridSpan w:val="2"/>
          </w:tcPr>
          <w:p>
            <w:pPr>
              <w:ind w:left="40"/>
              <w:spacing w:after="0" w:line="117" w:lineRule="exact"/>
              <w:rPr>
                <w:sz w:val="20"/>
                <w:szCs w:val="20"/>
                <w:color w:val="auto"/>
              </w:rPr>
            </w:pPr>
            <w:r>
              <w:rPr>
                <w:rFonts w:ascii="Arial" w:cs="Arial" w:eastAsia="Arial" w:hAnsi="Arial"/>
                <w:sz w:val="12"/>
                <w:szCs w:val="12"/>
                <w:b w:val="1"/>
                <w:bCs w:val="1"/>
                <w:color w:val="auto"/>
              </w:rPr>
              <w:t>Business</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ind w:right="109"/>
              <w:spacing w:after="0" w:line="117" w:lineRule="exact"/>
              <w:rPr>
                <w:sz w:val="20"/>
                <w:szCs w:val="20"/>
                <w:color w:val="auto"/>
              </w:rPr>
            </w:pPr>
            <w:r>
              <w:rPr>
                <w:rFonts w:ascii="Arial" w:cs="Arial" w:eastAsia="Arial" w:hAnsi="Arial"/>
                <w:sz w:val="12"/>
                <w:szCs w:val="12"/>
                <w:b w:val="1"/>
                <w:bCs w:val="1"/>
                <w:color w:val="auto"/>
              </w:rPr>
              <w:t>Core</w:t>
            </w: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2"/>
          </w:tcPr>
          <w:p>
            <w:pPr>
              <w:jc w:val="right"/>
              <w:ind w:right="48"/>
              <w:spacing w:after="0" w:line="117" w:lineRule="exact"/>
              <w:rPr>
                <w:sz w:val="20"/>
                <w:szCs w:val="20"/>
                <w:color w:val="auto"/>
              </w:rPr>
            </w:pPr>
            <w:r>
              <w:rPr>
                <w:rFonts w:ascii="Arial" w:cs="Arial" w:eastAsia="Arial" w:hAnsi="Arial"/>
                <w:sz w:val="12"/>
                <w:szCs w:val="12"/>
                <w:b w:val="1"/>
                <w:bCs w:val="1"/>
                <w:color w:val="auto"/>
              </w:rPr>
              <w:t>Additions/</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jc w:val="right"/>
              <w:ind w:right="229"/>
              <w:spacing w:after="0" w:line="117" w:lineRule="exact"/>
              <w:rPr>
                <w:sz w:val="20"/>
                <w:szCs w:val="20"/>
                <w:color w:val="auto"/>
              </w:rPr>
            </w:pPr>
            <w:r>
              <w:rPr>
                <w:rFonts w:ascii="Arial" w:cs="Arial" w:eastAsia="Arial" w:hAnsi="Arial"/>
                <w:sz w:val="12"/>
                <w:szCs w:val="12"/>
                <w:b w:val="1"/>
                <w:bCs w:val="1"/>
                <w:color w:val="auto"/>
              </w:rPr>
              <w:t>Total</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jc w:val="center"/>
              <w:ind w:right="180"/>
              <w:spacing w:after="0" w:line="117"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47"/>
        </w:trPr>
        <w:tc>
          <w:tcPr>
            <w:tcW w:w="31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69"/>
              <w:spacing w:after="0"/>
              <w:rPr>
                <w:sz w:val="20"/>
                <w:szCs w:val="20"/>
                <w:color w:val="auto"/>
              </w:rPr>
            </w:pPr>
            <w:r>
              <w:rPr>
                <w:rFonts w:ascii="Arial" w:cs="Arial" w:eastAsia="Arial" w:hAnsi="Arial"/>
                <w:sz w:val="12"/>
                <w:szCs w:val="12"/>
                <w:b w:val="1"/>
                <w:bCs w:val="1"/>
                <w:color w:val="auto"/>
                <w:w w:val="96"/>
              </w:rPr>
              <w:t>Loans</w:t>
            </w:r>
          </w:p>
        </w:tc>
        <w:tc>
          <w:tcPr>
            <w:tcW w:w="200" w:type="dxa"/>
            <w:vAlign w:val="bottom"/>
          </w:tcPr>
          <w:p>
            <w:pPr>
              <w:spacing w:after="0"/>
              <w:rPr>
                <w:sz w:val="12"/>
                <w:szCs w:val="12"/>
                <w:color w:val="auto"/>
              </w:rPr>
            </w:pPr>
          </w:p>
        </w:tc>
        <w:tc>
          <w:tcPr>
            <w:tcW w:w="600" w:type="dxa"/>
            <w:vAlign w:val="bottom"/>
            <w:gridSpan w:val="2"/>
          </w:tcPr>
          <w:p>
            <w:pPr>
              <w:jc w:val="right"/>
              <w:ind w:right="8"/>
              <w:spacing w:after="0"/>
              <w:rPr>
                <w:sz w:val="20"/>
                <w:szCs w:val="20"/>
                <w:color w:val="auto"/>
              </w:rPr>
            </w:pPr>
            <w:r>
              <w:rPr>
                <w:rFonts w:ascii="Arial" w:cs="Arial" w:eastAsia="Arial" w:hAnsi="Arial"/>
                <w:sz w:val="12"/>
                <w:szCs w:val="12"/>
                <w:b w:val="1"/>
                <w:bCs w:val="1"/>
                <w:color w:val="auto"/>
              </w:rPr>
              <w:t>Lending</w:t>
            </w:r>
          </w:p>
        </w:tc>
        <w:tc>
          <w:tcPr>
            <w:tcW w:w="820" w:type="dxa"/>
            <w:vAlign w:val="bottom"/>
            <w:gridSpan w:val="3"/>
          </w:tcPr>
          <w:p>
            <w:pPr>
              <w:jc w:val="right"/>
              <w:spacing w:after="0"/>
              <w:rPr>
                <w:sz w:val="20"/>
                <w:szCs w:val="20"/>
                <w:color w:val="auto"/>
              </w:rPr>
            </w:pPr>
            <w:r>
              <w:rPr>
                <w:rFonts w:ascii="Arial" w:cs="Arial" w:eastAsia="Arial" w:hAnsi="Arial"/>
                <w:sz w:val="12"/>
                <w:szCs w:val="12"/>
                <w:b w:val="1"/>
                <w:bCs w:val="1"/>
                <w:color w:val="auto"/>
              </w:rPr>
              <w:t>Processing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69"/>
              <w:spacing w:after="0"/>
              <w:rPr>
                <w:sz w:val="20"/>
                <w:szCs w:val="20"/>
                <w:color w:val="auto"/>
              </w:rPr>
            </w:pPr>
            <w:r>
              <w:rPr>
                <w:rFonts w:ascii="Arial" w:cs="Arial" w:eastAsia="Arial" w:hAnsi="Arial"/>
                <w:sz w:val="12"/>
                <w:szCs w:val="12"/>
                <w:b w:val="1"/>
                <w:bCs w:val="1"/>
                <w:color w:val="auto"/>
                <w:w w:val="93"/>
              </w:rPr>
              <w:t>Other</w:t>
            </w:r>
          </w:p>
        </w:tc>
        <w:tc>
          <w:tcPr>
            <w:tcW w:w="180" w:type="dxa"/>
            <w:vAlign w:val="bottom"/>
          </w:tcPr>
          <w:p>
            <w:pPr>
              <w:spacing w:after="0"/>
              <w:rPr>
                <w:sz w:val="12"/>
                <w:szCs w:val="12"/>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Earnings</w:t>
            </w:r>
          </w:p>
        </w:tc>
        <w:tc>
          <w:tcPr>
            <w:tcW w:w="1140" w:type="dxa"/>
            <w:vAlign w:val="bottom"/>
            <w:gridSpan w:val="3"/>
          </w:tcPr>
          <w:p>
            <w:pPr>
              <w:jc w:val="right"/>
              <w:spacing w:after="0"/>
              <w:rPr>
                <w:sz w:val="20"/>
                <w:szCs w:val="20"/>
                <w:color w:val="auto"/>
              </w:rPr>
            </w:pPr>
            <w:r>
              <w:rPr>
                <w:rFonts w:ascii="Arial" w:cs="Arial" w:eastAsia="Arial" w:hAnsi="Arial"/>
                <w:sz w:val="12"/>
                <w:szCs w:val="12"/>
                <w:b w:val="1"/>
                <w:bCs w:val="1"/>
                <w:color w:val="auto"/>
              </w:rPr>
              <w:t>Reclassifications</w:t>
            </w:r>
          </w:p>
        </w:tc>
        <w:tc>
          <w:tcPr>
            <w:tcW w:w="980" w:type="dxa"/>
            <w:vAlign w:val="bottom"/>
            <w:gridSpan w:val="3"/>
          </w:tcPr>
          <w:p>
            <w:pPr>
              <w:jc w:val="right"/>
              <w:spacing w:after="0"/>
              <w:rPr>
                <w:sz w:val="20"/>
                <w:szCs w:val="20"/>
                <w:color w:val="auto"/>
              </w:rPr>
            </w:pPr>
            <w:r>
              <w:rPr>
                <w:rFonts w:ascii="Arial" w:cs="Arial" w:eastAsia="Arial" w:hAnsi="Arial"/>
                <w:sz w:val="12"/>
                <w:szCs w:val="12"/>
                <w:b w:val="1"/>
                <w:bCs w:val="1"/>
                <w:color w:val="auto"/>
              </w:rPr>
              <w:t>(Subtractions)</w:t>
            </w:r>
          </w:p>
        </w:tc>
        <w:tc>
          <w:tcPr>
            <w:tcW w:w="1040" w:type="dxa"/>
            <w:vAlign w:val="bottom"/>
            <w:gridSpan w:val="3"/>
          </w:tcPr>
          <w:p>
            <w:pPr>
              <w:jc w:val="right"/>
              <w:spacing w:after="0"/>
              <w:rPr>
                <w:sz w:val="20"/>
                <w:szCs w:val="20"/>
                <w:color w:val="auto"/>
              </w:rPr>
            </w:pPr>
            <w:r>
              <w:rPr>
                <w:rFonts w:ascii="Arial" w:cs="Arial" w:eastAsia="Arial" w:hAnsi="Arial"/>
                <w:sz w:val="12"/>
                <w:szCs w:val="12"/>
                <w:b w:val="1"/>
                <w:bCs w:val="1"/>
                <w:color w:val="auto"/>
              </w:rPr>
              <w:t>Adjustments</w:t>
            </w:r>
            <w:r>
              <w:rPr>
                <w:rFonts w:ascii="Arial" w:cs="Arial" w:eastAsia="Arial" w:hAnsi="Arial"/>
                <w:sz w:val="9"/>
                <w:szCs w:val="9"/>
                <w:b w:val="1"/>
                <w:bCs w:val="1"/>
                <w:color w:val="auto"/>
              </w:rPr>
              <w:t>(1)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2"/>
              </w:rPr>
              <w:t>GAAP</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Interest income:</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gridSpan w:val="2"/>
          </w:tcPr>
          <w:p>
            <w:pPr>
              <w:ind w:left="200"/>
              <w:spacing w:after="0"/>
              <w:rPr>
                <w:sz w:val="20"/>
                <w:szCs w:val="20"/>
                <w:color w:val="auto"/>
              </w:rPr>
            </w:pPr>
            <w:r>
              <w:rPr>
                <w:rFonts w:ascii="Arial" w:cs="Arial" w:eastAsia="Arial" w:hAnsi="Arial"/>
                <w:sz w:val="14"/>
                <w:szCs w:val="14"/>
                <w:color w:val="auto"/>
              </w:rPr>
              <w:t>Education loans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2,907</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w w:val="96"/>
              </w:rPr>
              <w:t>1,731</w:t>
            </w:r>
          </w:p>
        </w:tc>
        <w:tc>
          <w:tcPr>
            <w:tcW w:w="3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ind w:right="69"/>
              <w:spacing w:after="0"/>
              <w:rPr>
                <w:sz w:val="20"/>
                <w:szCs w:val="20"/>
                <w:color w:val="auto"/>
              </w:rPr>
            </w:pPr>
            <w:r>
              <w:rPr>
                <w:rFonts w:ascii="Arial" w:cs="Arial" w:eastAsia="Arial" w:hAnsi="Arial"/>
                <w:sz w:val="14"/>
                <w:szCs w:val="14"/>
                <w:color w:val="auto"/>
                <w:w w:val="96"/>
              </w:rPr>
              <w:t>4,638</w:t>
            </w: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460" w:type="dxa"/>
            <w:vAlign w:val="bottom"/>
            <w:gridSpan w:val="2"/>
          </w:tcPr>
          <w:p>
            <w:pPr>
              <w:jc w:val="right"/>
              <w:ind w:right="102"/>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(68)</w:t>
            </w:r>
          </w:p>
        </w:tc>
        <w:tc>
          <w:tcPr>
            <w:tcW w:w="4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(60)</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69"/>
              <w:spacing w:after="0"/>
              <w:rPr>
                <w:sz w:val="20"/>
                <w:szCs w:val="20"/>
                <w:color w:val="auto"/>
              </w:rPr>
            </w:pPr>
            <w:r>
              <w:rPr>
                <w:rFonts w:ascii="Arial" w:cs="Arial" w:eastAsia="Arial" w:hAnsi="Arial"/>
                <w:sz w:val="14"/>
                <w:szCs w:val="14"/>
                <w:color w:val="auto"/>
                <w:w w:val="96"/>
              </w:rPr>
              <w:t>4,578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Other loans</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40" w:type="dxa"/>
            <w:vAlign w:val="bottom"/>
            <w:gridSpan w:val="2"/>
          </w:tcPr>
          <w:p>
            <w:pPr>
              <w:ind w:left="200"/>
              <w:spacing w:after="0"/>
              <w:rPr>
                <w:sz w:val="20"/>
                <w:szCs w:val="20"/>
                <w:color w:val="auto"/>
              </w:rPr>
            </w:pPr>
            <w:r>
              <w:rPr>
                <w:rFonts w:ascii="Arial" w:cs="Arial" w:eastAsia="Arial" w:hAnsi="Arial"/>
                <w:sz w:val="14"/>
                <w:szCs w:val="14"/>
                <w:color w:val="auto"/>
              </w:rPr>
              <w:t>Cash and investments</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50</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27</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93</w:t>
            </w: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93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interest income</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2,958</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6"/>
              </w:rPr>
              <w:t>1,748</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27</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96"/>
              </w:rPr>
              <w:t>4,733</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96"/>
              </w:rPr>
              <w:t>4,673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160" w:type="dxa"/>
            <w:vAlign w:val="bottom"/>
            <w:gridSpan w:val="3"/>
          </w:tcPr>
          <w:p>
            <w:pPr>
              <w:spacing w:after="0"/>
              <w:rPr>
                <w:sz w:val="20"/>
                <w:szCs w:val="20"/>
                <w:color w:val="auto"/>
              </w:rPr>
            </w:pPr>
            <w:r>
              <w:rPr>
                <w:rFonts w:ascii="Arial" w:cs="Arial" w:eastAsia="Arial" w:hAnsi="Arial"/>
                <w:sz w:val="14"/>
                <w:szCs w:val="14"/>
                <w:color w:val="auto"/>
              </w:rPr>
              <w:t>Total interest expense</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2,376</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980</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161</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96"/>
              </w:rPr>
              <w:t>3,517</w:t>
            </w: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(29)</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96"/>
              </w:rPr>
              <w:t>3,488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interest income (loss)</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582</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768</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(134)</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96"/>
              </w:rPr>
              <w:t>1,216</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96"/>
              </w:rPr>
              <w:t>1,185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160" w:type="dxa"/>
            <w:vAlign w:val="bottom"/>
            <w:gridSpan w:val="3"/>
          </w:tcPr>
          <w:p>
            <w:pPr>
              <w:spacing w:after="0"/>
              <w:rPr>
                <w:sz w:val="20"/>
                <w:szCs w:val="20"/>
                <w:color w:val="auto"/>
              </w:rPr>
            </w:pPr>
            <w:r>
              <w:rPr>
                <w:rFonts w:ascii="Arial" w:cs="Arial" w:eastAsia="Arial" w:hAnsi="Arial"/>
                <w:sz w:val="14"/>
                <w:szCs w:val="14"/>
                <w:color w:val="auto"/>
              </w:rPr>
              <w:t>Less: provisions for loan losses</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30</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228</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258</w:t>
            </w: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258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interest income (loss) after provisions for</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40" w:type="dxa"/>
            <w:vAlign w:val="bottom"/>
            <w:gridSpan w:val="2"/>
            <w:shd w:val="clear" w:color="auto" w:fill="CCEEFF"/>
          </w:tcPr>
          <w:p>
            <w:pPr>
              <w:ind w:left="200"/>
              <w:spacing w:after="0" w:line="157" w:lineRule="exact"/>
              <w:rPr>
                <w:sz w:val="20"/>
                <w:szCs w:val="20"/>
                <w:color w:val="auto"/>
              </w:rPr>
            </w:pPr>
            <w:r>
              <w:rPr>
                <w:rFonts w:ascii="Arial" w:cs="Arial" w:eastAsia="Arial" w:hAnsi="Arial"/>
                <w:sz w:val="14"/>
                <w:szCs w:val="14"/>
                <w:color w:val="auto"/>
              </w:rPr>
              <w:t>loan losses</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552</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540</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w w:val="97"/>
              </w:rPr>
              <w:t>(134)</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69"/>
              <w:spacing w:after="0" w:line="157" w:lineRule="exact"/>
              <w:rPr>
                <w:sz w:val="20"/>
                <w:szCs w:val="20"/>
                <w:color w:val="auto"/>
              </w:rPr>
            </w:pPr>
            <w:r>
              <w:rPr>
                <w:rFonts w:ascii="Arial" w:cs="Arial" w:eastAsia="Arial" w:hAnsi="Arial"/>
                <w:sz w:val="14"/>
                <w:szCs w:val="14"/>
                <w:color w:val="auto"/>
              </w:rPr>
              <w:t>958</w:t>
            </w: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(33)</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69"/>
              <w:spacing w:after="0" w:line="157" w:lineRule="exact"/>
              <w:rPr>
                <w:sz w:val="20"/>
                <w:szCs w:val="20"/>
                <w:color w:val="auto"/>
              </w:rPr>
            </w:pPr>
            <w:r>
              <w:rPr>
                <w:rFonts w:ascii="Arial" w:cs="Arial" w:eastAsia="Arial" w:hAnsi="Arial"/>
                <w:sz w:val="14"/>
                <w:szCs w:val="14"/>
                <w:color w:val="auto"/>
              </w:rPr>
              <w:t>(31)</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69"/>
              <w:spacing w:after="0" w:line="157" w:lineRule="exact"/>
              <w:rPr>
                <w:sz w:val="20"/>
                <w:szCs w:val="20"/>
                <w:color w:val="auto"/>
              </w:rPr>
            </w:pPr>
            <w:r>
              <w:rPr>
                <w:rFonts w:ascii="Arial" w:cs="Arial" w:eastAsia="Arial" w:hAnsi="Arial"/>
                <w:sz w:val="14"/>
                <w:szCs w:val="14"/>
                <w:color w:val="auto"/>
              </w:rPr>
              <w:t>927</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60" w:type="dxa"/>
            <w:vAlign w:val="bottom"/>
            <w:gridSpan w:val="3"/>
          </w:tcPr>
          <w:p>
            <w:pPr>
              <w:spacing w:after="0"/>
              <w:rPr>
                <w:sz w:val="20"/>
                <w:szCs w:val="20"/>
                <w:color w:val="auto"/>
              </w:rPr>
            </w:pPr>
            <w:r>
              <w:rPr>
                <w:rFonts w:ascii="Arial" w:cs="Arial" w:eastAsia="Arial" w:hAnsi="Arial"/>
                <w:sz w:val="14"/>
                <w:szCs w:val="14"/>
                <w:color w:val="auto"/>
              </w:rPr>
              <w:t>Other income (loss):</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Servicing revenue</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229</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240</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240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40" w:type="dxa"/>
            <w:vAlign w:val="bottom"/>
            <w:gridSpan w:val="2"/>
          </w:tcPr>
          <w:p>
            <w:pPr>
              <w:ind w:left="200"/>
              <w:spacing w:after="0"/>
              <w:rPr>
                <w:sz w:val="20"/>
                <w:szCs w:val="20"/>
                <w:color w:val="auto"/>
              </w:rPr>
            </w:pPr>
            <w:r>
              <w:rPr>
                <w:rFonts w:ascii="Arial" w:cs="Arial" w:eastAsia="Arial" w:hAnsi="Arial"/>
                <w:sz w:val="14"/>
                <w:szCs w:val="14"/>
                <w:color w:val="auto"/>
              </w:rPr>
              <w:t>Asset recovery and business processing</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40" w:type="dxa"/>
            <w:vAlign w:val="bottom"/>
            <w:gridSpan w:val="2"/>
          </w:tcPr>
          <w:p>
            <w:pPr>
              <w:ind w:left="420"/>
              <w:spacing w:after="0" w:line="157" w:lineRule="exact"/>
              <w:rPr>
                <w:sz w:val="20"/>
                <w:szCs w:val="20"/>
                <w:color w:val="auto"/>
              </w:rPr>
            </w:pPr>
            <w:r>
              <w:rPr>
                <w:rFonts w:ascii="Arial" w:cs="Arial" w:eastAsia="Arial" w:hAnsi="Arial"/>
                <w:sz w:val="14"/>
                <w:szCs w:val="14"/>
                <w:color w:val="auto"/>
              </w:rPr>
              <w:t>revenue</w:t>
            </w:r>
          </w:p>
        </w:tc>
        <w:tc>
          <w:tcPr>
            <w:tcW w:w="120" w:type="dxa"/>
            <w:vAlign w:val="bottom"/>
          </w:tcPr>
          <w:p>
            <w:pPr>
              <w:spacing w:after="0"/>
              <w:rPr>
                <w:sz w:val="13"/>
                <w:szCs w:val="13"/>
                <w:color w:val="auto"/>
              </w:rPr>
            </w:pPr>
          </w:p>
        </w:tc>
        <w:tc>
          <w:tcPr>
            <w:tcW w:w="560" w:type="dxa"/>
            <w:vAlign w:val="bottom"/>
          </w:tcPr>
          <w:p>
            <w:pPr>
              <w:jc w:val="right"/>
              <w:ind w:right="49"/>
              <w:spacing w:after="0" w:line="157" w:lineRule="exact"/>
              <w:rPr>
                <w:sz w:val="20"/>
                <w:szCs w:val="20"/>
                <w:color w:val="auto"/>
              </w:rPr>
            </w:pPr>
            <w:r>
              <w:rPr>
                <w:rFonts w:ascii="Arial" w:cs="Arial" w:eastAsia="Arial" w:hAnsi="Arial"/>
                <w:sz w:val="14"/>
                <w:szCs w:val="14"/>
                <w:color w:val="auto"/>
              </w:rPr>
              <w:t>230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jc w:val="right"/>
              <w:ind w:right="48"/>
              <w:spacing w:after="0" w:line="157" w:lineRule="exact"/>
              <w:rPr>
                <w:sz w:val="20"/>
                <w:szCs w:val="20"/>
                <w:color w:val="auto"/>
              </w:rPr>
            </w:pPr>
            <w:r>
              <w:rPr>
                <w:rFonts w:ascii="Arial" w:cs="Arial" w:eastAsia="Arial" w:hAnsi="Arial"/>
                <w:sz w:val="14"/>
                <w:szCs w:val="14"/>
                <w:color w:val="auto"/>
              </w:rPr>
              <w:t>258</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69"/>
              <w:spacing w:after="0" w:line="157" w:lineRule="exact"/>
              <w:rPr>
                <w:sz w:val="20"/>
                <w:szCs w:val="20"/>
                <w:color w:val="auto"/>
              </w:rPr>
            </w:pPr>
            <w:r>
              <w:rPr>
                <w:rFonts w:ascii="Arial" w:cs="Arial" w:eastAsia="Arial" w:hAnsi="Arial"/>
                <w:sz w:val="14"/>
                <w:szCs w:val="14"/>
                <w:color w:val="auto"/>
              </w:rPr>
              <w:t>488</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69"/>
              <w:spacing w:after="0" w:line="157" w:lineRule="exact"/>
              <w:rPr>
                <w:sz w:val="20"/>
                <w:szCs w:val="20"/>
                <w:color w:val="auto"/>
              </w:rPr>
            </w:pPr>
            <w:r>
              <w:rPr>
                <w:rFonts w:ascii="Arial" w:cs="Arial" w:eastAsia="Arial" w:hAnsi="Arial"/>
                <w:sz w:val="14"/>
                <w:szCs w:val="14"/>
                <w:color w:val="auto"/>
              </w:rPr>
              <w:t>488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Other income (loss)</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28</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14</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43</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24</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gridSpan w:val="2"/>
          </w:tcPr>
          <w:p>
            <w:pPr>
              <w:ind w:left="200"/>
              <w:spacing w:after="0"/>
              <w:rPr>
                <w:sz w:val="20"/>
                <w:szCs w:val="20"/>
                <w:color w:val="auto"/>
              </w:rPr>
            </w:pPr>
            <w:r>
              <w:rPr>
                <w:rFonts w:ascii="Arial" w:cs="Arial" w:eastAsia="Arial" w:hAnsi="Arial"/>
                <w:sz w:val="14"/>
                <w:szCs w:val="14"/>
                <w:color w:val="auto"/>
              </w:rPr>
              <w:t>Gains on sales of loans</w:t>
            </w:r>
          </w:p>
        </w:tc>
        <w:tc>
          <w:tcPr>
            <w:tcW w:w="120" w:type="dxa"/>
            <w:vAlign w:val="bottom"/>
          </w:tcPr>
          <w:p>
            <w:pPr>
              <w:spacing w:after="0"/>
              <w:rPr>
                <w:sz w:val="14"/>
                <w:szCs w:val="14"/>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9"/>
              <w:spacing w:after="0"/>
              <w:rPr>
                <w:sz w:val="20"/>
                <w:szCs w:val="20"/>
                <w:color w:val="auto"/>
              </w:rPr>
            </w:pPr>
            <w:r>
              <w:rPr>
                <w:rFonts w:ascii="Arial" w:cs="Arial" w:eastAsia="Arial" w:hAnsi="Arial"/>
                <w:sz w:val="14"/>
                <w:szCs w:val="14"/>
                <w:color w:val="auto"/>
              </w:rPr>
              <w:t>16</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9"/>
              <w:spacing w:after="0"/>
              <w:rPr>
                <w:sz w:val="20"/>
                <w:szCs w:val="20"/>
                <w:color w:val="auto"/>
              </w:rPr>
            </w:pPr>
            <w:r>
              <w:rPr>
                <w:rFonts w:ascii="Arial" w:cs="Arial" w:eastAsia="Arial" w:hAnsi="Arial"/>
                <w:sz w:val="14"/>
                <w:szCs w:val="14"/>
                <w:color w:val="auto"/>
              </w:rPr>
              <w:t>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Gains on debt repurchases</w:t>
            </w:r>
          </w:p>
        </w:tc>
        <w:tc>
          <w:tcPr>
            <w:tcW w:w="1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33</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33</w:t>
            </w:r>
          </w:p>
        </w:tc>
        <w:tc>
          <w:tcPr>
            <w:tcW w:w="1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2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c>
          <w:tcPr>
            <w:tcW w:w="2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12</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160" w:type="dxa"/>
            <w:vAlign w:val="bottom"/>
            <w:gridSpan w:val="3"/>
          </w:tcPr>
          <w:p>
            <w:pPr>
              <w:spacing w:after="0"/>
              <w:rPr>
                <w:sz w:val="20"/>
                <w:szCs w:val="20"/>
                <w:color w:val="auto"/>
              </w:rPr>
            </w:pPr>
            <w:r>
              <w:rPr>
                <w:rFonts w:ascii="Arial" w:cs="Arial" w:eastAsia="Arial" w:hAnsi="Arial"/>
                <w:sz w:val="14"/>
                <w:szCs w:val="14"/>
                <w:color w:val="auto"/>
              </w:rPr>
              <w:t>Total other income (loss)</w:t>
            </w:r>
          </w:p>
        </w:tc>
        <w:tc>
          <w:tcPr>
            <w:tcW w:w="120" w:type="dxa"/>
            <w:vAlign w:val="bottom"/>
          </w:tcPr>
          <w:p>
            <w:pPr>
              <w:spacing w:after="0"/>
              <w:rPr>
                <w:sz w:val="14"/>
                <w:szCs w:val="14"/>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487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258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69"/>
              <w:spacing w:after="0"/>
              <w:rPr>
                <w:sz w:val="20"/>
                <w:szCs w:val="20"/>
                <w:color w:val="auto"/>
              </w:rPr>
            </w:pPr>
            <w:r>
              <w:rPr>
                <w:rFonts w:ascii="Arial" w:cs="Arial" w:eastAsia="Arial" w:hAnsi="Arial"/>
                <w:sz w:val="14"/>
                <w:szCs w:val="14"/>
                <w:color w:val="auto"/>
              </w:rPr>
              <w:t>47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9"/>
              <w:spacing w:after="0"/>
              <w:rPr>
                <w:sz w:val="20"/>
                <w:szCs w:val="20"/>
                <w:color w:val="auto"/>
              </w:rPr>
            </w:pPr>
            <w:r>
              <w:rPr>
                <w:rFonts w:ascii="Arial" w:cs="Arial" w:eastAsia="Arial" w:hAnsi="Arial"/>
                <w:sz w:val="14"/>
                <w:szCs w:val="14"/>
                <w:color w:val="auto"/>
              </w:rPr>
              <w:t>820</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69"/>
              <w:spacing w:after="0"/>
              <w:rPr>
                <w:sz w:val="20"/>
                <w:szCs w:val="20"/>
                <w:color w:val="auto"/>
              </w:rPr>
            </w:pPr>
            <w:r>
              <w:rPr>
                <w:rFonts w:ascii="Arial" w:cs="Arial" w:eastAsia="Arial" w:hAnsi="Arial"/>
                <w:sz w:val="14"/>
                <w:szCs w:val="14"/>
                <w:color w:val="auto"/>
              </w:rPr>
              <w:t>36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9"/>
              <w:spacing w:after="0"/>
              <w:rPr>
                <w:sz w:val="20"/>
                <w:szCs w:val="20"/>
                <w:color w:val="auto"/>
              </w:rPr>
            </w:pPr>
            <w:r>
              <w:rPr>
                <w:rFonts w:ascii="Arial" w:cs="Arial" w:eastAsia="Arial" w:hAnsi="Arial"/>
                <w:sz w:val="14"/>
                <w:szCs w:val="14"/>
                <w:color w:val="auto"/>
              </w:rPr>
              <w:t>856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Expenses:</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gridSpan w:val="2"/>
          </w:tcPr>
          <w:p>
            <w:pPr>
              <w:ind w:left="200"/>
              <w:spacing w:after="0"/>
              <w:rPr>
                <w:sz w:val="20"/>
                <w:szCs w:val="20"/>
                <w:color w:val="auto"/>
              </w:rPr>
            </w:pPr>
            <w:r>
              <w:rPr>
                <w:rFonts w:ascii="Arial" w:cs="Arial" w:eastAsia="Arial" w:hAnsi="Arial"/>
                <w:sz w:val="14"/>
                <w:szCs w:val="14"/>
                <w:color w:val="auto"/>
              </w:rPr>
              <w:t>Direct operating expenses</w:t>
            </w:r>
          </w:p>
        </w:tc>
        <w:tc>
          <w:tcPr>
            <w:tcW w:w="120" w:type="dxa"/>
            <w:vAlign w:val="bottom"/>
          </w:tcPr>
          <w:p>
            <w:pPr>
              <w:spacing w:after="0"/>
              <w:rPr>
                <w:sz w:val="14"/>
                <w:szCs w:val="14"/>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359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156</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215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9"/>
              <w:spacing w:after="0"/>
              <w:rPr>
                <w:sz w:val="20"/>
                <w:szCs w:val="20"/>
                <w:color w:val="auto"/>
              </w:rPr>
            </w:pPr>
            <w:r>
              <w:rPr>
                <w:rFonts w:ascii="Arial" w:cs="Arial" w:eastAsia="Arial" w:hAnsi="Arial"/>
                <w:sz w:val="14"/>
                <w:szCs w:val="14"/>
                <w:color w:val="auto"/>
              </w:rPr>
              <w:t>730</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9"/>
              <w:spacing w:after="0"/>
              <w:rPr>
                <w:sz w:val="20"/>
                <w:szCs w:val="20"/>
                <w:color w:val="auto"/>
              </w:rPr>
            </w:pPr>
            <w:r>
              <w:rPr>
                <w:rFonts w:ascii="Arial" w:cs="Arial" w:eastAsia="Arial" w:hAnsi="Arial"/>
                <w:sz w:val="14"/>
                <w:szCs w:val="14"/>
                <w:color w:val="auto"/>
              </w:rPr>
              <w:t>730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Unallocated shared services expenses</w:t>
            </w:r>
          </w:p>
        </w:tc>
        <w:tc>
          <w:tcPr>
            <w:tcW w:w="1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254</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254</w:t>
            </w:r>
          </w:p>
        </w:tc>
        <w:tc>
          <w:tcPr>
            <w:tcW w:w="1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254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40" w:type="dxa"/>
            <w:vAlign w:val="bottom"/>
            <w:gridSpan w:val="2"/>
          </w:tcPr>
          <w:p>
            <w:pPr>
              <w:ind w:left="200"/>
              <w:spacing w:after="0"/>
              <w:rPr>
                <w:sz w:val="20"/>
                <w:szCs w:val="20"/>
                <w:color w:val="auto"/>
              </w:rPr>
            </w:pPr>
            <w:r>
              <w:rPr>
                <w:rFonts w:ascii="Arial" w:cs="Arial" w:eastAsia="Arial" w:hAnsi="Arial"/>
                <w:sz w:val="14"/>
                <w:szCs w:val="14"/>
                <w:color w:val="auto"/>
              </w:rPr>
              <w:t>Operating expenses</w:t>
            </w:r>
          </w:p>
        </w:tc>
        <w:tc>
          <w:tcPr>
            <w:tcW w:w="120" w:type="dxa"/>
            <w:vAlign w:val="bottom"/>
          </w:tcPr>
          <w:p>
            <w:pPr>
              <w:spacing w:after="0"/>
              <w:rPr>
                <w:sz w:val="14"/>
                <w:szCs w:val="14"/>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359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156</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215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49"/>
              <w:spacing w:after="0"/>
              <w:rPr>
                <w:sz w:val="20"/>
                <w:szCs w:val="20"/>
                <w:color w:val="auto"/>
              </w:rPr>
            </w:pPr>
            <w:r>
              <w:rPr>
                <w:rFonts w:ascii="Arial" w:cs="Arial" w:eastAsia="Arial" w:hAnsi="Arial"/>
                <w:sz w:val="14"/>
                <w:szCs w:val="14"/>
                <w:color w:val="auto"/>
              </w:rPr>
              <w:t>254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9"/>
              <w:spacing w:after="0"/>
              <w:rPr>
                <w:sz w:val="20"/>
                <w:szCs w:val="20"/>
                <w:color w:val="auto"/>
              </w:rPr>
            </w:pPr>
            <w:r>
              <w:rPr>
                <w:rFonts w:ascii="Arial" w:cs="Arial" w:eastAsia="Arial" w:hAnsi="Arial"/>
                <w:sz w:val="14"/>
                <w:szCs w:val="14"/>
                <w:color w:val="auto"/>
              </w:rPr>
              <w:t>984</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69"/>
              <w:spacing w:after="0"/>
              <w:rPr>
                <w:sz w:val="20"/>
                <w:szCs w:val="20"/>
                <w:color w:val="auto"/>
              </w:rPr>
            </w:pPr>
            <w:r>
              <w:rPr>
                <w:rFonts w:ascii="Arial" w:cs="Arial" w:eastAsia="Arial" w:hAnsi="Arial"/>
                <w:sz w:val="14"/>
                <w:szCs w:val="14"/>
                <w:color w:val="auto"/>
              </w:rPr>
              <w:t>984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Goodwill and acquired intangible asset</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40" w:type="dxa"/>
            <w:vAlign w:val="bottom"/>
            <w:gridSpan w:val="2"/>
            <w:shd w:val="clear" w:color="auto" w:fill="CCEEFF"/>
          </w:tcPr>
          <w:p>
            <w:pPr>
              <w:ind w:left="420"/>
              <w:spacing w:after="0" w:line="157" w:lineRule="exact"/>
              <w:rPr>
                <w:sz w:val="20"/>
                <w:szCs w:val="20"/>
                <w:color w:val="auto"/>
              </w:rPr>
            </w:pPr>
            <w:r>
              <w:rPr>
                <w:rFonts w:ascii="Arial" w:cs="Arial" w:eastAsia="Arial" w:hAnsi="Arial"/>
                <w:sz w:val="14"/>
                <w:szCs w:val="14"/>
                <w:color w:val="auto"/>
              </w:rPr>
              <w:t>impairment and amortization</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30</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69"/>
              <w:spacing w:after="0" w:line="157" w:lineRule="exact"/>
              <w:rPr>
                <w:sz w:val="20"/>
                <w:szCs w:val="20"/>
                <w:color w:val="auto"/>
              </w:rPr>
            </w:pPr>
            <w:r>
              <w:rPr>
                <w:rFonts w:ascii="Arial" w:cs="Arial" w:eastAsia="Arial" w:hAnsi="Arial"/>
                <w:sz w:val="14"/>
                <w:szCs w:val="14"/>
                <w:color w:val="auto"/>
              </w:rPr>
              <w:t>30</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69"/>
              <w:spacing w:after="0" w:line="157" w:lineRule="exact"/>
              <w:rPr>
                <w:sz w:val="20"/>
                <w:szCs w:val="20"/>
                <w:color w:val="auto"/>
              </w:rPr>
            </w:pPr>
            <w:r>
              <w:rPr>
                <w:rFonts w:ascii="Arial" w:cs="Arial" w:eastAsia="Arial" w:hAnsi="Arial"/>
                <w:sz w:val="14"/>
                <w:szCs w:val="14"/>
                <w:color w:val="auto"/>
              </w:rPr>
              <w:t>30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40" w:type="dxa"/>
            <w:vAlign w:val="bottom"/>
            <w:gridSpan w:val="2"/>
          </w:tcPr>
          <w:p>
            <w:pPr>
              <w:ind w:left="200"/>
              <w:spacing w:after="0"/>
              <w:rPr>
                <w:sz w:val="20"/>
                <w:szCs w:val="20"/>
                <w:color w:val="auto"/>
              </w:rPr>
            </w:pPr>
            <w:r>
              <w:rPr>
                <w:rFonts w:ascii="Arial" w:cs="Arial" w:eastAsia="Arial" w:hAnsi="Arial"/>
                <w:sz w:val="14"/>
                <w:szCs w:val="14"/>
                <w:color w:val="auto"/>
              </w:rPr>
              <w:t>Restructuring/other reorganization</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140" w:type="dxa"/>
            <w:vAlign w:val="bottom"/>
            <w:gridSpan w:val="2"/>
          </w:tcPr>
          <w:p>
            <w:pPr>
              <w:ind w:left="420"/>
              <w:spacing w:after="0" w:line="157" w:lineRule="exact"/>
              <w:rPr>
                <w:sz w:val="20"/>
                <w:szCs w:val="20"/>
                <w:color w:val="auto"/>
              </w:rPr>
            </w:pPr>
            <w:r>
              <w:rPr>
                <w:rFonts w:ascii="Arial" w:cs="Arial" w:eastAsia="Arial" w:hAnsi="Arial"/>
                <w:sz w:val="14"/>
                <w:szCs w:val="14"/>
                <w:color w:val="auto"/>
              </w:rPr>
              <w:t>expenses</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6</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9"/>
              <w:spacing w:after="0" w:line="157" w:lineRule="exact"/>
              <w:rPr>
                <w:sz w:val="20"/>
                <w:szCs w:val="20"/>
                <w:color w:val="auto"/>
              </w:rPr>
            </w:pPr>
            <w:r>
              <w:rPr>
                <w:rFonts w:ascii="Arial" w:cs="Arial" w:eastAsia="Arial" w:hAnsi="Arial"/>
                <w:sz w:val="14"/>
                <w:szCs w:val="14"/>
                <w:color w:val="auto"/>
              </w:rPr>
              <w:t>6</w:t>
            </w: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9"/>
              <w:spacing w:after="0" w:line="157" w:lineRule="exact"/>
              <w:rPr>
                <w:sz w:val="20"/>
                <w:szCs w:val="20"/>
                <w:color w:val="auto"/>
              </w:rPr>
            </w:pPr>
            <w:r>
              <w:rPr>
                <w:rFonts w:ascii="Arial" w:cs="Arial" w:eastAsia="Arial" w:hAnsi="Arial"/>
                <w:sz w:val="14"/>
                <w:szCs w:val="14"/>
                <w:color w:val="auto"/>
              </w:rPr>
              <w:t>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expenses</w:t>
            </w:r>
          </w:p>
        </w:tc>
        <w:tc>
          <w:tcPr>
            <w:tcW w:w="1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359</w:t>
            </w: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156</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215</w:t>
            </w: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260</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990</w:t>
            </w:r>
          </w:p>
        </w:tc>
        <w:tc>
          <w:tcPr>
            <w:tcW w:w="1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2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30</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96"/>
              </w:rPr>
              <w:t>1,020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160" w:type="dxa"/>
            <w:vAlign w:val="bottom"/>
            <w:gridSpan w:val="3"/>
          </w:tcPr>
          <w:p>
            <w:pPr>
              <w:spacing w:after="0"/>
              <w:rPr>
                <w:sz w:val="20"/>
                <w:szCs w:val="20"/>
                <w:color w:val="auto"/>
              </w:rPr>
            </w:pPr>
            <w:r>
              <w:rPr>
                <w:rFonts w:ascii="Arial" w:cs="Arial" w:eastAsia="Arial" w:hAnsi="Arial"/>
                <w:sz w:val="14"/>
                <w:szCs w:val="14"/>
                <w:color w:val="auto"/>
              </w:rPr>
              <w:t>Income (loss) before income tax expense</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40" w:type="dxa"/>
            <w:vAlign w:val="bottom"/>
            <w:gridSpan w:val="2"/>
          </w:tcPr>
          <w:p>
            <w:pPr>
              <w:ind w:left="200"/>
              <w:spacing w:after="0" w:line="157" w:lineRule="exact"/>
              <w:rPr>
                <w:sz w:val="20"/>
                <w:szCs w:val="20"/>
                <w:color w:val="auto"/>
              </w:rPr>
            </w:pPr>
            <w:r>
              <w:rPr>
                <w:rFonts w:ascii="Arial" w:cs="Arial" w:eastAsia="Arial" w:hAnsi="Arial"/>
                <w:sz w:val="14"/>
                <w:szCs w:val="14"/>
                <w:color w:val="auto"/>
              </w:rPr>
              <w:t>(benefit)</w:t>
            </w:r>
          </w:p>
        </w:tc>
        <w:tc>
          <w:tcPr>
            <w:tcW w:w="120" w:type="dxa"/>
            <w:vAlign w:val="bottom"/>
          </w:tcPr>
          <w:p>
            <w:pPr>
              <w:spacing w:after="0"/>
              <w:rPr>
                <w:sz w:val="13"/>
                <w:szCs w:val="13"/>
                <w:color w:val="auto"/>
              </w:rPr>
            </w:pPr>
          </w:p>
        </w:tc>
        <w:tc>
          <w:tcPr>
            <w:tcW w:w="560" w:type="dxa"/>
            <w:vAlign w:val="bottom"/>
          </w:tcPr>
          <w:p>
            <w:pPr>
              <w:jc w:val="right"/>
              <w:ind w:right="49"/>
              <w:spacing w:after="0" w:line="157" w:lineRule="exact"/>
              <w:rPr>
                <w:sz w:val="20"/>
                <w:szCs w:val="20"/>
                <w:color w:val="auto"/>
              </w:rPr>
            </w:pPr>
            <w:r>
              <w:rPr>
                <w:rFonts w:ascii="Arial" w:cs="Arial" w:eastAsia="Arial" w:hAnsi="Arial"/>
                <w:sz w:val="14"/>
                <w:szCs w:val="14"/>
                <w:color w:val="auto"/>
              </w:rPr>
              <w:t>680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412</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jc w:val="right"/>
              <w:ind w:right="48"/>
              <w:spacing w:after="0" w:line="157" w:lineRule="exact"/>
              <w:rPr>
                <w:sz w:val="20"/>
                <w:szCs w:val="20"/>
                <w:color w:val="auto"/>
              </w:rPr>
            </w:pPr>
            <w:r>
              <w:rPr>
                <w:rFonts w:ascii="Arial" w:cs="Arial" w:eastAsia="Arial" w:hAnsi="Arial"/>
                <w:sz w:val="14"/>
                <w:szCs w:val="14"/>
                <w:color w:val="auto"/>
              </w:rPr>
              <w:t>43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29"/>
              <w:spacing w:after="0" w:line="157" w:lineRule="exact"/>
              <w:rPr>
                <w:sz w:val="20"/>
                <w:szCs w:val="20"/>
                <w:color w:val="auto"/>
              </w:rPr>
            </w:pPr>
            <w:r>
              <w:rPr>
                <w:rFonts w:ascii="Arial" w:cs="Arial" w:eastAsia="Arial" w:hAnsi="Arial"/>
                <w:sz w:val="14"/>
                <w:szCs w:val="14"/>
                <w:color w:val="auto"/>
              </w:rPr>
              <w:t>(347)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69"/>
              <w:spacing w:after="0" w:line="157" w:lineRule="exact"/>
              <w:rPr>
                <w:sz w:val="20"/>
                <w:szCs w:val="20"/>
                <w:color w:val="auto"/>
              </w:rPr>
            </w:pPr>
            <w:r>
              <w:rPr>
                <w:rFonts w:ascii="Arial" w:cs="Arial" w:eastAsia="Arial" w:hAnsi="Arial"/>
                <w:sz w:val="14"/>
                <w:szCs w:val="14"/>
                <w:color w:val="auto"/>
              </w:rPr>
              <w:t>788</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jc w:val="right"/>
              <w:ind w:right="8"/>
              <w:spacing w:after="0" w:line="157" w:lineRule="exact"/>
              <w:rPr>
                <w:sz w:val="20"/>
                <w:szCs w:val="20"/>
                <w:color w:val="auto"/>
              </w:rPr>
            </w:pPr>
            <w:r>
              <w:rPr>
                <w:rFonts w:ascii="Arial" w:cs="Arial" w:eastAsia="Arial" w:hAnsi="Arial"/>
                <w:sz w:val="14"/>
                <w:szCs w:val="14"/>
                <w:color w:val="auto"/>
              </w:rPr>
              <w:t>(25)</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ind w:right="29"/>
              <w:spacing w:after="0" w:line="157" w:lineRule="exact"/>
              <w:rPr>
                <w:sz w:val="20"/>
                <w:szCs w:val="20"/>
                <w:color w:val="auto"/>
              </w:rPr>
            </w:pPr>
            <w:r>
              <w:rPr>
                <w:rFonts w:ascii="Arial" w:cs="Arial" w:eastAsia="Arial" w:hAnsi="Arial"/>
                <w:sz w:val="14"/>
                <w:szCs w:val="14"/>
                <w:color w:val="auto"/>
              </w:rPr>
              <w:t>(25)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69"/>
              <w:spacing w:after="0" w:line="157" w:lineRule="exact"/>
              <w:rPr>
                <w:sz w:val="20"/>
                <w:szCs w:val="20"/>
                <w:color w:val="auto"/>
              </w:rPr>
            </w:pPr>
            <w:r>
              <w:rPr>
                <w:rFonts w:ascii="Arial" w:cs="Arial" w:eastAsia="Arial" w:hAnsi="Arial"/>
                <w:sz w:val="14"/>
                <w:szCs w:val="14"/>
                <w:color w:val="auto"/>
              </w:rPr>
              <w:t>763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gridSpan w:val="2"/>
            <w:shd w:val="clear" w:color="auto" w:fill="CCEEFF"/>
          </w:tcPr>
          <w:p>
            <w:pPr>
              <w:spacing w:after="0" w:line="162" w:lineRule="exact"/>
              <w:rPr>
                <w:sz w:val="20"/>
                <w:szCs w:val="20"/>
                <w:color w:val="auto"/>
              </w:rPr>
            </w:pPr>
            <w:r>
              <w:rPr>
                <w:rFonts w:ascii="Arial" w:cs="Arial" w:eastAsia="Arial" w:hAnsi="Arial"/>
                <w:sz w:val="11"/>
                <w:szCs w:val="11"/>
                <w:color w:val="auto"/>
              </w:rPr>
              <w:t>Income tax expense (benefit)</w:t>
            </w:r>
            <w:r>
              <w:rPr>
                <w:rFonts w:ascii="Arial" w:cs="Arial" w:eastAsia="Arial" w:hAnsi="Arial"/>
                <w:sz w:val="18"/>
                <w:szCs w:val="18"/>
                <w:color w:val="auto"/>
                <w:vertAlign w:val="superscript"/>
              </w:rPr>
              <w:t>(2)</w:t>
            </w:r>
          </w:p>
        </w:tc>
        <w:tc>
          <w:tcPr>
            <w:tcW w:w="1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155</w:t>
            </w: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96</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(80)</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181</w:t>
            </w:r>
          </w:p>
        </w:tc>
        <w:tc>
          <w:tcPr>
            <w:tcW w:w="1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2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(15)</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166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160" w:type="dxa"/>
            <w:vAlign w:val="bottom"/>
            <w:gridSpan w:val="3"/>
          </w:tcPr>
          <w:p>
            <w:pPr>
              <w:spacing w:after="0"/>
              <w:rPr>
                <w:sz w:val="20"/>
                <w:szCs w:val="20"/>
                <w:color w:val="auto"/>
              </w:rPr>
            </w:pPr>
            <w:r>
              <w:rPr>
                <w:rFonts w:ascii="Arial" w:cs="Arial" w:eastAsia="Arial" w:hAnsi="Arial"/>
                <w:sz w:val="14"/>
                <w:szCs w:val="14"/>
                <w:color w:val="auto"/>
              </w:rPr>
              <w:t>Net income (loss)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525</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316</w:t>
            </w:r>
          </w:p>
        </w:tc>
        <w:tc>
          <w:tcPr>
            <w:tcW w:w="3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9"/>
              <w:spacing w:after="0"/>
              <w:rPr>
                <w:sz w:val="20"/>
                <w:szCs w:val="20"/>
                <w:color w:val="auto"/>
              </w:rPr>
            </w:pPr>
            <w:r>
              <w:rPr>
                <w:rFonts w:ascii="Arial" w:cs="Arial" w:eastAsia="Arial" w:hAnsi="Arial"/>
                <w:sz w:val="14"/>
                <w:szCs w:val="14"/>
                <w:color w:val="auto"/>
              </w:rPr>
              <w:t>(267)</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ind w:right="69"/>
              <w:spacing w:after="0"/>
              <w:rPr>
                <w:sz w:val="20"/>
                <w:szCs w:val="20"/>
                <w:color w:val="auto"/>
              </w:rPr>
            </w:pPr>
            <w:r>
              <w:rPr>
                <w:rFonts w:ascii="Arial" w:cs="Arial" w:eastAsia="Arial" w:hAnsi="Arial"/>
                <w:sz w:val="14"/>
                <w:szCs w:val="14"/>
                <w:color w:val="auto"/>
              </w:rPr>
              <w:t>607</w:t>
            </w: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02"/>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4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(10)</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69"/>
              <w:spacing w:after="0"/>
              <w:rPr>
                <w:sz w:val="20"/>
                <w:szCs w:val="20"/>
                <w:color w:val="auto"/>
              </w:rPr>
            </w:pPr>
            <w:r>
              <w:rPr>
                <w:rFonts w:ascii="Arial" w:cs="Arial" w:eastAsia="Arial" w:hAnsi="Arial"/>
                <w:sz w:val="14"/>
                <w:szCs w:val="14"/>
                <w:color w:val="auto"/>
              </w:rPr>
              <w:t>597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94615</wp:posOffset>
            </wp:positionV>
            <wp:extent cx="9779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76" w:lineRule="exact"/>
        <w:rPr>
          <w:sz w:val="20"/>
          <w:szCs w:val="20"/>
          <w:color w:val="auto"/>
        </w:rPr>
      </w:pPr>
    </w:p>
    <w:p>
      <w:pPr>
        <w:spacing w:after="0"/>
        <w:tabs>
          <w:tab w:leader="none" w:pos="300" w:val="left"/>
        </w:tabs>
        <w:rPr>
          <w:sz w:val="20"/>
          <w:szCs w:val="20"/>
          <w:color w:val="auto"/>
        </w:rPr>
      </w:pPr>
      <w:r>
        <w:rPr>
          <w:rFonts w:ascii="Arial" w:cs="Arial" w:eastAsia="Arial" w:hAnsi="Arial"/>
          <w:sz w:val="24"/>
          <w:szCs w:val="24"/>
          <w:color w:val="auto"/>
          <w:vertAlign w:val="superscript"/>
        </w:rPr>
        <w:t>(1)</w:t>
      </w:r>
      <w:r>
        <w:rPr>
          <w:sz w:val="20"/>
          <w:szCs w:val="20"/>
          <w:color w:val="auto"/>
        </w:rPr>
        <w:tab/>
      </w:r>
      <w:r>
        <w:rPr>
          <w:rFonts w:ascii="Arial" w:cs="Arial" w:eastAsia="Arial" w:hAnsi="Arial"/>
          <w:sz w:val="14"/>
          <w:szCs w:val="14"/>
          <w:color w:val="auto"/>
        </w:rPr>
        <w:t>Core Earnings adjustments to GAAP:</w:t>
      </w:r>
    </w:p>
    <w:p>
      <w:pPr>
        <w:spacing w:after="0" w:line="263" w:lineRule="exact"/>
        <w:rPr>
          <w:sz w:val="20"/>
          <w:szCs w:val="20"/>
          <w:color w:val="auto"/>
        </w:rPr>
      </w:pPr>
    </w:p>
    <w:p>
      <w:pPr>
        <w:ind w:left="7480"/>
        <w:spacing w:after="0"/>
        <w:rPr>
          <w:sz w:val="20"/>
          <w:szCs w:val="20"/>
          <w:color w:val="auto"/>
        </w:rPr>
      </w:pPr>
      <w:r>
        <w:rPr>
          <w:rFonts w:ascii="Arial" w:cs="Arial" w:eastAsia="Arial" w:hAnsi="Arial"/>
          <w:sz w:val="14"/>
          <w:szCs w:val="14"/>
          <w:b w:val="1"/>
          <w:bCs w:val="1"/>
          <w:color w:val="auto"/>
        </w:rPr>
        <w:t>YEAR ENDED DECEMBER 31, 2019</w:t>
      </w:r>
    </w:p>
    <w:p>
      <w:pPr>
        <w:spacing w:after="0" w:line="32" w:lineRule="exact"/>
        <w:rPr>
          <w:sz w:val="20"/>
          <w:szCs w:val="20"/>
          <w:color w:val="auto"/>
        </w:rPr>
      </w:pPr>
    </w:p>
    <w:tbl>
      <w:tblPr>
        <w:tblLayout w:type="fixed"/>
        <w:tblInd w:w="540" w:type="dxa"/>
        <w:tblCellMar>
          <w:top w:w="0" w:type="dxa"/>
          <w:left w:w="0" w:type="dxa"/>
          <w:bottom w:w="0" w:type="dxa"/>
          <w:right w:w="0" w:type="dxa"/>
        </w:tblCellMar>
      </w:tblPr>
      <w:tr>
        <w:trPr>
          <w:trHeight w:val="149"/>
        </w:trPr>
        <w:tc>
          <w:tcPr>
            <w:tcW w:w="5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Net Impact of</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4"/>
              </w:rPr>
              <w:t>Net Impact of</w:t>
            </w:r>
          </w:p>
        </w:tc>
        <w:tc>
          <w:tcPr>
            <w:tcW w:w="540" w:type="dxa"/>
            <w:vAlign w:val="bottom"/>
          </w:tcPr>
          <w:p>
            <w:pPr>
              <w:spacing w:after="0"/>
              <w:rPr>
                <w:sz w:val="11"/>
                <w:szCs w:val="11"/>
                <w:color w:val="auto"/>
              </w:rPr>
            </w:pPr>
          </w:p>
        </w:tc>
        <w:tc>
          <w:tcPr>
            <w:tcW w:w="10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Goodwill and</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80" w:type="dxa"/>
            <w:vAlign w:val="bottom"/>
            <w:vMerge w:val="restart"/>
          </w:tcPr>
          <w:p>
            <w:pPr>
              <w:spacing w:after="0"/>
              <w:rPr>
                <w:sz w:val="20"/>
                <w:szCs w:val="20"/>
                <w:color w:val="auto"/>
              </w:rPr>
            </w:pPr>
            <w:r>
              <w:rPr>
                <w:rFonts w:ascii="Arial" w:cs="Arial" w:eastAsia="Arial" w:hAnsi="Arial"/>
                <w:sz w:val="13"/>
                <w:szCs w:val="13"/>
                <w:b w:val="1"/>
                <w:bCs w:val="1"/>
                <w:color w:val="auto"/>
              </w:rPr>
              <w:t>(Dollars in millions)</w:t>
            </w:r>
          </w:p>
        </w:tc>
        <w:tc>
          <w:tcPr>
            <w:tcW w:w="500" w:type="dxa"/>
            <w:vAlign w:val="bottom"/>
            <w:vMerge w:val="restart"/>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9"/>
              </w:rPr>
              <w:t>Derivative</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91"/>
              <w:spacing w:after="0" w:line="135" w:lineRule="exact"/>
              <w:rPr>
                <w:sz w:val="20"/>
                <w:szCs w:val="20"/>
                <w:color w:val="auto"/>
              </w:rPr>
            </w:pPr>
            <w:r>
              <w:rPr>
                <w:rFonts w:ascii="Arial" w:cs="Arial" w:eastAsia="Arial" w:hAnsi="Arial"/>
                <w:sz w:val="13"/>
                <w:szCs w:val="13"/>
                <w:b w:val="1"/>
                <w:bCs w:val="1"/>
                <w:color w:val="auto"/>
                <w:w w:val="95"/>
              </w:rPr>
              <w:t>Acquired</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5880" w:type="dxa"/>
            <w:vAlign w:val="bottom"/>
            <w:tcBorders>
              <w:bottom w:val="single" w:sz="8" w:color="auto"/>
            </w:tcBorders>
            <w:vMerge w:val="continue"/>
          </w:tcPr>
          <w:p>
            <w:pPr>
              <w:spacing w:after="0"/>
              <w:rPr>
                <w:sz w:val="13"/>
                <w:szCs w:val="13"/>
                <w:color w:val="auto"/>
              </w:rPr>
            </w:pPr>
          </w:p>
        </w:tc>
        <w:tc>
          <w:tcPr>
            <w:tcW w:w="500" w:type="dxa"/>
            <w:vAlign w:val="bottom"/>
            <w:tcBorders>
              <w:bottom w:val="single" w:sz="8" w:color="CCEEFF"/>
            </w:tcBorders>
            <w:vMerge w:val="continue"/>
          </w:tcPr>
          <w:p>
            <w:pPr>
              <w:spacing w:after="0"/>
              <w:rPr>
                <w:sz w:val="13"/>
                <w:szCs w:val="13"/>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Accounting</w:t>
            </w:r>
          </w:p>
        </w:tc>
        <w:tc>
          <w:tcPr>
            <w:tcW w:w="5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96"/>
              </w:rPr>
              <w:t>Intangibles</w:t>
            </w:r>
          </w:p>
        </w:tc>
        <w:tc>
          <w:tcPr>
            <w:tcW w:w="5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8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Net interest income after provisions for loan losses</w:t>
            </w:r>
          </w:p>
        </w:tc>
        <w:tc>
          <w:tcPr>
            <w:tcW w:w="320" w:type="dxa"/>
            <w:vAlign w:val="bottom"/>
            <w:shd w:val="clear" w:color="auto" w:fill="CCEEFF"/>
          </w:tcPr>
          <w:p>
            <w:pPr>
              <w:jc w:val="right"/>
              <w:ind w:right="133"/>
              <w:spacing w:after="0" w:line="155"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(31)</w:t>
            </w:r>
          </w:p>
        </w:tc>
        <w:tc>
          <w:tcPr>
            <w:tcW w:w="6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1"/>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center"/>
              <w:ind w:left="89"/>
              <w:spacing w:after="0" w:line="155" w:lineRule="exact"/>
              <w:rPr>
                <w:sz w:val="20"/>
                <w:szCs w:val="20"/>
                <w:color w:val="auto"/>
              </w:rPr>
            </w:pPr>
            <w:r>
              <w:rPr>
                <w:rFonts w:ascii="Arial" w:cs="Arial" w:eastAsia="Arial" w:hAnsi="Arial"/>
                <w:sz w:val="14"/>
                <w:szCs w:val="14"/>
                <w:color w:val="auto"/>
              </w:rPr>
              <w:t>(31)</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80" w:type="dxa"/>
            <w:vAlign w:val="bottom"/>
            <w:gridSpan w:val="2"/>
          </w:tcPr>
          <w:p>
            <w:pPr>
              <w:spacing w:after="0"/>
              <w:rPr>
                <w:sz w:val="20"/>
                <w:szCs w:val="20"/>
                <w:color w:val="auto"/>
              </w:rPr>
            </w:pPr>
            <w:r>
              <w:rPr>
                <w:rFonts w:ascii="Arial" w:cs="Arial" w:eastAsia="Arial" w:hAnsi="Arial"/>
                <w:sz w:val="14"/>
                <w:szCs w:val="14"/>
                <w:color w:val="auto"/>
              </w:rPr>
              <w:t>Total other income (loss)</w:t>
            </w:r>
          </w:p>
        </w:tc>
        <w:tc>
          <w:tcPr>
            <w:tcW w:w="32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36</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center"/>
              <w:ind w:left="109"/>
              <w:spacing w:after="0"/>
              <w:rPr>
                <w:sz w:val="20"/>
                <w:szCs w:val="20"/>
                <w:color w:val="auto"/>
              </w:rPr>
            </w:pPr>
            <w:r>
              <w:rPr>
                <w:rFonts w:ascii="Arial" w:cs="Arial" w:eastAsia="Arial" w:hAnsi="Arial"/>
                <w:sz w:val="14"/>
                <w:szCs w:val="14"/>
                <w:color w:val="auto"/>
              </w:rPr>
              <w:t>36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Goodwill and acquired intangible asset impairment and amortization</w:t>
            </w:r>
          </w:p>
        </w:tc>
        <w:tc>
          <w:tcPr>
            <w:tcW w:w="3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30</w:t>
            </w:r>
          </w:p>
        </w:tc>
        <w:tc>
          <w:tcPr>
            <w:tcW w:w="5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center"/>
              <w:ind w:left="109"/>
              <w:spacing w:after="0"/>
              <w:rPr>
                <w:sz w:val="20"/>
                <w:szCs w:val="20"/>
                <w:color w:val="auto"/>
              </w:rPr>
            </w:pPr>
            <w:r>
              <w:rPr>
                <w:rFonts w:ascii="Arial" w:cs="Arial" w:eastAsia="Arial" w:hAnsi="Arial"/>
                <w:sz w:val="14"/>
                <w:szCs w:val="14"/>
                <w:color w:val="auto"/>
              </w:rPr>
              <w:t>30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380" w:type="dxa"/>
            <w:vAlign w:val="bottom"/>
            <w:gridSpan w:val="2"/>
          </w:tcPr>
          <w:p>
            <w:pPr>
              <w:spacing w:after="0"/>
              <w:rPr>
                <w:sz w:val="20"/>
                <w:szCs w:val="20"/>
                <w:color w:val="auto"/>
              </w:rPr>
            </w:pPr>
            <w:r>
              <w:rPr>
                <w:rFonts w:ascii="Arial" w:cs="Arial" w:eastAsia="Arial" w:hAnsi="Arial"/>
                <w:sz w:val="14"/>
                <w:szCs w:val="14"/>
                <w:color w:val="auto"/>
              </w:rPr>
              <w:t>Total Core Earnings adjustments to GAAP</w:t>
            </w:r>
          </w:p>
        </w:tc>
        <w:tc>
          <w:tcPr>
            <w:tcW w:w="320" w:type="dxa"/>
            <w:vAlign w:val="bottom"/>
          </w:tcPr>
          <w:p>
            <w:pPr>
              <w:jc w:val="right"/>
              <w:ind w:right="133"/>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(30)</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center"/>
              <w:ind w:left="89"/>
              <w:spacing w:after="0"/>
              <w:rPr>
                <w:sz w:val="20"/>
                <w:szCs w:val="20"/>
                <w:color w:val="auto"/>
              </w:rPr>
            </w:pPr>
            <w:r>
              <w:rPr>
                <w:rFonts w:ascii="Arial" w:cs="Arial" w:eastAsia="Arial" w:hAnsi="Arial"/>
                <w:sz w:val="14"/>
                <w:szCs w:val="14"/>
                <w:color w:val="auto"/>
              </w:rPr>
              <w:t>(25)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380" w:type="dxa"/>
            <w:vAlign w:val="bottom"/>
            <w:gridSpan w:val="2"/>
            <w:shd w:val="clear" w:color="auto" w:fill="CCEEFF"/>
          </w:tcPr>
          <w:p>
            <w:pPr>
              <w:spacing w:after="0" w:line="156" w:lineRule="exact"/>
              <w:rPr>
                <w:sz w:val="20"/>
                <w:szCs w:val="20"/>
                <w:color w:val="auto"/>
              </w:rPr>
            </w:pPr>
            <w:r>
              <w:rPr>
                <w:rFonts w:ascii="Arial" w:cs="Arial" w:eastAsia="Arial" w:hAnsi="Arial"/>
                <w:sz w:val="14"/>
                <w:szCs w:val="14"/>
                <w:color w:val="auto"/>
              </w:rPr>
              <w:t>Income tax expense (benefit)</w:t>
            </w:r>
          </w:p>
        </w:tc>
        <w:tc>
          <w:tcPr>
            <w:tcW w:w="3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center"/>
              <w:ind w:left="89"/>
              <w:spacing w:after="0" w:line="156" w:lineRule="exact"/>
              <w:rPr>
                <w:sz w:val="20"/>
                <w:szCs w:val="20"/>
                <w:color w:val="auto"/>
              </w:rPr>
            </w:pPr>
            <w:r>
              <w:rPr>
                <w:rFonts w:ascii="Arial" w:cs="Arial" w:eastAsia="Arial" w:hAnsi="Arial"/>
                <w:sz w:val="14"/>
                <w:szCs w:val="14"/>
                <w:color w:val="auto"/>
              </w:rPr>
              <w:t>(15)</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38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00" w:type="dxa"/>
            <w:vAlign w:val="bottom"/>
          </w:tcPr>
          <w:p>
            <w:pPr>
              <w:jc w:val="center"/>
              <w:ind w:left="89"/>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320" w:hanging="316"/>
        <w:spacing w:after="0"/>
        <w:tabs>
          <w:tab w:leader="none" w:pos="320" w:val="left"/>
        </w:tabs>
        <w:numPr>
          <w:ilvl w:val="0"/>
          <w:numId w:val="18"/>
        </w:numPr>
        <w:rPr>
          <w:rFonts w:ascii="Arial" w:cs="Arial" w:eastAsia="Arial" w:hAnsi="Arial"/>
          <w:sz w:val="24"/>
          <w:szCs w:val="24"/>
          <w:color w:val="auto"/>
          <w:vertAlign w:val="superscript"/>
        </w:rPr>
      </w:pPr>
      <w:r>
        <w:rPr>
          <w:rFonts w:ascii="Arial" w:cs="Arial" w:eastAsia="Arial" w:hAnsi="Arial"/>
          <w:sz w:val="14"/>
          <w:szCs w:val="14"/>
          <w:color w:val="auto"/>
        </w:rPr>
        <w:t>Income taxes are based on a percentage of net income before tax for the individual reportable segment.</w:t>
      </w:r>
    </w:p>
    <w:p>
      <w:pPr>
        <w:spacing w:after="0" w:line="127" w:lineRule="exact"/>
        <w:rPr>
          <w:sz w:val="20"/>
          <w:szCs w:val="20"/>
          <w:color w:val="auto"/>
        </w:rPr>
      </w:pPr>
    </w:p>
    <w:p>
      <w:pPr>
        <w:ind w:left="1078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040"/>
          </w:cols>
          <w:pgMar w:left="440" w:top="307" w:right="41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7"/>
          </w:tcPr>
          <w:p>
            <w:pPr>
              <w:jc w:val="right"/>
              <w:spacing w:after="0"/>
              <w:rPr>
                <w:sz w:val="20"/>
                <w:szCs w:val="20"/>
                <w:color w:val="auto"/>
              </w:rPr>
            </w:pPr>
            <w:r>
              <w:rPr>
                <w:rFonts w:ascii="Arial" w:cs="Arial" w:eastAsia="Arial" w:hAnsi="Arial"/>
                <w:sz w:val="13"/>
                <w:szCs w:val="13"/>
                <w:b w:val="1"/>
                <w:bCs w:val="1"/>
                <w:color w:val="auto"/>
              </w:rPr>
              <w:t>YEAR ENDED DECEMBER 31, 2018</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2"/>
          </w:tcPr>
          <w:p>
            <w:pPr>
              <w:jc w:val="right"/>
              <w:ind w:right="29"/>
              <w:spacing w:after="0"/>
              <w:rPr>
                <w:sz w:val="20"/>
                <w:szCs w:val="20"/>
                <w:color w:val="auto"/>
              </w:rPr>
            </w:pPr>
            <w:r>
              <w:rPr>
                <w:rFonts w:ascii="Arial" w:cs="Arial" w:eastAsia="Arial" w:hAnsi="Arial"/>
                <w:sz w:val="12"/>
                <w:szCs w:val="12"/>
                <w:b w:val="1"/>
                <w:bCs w:val="1"/>
                <w:color w:val="auto"/>
              </w:rPr>
              <w:t>Federal</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ind w:right="109"/>
              <w:spacing w:after="0"/>
              <w:rPr>
                <w:sz w:val="20"/>
                <w:szCs w:val="20"/>
                <w:color w:val="auto"/>
              </w:rPr>
            </w:pPr>
            <w:r>
              <w:rPr>
                <w:rFonts w:ascii="Arial" w:cs="Arial" w:eastAsia="Arial" w:hAnsi="Arial"/>
                <w:sz w:val="12"/>
                <w:szCs w:val="12"/>
                <w:b w:val="1"/>
                <w:bCs w:val="1"/>
                <w:color w:val="auto"/>
              </w:rPr>
              <w:t>Total</w:t>
            </w:r>
          </w:p>
        </w:tc>
        <w:tc>
          <w:tcPr>
            <w:tcW w:w="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2"/>
                <w:szCs w:val="12"/>
                <w:b w:val="1"/>
                <w:bCs w:val="1"/>
                <w:color w:val="auto"/>
              </w:rPr>
              <w:t>Adjustments</w:t>
            </w: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31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(Dollars in millions)</w:t>
            </w:r>
          </w:p>
        </w:tc>
        <w:tc>
          <w:tcPr>
            <w:tcW w:w="600" w:type="dxa"/>
            <w:vAlign w:val="bottom"/>
            <w:gridSpan w:val="2"/>
          </w:tcPr>
          <w:p>
            <w:pPr>
              <w:spacing w:after="0" w:line="117" w:lineRule="exact"/>
              <w:rPr>
                <w:sz w:val="20"/>
                <w:szCs w:val="20"/>
                <w:color w:val="auto"/>
              </w:rPr>
            </w:pPr>
            <w:r>
              <w:rPr>
                <w:rFonts w:ascii="Arial" w:cs="Arial" w:eastAsia="Arial" w:hAnsi="Arial"/>
                <w:sz w:val="12"/>
                <w:szCs w:val="12"/>
                <w:b w:val="1"/>
                <w:bCs w:val="1"/>
                <w:color w:val="auto"/>
                <w:w w:val="99"/>
              </w:rPr>
              <w:t>Education</w:t>
            </w:r>
          </w:p>
        </w:tc>
        <w:tc>
          <w:tcPr>
            <w:tcW w:w="200" w:type="dxa"/>
            <w:vAlign w:val="bottom"/>
          </w:tcPr>
          <w:p>
            <w:pPr>
              <w:spacing w:after="0"/>
              <w:rPr>
                <w:sz w:val="10"/>
                <w:szCs w:val="10"/>
                <w:color w:val="auto"/>
              </w:rPr>
            </w:pPr>
          </w:p>
        </w:tc>
        <w:tc>
          <w:tcPr>
            <w:tcW w:w="600" w:type="dxa"/>
            <w:vAlign w:val="bottom"/>
            <w:gridSpan w:val="2"/>
          </w:tcPr>
          <w:p>
            <w:pPr>
              <w:jc w:val="right"/>
              <w:spacing w:after="0" w:line="117" w:lineRule="exact"/>
              <w:rPr>
                <w:sz w:val="20"/>
                <w:szCs w:val="20"/>
                <w:color w:val="auto"/>
              </w:rPr>
            </w:pPr>
            <w:r>
              <w:rPr>
                <w:rFonts w:ascii="Arial" w:cs="Arial" w:eastAsia="Arial" w:hAnsi="Arial"/>
                <w:sz w:val="12"/>
                <w:szCs w:val="12"/>
                <w:b w:val="1"/>
                <w:bCs w:val="1"/>
                <w:color w:val="auto"/>
                <w:w w:val="94"/>
              </w:rPr>
              <w:t>Consumer</w:t>
            </w:r>
          </w:p>
        </w:tc>
        <w:tc>
          <w:tcPr>
            <w:tcW w:w="220" w:type="dxa"/>
            <w:vAlign w:val="bottom"/>
          </w:tcPr>
          <w:p>
            <w:pPr>
              <w:spacing w:after="0"/>
              <w:rPr>
                <w:sz w:val="10"/>
                <w:szCs w:val="10"/>
                <w:color w:val="auto"/>
              </w:rPr>
            </w:pPr>
          </w:p>
        </w:tc>
        <w:tc>
          <w:tcPr>
            <w:tcW w:w="620" w:type="dxa"/>
            <w:vAlign w:val="bottom"/>
            <w:gridSpan w:val="2"/>
          </w:tcPr>
          <w:p>
            <w:pPr>
              <w:ind w:left="40"/>
              <w:spacing w:after="0" w:line="117" w:lineRule="exact"/>
              <w:rPr>
                <w:sz w:val="20"/>
                <w:szCs w:val="20"/>
                <w:color w:val="auto"/>
              </w:rPr>
            </w:pPr>
            <w:r>
              <w:rPr>
                <w:rFonts w:ascii="Arial" w:cs="Arial" w:eastAsia="Arial" w:hAnsi="Arial"/>
                <w:sz w:val="12"/>
                <w:szCs w:val="12"/>
                <w:b w:val="1"/>
                <w:bCs w:val="1"/>
                <w:color w:val="auto"/>
              </w:rPr>
              <w:t>Business</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109"/>
              <w:spacing w:after="0" w:line="117" w:lineRule="exact"/>
              <w:rPr>
                <w:sz w:val="20"/>
                <w:szCs w:val="20"/>
                <w:color w:val="auto"/>
              </w:rPr>
            </w:pPr>
            <w:r>
              <w:rPr>
                <w:rFonts w:ascii="Arial" w:cs="Arial" w:eastAsia="Arial" w:hAnsi="Arial"/>
                <w:sz w:val="12"/>
                <w:szCs w:val="12"/>
                <w:b w:val="1"/>
                <w:bCs w:val="1"/>
                <w:color w:val="auto"/>
              </w:rPr>
              <w:t>Core</w:t>
            </w: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tcPr>
          <w:p>
            <w:pPr>
              <w:jc w:val="right"/>
              <w:ind w:right="48"/>
              <w:spacing w:after="0" w:line="117" w:lineRule="exact"/>
              <w:rPr>
                <w:sz w:val="20"/>
                <w:szCs w:val="20"/>
                <w:color w:val="auto"/>
              </w:rPr>
            </w:pPr>
            <w:r>
              <w:rPr>
                <w:rFonts w:ascii="Arial" w:cs="Arial" w:eastAsia="Arial" w:hAnsi="Arial"/>
                <w:sz w:val="12"/>
                <w:szCs w:val="12"/>
                <w:b w:val="1"/>
                <w:bCs w:val="1"/>
                <w:color w:val="auto"/>
              </w:rPr>
              <w:t>Additions/</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jc w:val="right"/>
              <w:ind w:right="209"/>
              <w:spacing w:after="0" w:line="117" w:lineRule="exact"/>
              <w:rPr>
                <w:sz w:val="20"/>
                <w:szCs w:val="20"/>
                <w:color w:val="auto"/>
              </w:rPr>
            </w:pPr>
            <w:r>
              <w:rPr>
                <w:rFonts w:ascii="Arial" w:cs="Arial" w:eastAsia="Arial" w:hAnsi="Arial"/>
                <w:sz w:val="12"/>
                <w:szCs w:val="12"/>
                <w:b w:val="1"/>
                <w:bCs w:val="1"/>
                <w:color w:val="auto"/>
              </w:rPr>
              <w:t>Total</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jc w:val="center"/>
              <w:ind w:right="180"/>
              <w:spacing w:after="0" w:line="117"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47"/>
        </w:trPr>
        <w:tc>
          <w:tcPr>
            <w:tcW w:w="31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69"/>
              <w:spacing w:after="0"/>
              <w:rPr>
                <w:sz w:val="20"/>
                <w:szCs w:val="20"/>
                <w:color w:val="auto"/>
              </w:rPr>
            </w:pPr>
            <w:r>
              <w:rPr>
                <w:rFonts w:ascii="Arial" w:cs="Arial" w:eastAsia="Arial" w:hAnsi="Arial"/>
                <w:sz w:val="12"/>
                <w:szCs w:val="12"/>
                <w:b w:val="1"/>
                <w:bCs w:val="1"/>
                <w:color w:val="auto"/>
                <w:w w:val="96"/>
              </w:rPr>
              <w:t>Loans</w:t>
            </w:r>
          </w:p>
        </w:tc>
        <w:tc>
          <w:tcPr>
            <w:tcW w:w="200" w:type="dxa"/>
            <w:vAlign w:val="bottom"/>
          </w:tcPr>
          <w:p>
            <w:pPr>
              <w:spacing w:after="0"/>
              <w:rPr>
                <w:sz w:val="12"/>
                <w:szCs w:val="12"/>
                <w:color w:val="auto"/>
              </w:rPr>
            </w:pPr>
          </w:p>
        </w:tc>
        <w:tc>
          <w:tcPr>
            <w:tcW w:w="600" w:type="dxa"/>
            <w:vAlign w:val="bottom"/>
            <w:gridSpan w:val="2"/>
          </w:tcPr>
          <w:p>
            <w:pPr>
              <w:jc w:val="right"/>
              <w:ind w:right="8"/>
              <w:spacing w:after="0"/>
              <w:rPr>
                <w:sz w:val="20"/>
                <w:szCs w:val="20"/>
                <w:color w:val="auto"/>
              </w:rPr>
            </w:pPr>
            <w:r>
              <w:rPr>
                <w:rFonts w:ascii="Arial" w:cs="Arial" w:eastAsia="Arial" w:hAnsi="Arial"/>
                <w:sz w:val="12"/>
                <w:szCs w:val="12"/>
                <w:b w:val="1"/>
                <w:bCs w:val="1"/>
                <w:color w:val="auto"/>
              </w:rPr>
              <w:t>Lending</w:t>
            </w:r>
          </w:p>
        </w:tc>
        <w:tc>
          <w:tcPr>
            <w:tcW w:w="840" w:type="dxa"/>
            <w:vAlign w:val="bottom"/>
            <w:gridSpan w:val="3"/>
          </w:tcPr>
          <w:p>
            <w:pPr>
              <w:jc w:val="right"/>
              <w:spacing w:after="0"/>
              <w:rPr>
                <w:sz w:val="20"/>
                <w:szCs w:val="20"/>
                <w:color w:val="auto"/>
              </w:rPr>
            </w:pPr>
            <w:r>
              <w:rPr>
                <w:rFonts w:ascii="Arial" w:cs="Arial" w:eastAsia="Arial" w:hAnsi="Arial"/>
                <w:sz w:val="12"/>
                <w:szCs w:val="12"/>
                <w:b w:val="1"/>
                <w:bCs w:val="1"/>
                <w:color w:val="auto"/>
              </w:rPr>
              <w:t>Processing</w:t>
            </w:r>
          </w:p>
        </w:tc>
        <w:tc>
          <w:tcPr>
            <w:tcW w:w="200" w:type="dxa"/>
            <w:vAlign w:val="bottom"/>
          </w:tcPr>
          <w:p>
            <w:pPr>
              <w:spacing w:after="0"/>
              <w:rPr>
                <w:sz w:val="12"/>
                <w:szCs w:val="12"/>
                <w:color w:val="auto"/>
              </w:rPr>
            </w:pPr>
          </w:p>
        </w:tc>
        <w:tc>
          <w:tcPr>
            <w:tcW w:w="540" w:type="dxa"/>
            <w:vAlign w:val="bottom"/>
            <w:gridSpan w:val="2"/>
          </w:tcPr>
          <w:p>
            <w:pPr>
              <w:jc w:val="right"/>
              <w:ind w:right="48"/>
              <w:spacing w:after="0"/>
              <w:rPr>
                <w:sz w:val="20"/>
                <w:szCs w:val="20"/>
                <w:color w:val="auto"/>
              </w:rPr>
            </w:pPr>
            <w:r>
              <w:rPr>
                <w:rFonts w:ascii="Arial" w:cs="Arial" w:eastAsia="Arial" w:hAnsi="Arial"/>
                <w:sz w:val="12"/>
                <w:szCs w:val="12"/>
                <w:b w:val="1"/>
                <w:bCs w:val="1"/>
                <w:color w:val="auto"/>
              </w:rPr>
              <w:t>Other</w:t>
            </w:r>
          </w:p>
        </w:tc>
        <w:tc>
          <w:tcPr>
            <w:tcW w:w="220" w:type="dxa"/>
            <w:vAlign w:val="bottom"/>
          </w:tcPr>
          <w:p>
            <w:pPr>
              <w:spacing w:after="0"/>
              <w:rPr>
                <w:sz w:val="12"/>
                <w:szCs w:val="12"/>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Earnings</w:t>
            </w:r>
          </w:p>
        </w:tc>
        <w:tc>
          <w:tcPr>
            <w:tcW w:w="1160" w:type="dxa"/>
            <w:vAlign w:val="bottom"/>
            <w:gridSpan w:val="3"/>
          </w:tcPr>
          <w:p>
            <w:pPr>
              <w:jc w:val="right"/>
              <w:spacing w:after="0"/>
              <w:rPr>
                <w:sz w:val="20"/>
                <w:szCs w:val="20"/>
                <w:color w:val="auto"/>
              </w:rPr>
            </w:pPr>
            <w:r>
              <w:rPr>
                <w:rFonts w:ascii="Arial" w:cs="Arial" w:eastAsia="Arial" w:hAnsi="Arial"/>
                <w:sz w:val="12"/>
                <w:szCs w:val="12"/>
                <w:b w:val="1"/>
                <w:bCs w:val="1"/>
                <w:color w:val="auto"/>
              </w:rPr>
              <w:t>Reclassifications</w:t>
            </w:r>
          </w:p>
        </w:tc>
        <w:tc>
          <w:tcPr>
            <w:tcW w:w="1000" w:type="dxa"/>
            <w:vAlign w:val="bottom"/>
            <w:gridSpan w:val="3"/>
          </w:tcPr>
          <w:p>
            <w:pPr>
              <w:jc w:val="right"/>
              <w:spacing w:after="0"/>
              <w:rPr>
                <w:sz w:val="20"/>
                <w:szCs w:val="20"/>
                <w:color w:val="auto"/>
              </w:rPr>
            </w:pPr>
            <w:r>
              <w:rPr>
                <w:rFonts w:ascii="Arial" w:cs="Arial" w:eastAsia="Arial" w:hAnsi="Arial"/>
                <w:sz w:val="12"/>
                <w:szCs w:val="12"/>
                <w:b w:val="1"/>
                <w:bCs w:val="1"/>
                <w:color w:val="auto"/>
              </w:rPr>
              <w:t>(Subtractions)</w:t>
            </w:r>
          </w:p>
        </w:tc>
        <w:tc>
          <w:tcPr>
            <w:tcW w:w="1040" w:type="dxa"/>
            <w:vAlign w:val="bottom"/>
            <w:gridSpan w:val="3"/>
          </w:tcPr>
          <w:p>
            <w:pPr>
              <w:jc w:val="right"/>
              <w:spacing w:after="0"/>
              <w:rPr>
                <w:sz w:val="20"/>
                <w:szCs w:val="20"/>
                <w:color w:val="auto"/>
              </w:rPr>
            </w:pPr>
            <w:r>
              <w:rPr>
                <w:rFonts w:ascii="Arial" w:cs="Arial" w:eastAsia="Arial" w:hAnsi="Arial"/>
                <w:sz w:val="12"/>
                <w:szCs w:val="12"/>
                <w:b w:val="1"/>
                <w:bCs w:val="1"/>
                <w:color w:val="auto"/>
              </w:rPr>
              <w:t>Adjustments</w:t>
            </w:r>
            <w:r>
              <w:rPr>
                <w:rFonts w:ascii="Arial" w:cs="Arial" w:eastAsia="Arial" w:hAnsi="Arial"/>
                <w:sz w:val="9"/>
                <w:szCs w:val="9"/>
                <w:b w:val="1"/>
                <w:bCs w:val="1"/>
                <w:color w:val="auto"/>
              </w:rPr>
              <w:t>(1)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2"/>
              </w:rPr>
              <w:t>GAAP</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Interest income:</w:t>
            </w: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60" w:type="dxa"/>
            <w:vAlign w:val="bottom"/>
            <w:gridSpan w:val="2"/>
          </w:tcPr>
          <w:p>
            <w:pPr>
              <w:ind w:left="200"/>
              <w:spacing w:after="0"/>
              <w:rPr>
                <w:sz w:val="20"/>
                <w:szCs w:val="20"/>
                <w:color w:val="auto"/>
              </w:rPr>
            </w:pPr>
            <w:r>
              <w:rPr>
                <w:rFonts w:ascii="Arial" w:cs="Arial" w:eastAsia="Arial" w:hAnsi="Arial"/>
                <w:sz w:val="14"/>
                <w:szCs w:val="14"/>
                <w:color w:val="auto"/>
              </w:rPr>
              <w:t>Education loans</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ind w:right="49"/>
              <w:spacing w:after="0"/>
              <w:rPr>
                <w:sz w:val="20"/>
                <w:szCs w:val="20"/>
                <w:color w:val="auto"/>
              </w:rPr>
            </w:pPr>
            <w:r>
              <w:rPr>
                <w:rFonts w:ascii="Arial" w:cs="Arial" w:eastAsia="Arial" w:hAnsi="Arial"/>
                <w:sz w:val="14"/>
                <w:szCs w:val="14"/>
                <w:color w:val="auto"/>
              </w:rPr>
              <w:t>3,080</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w w:val="96"/>
              </w:rPr>
              <w:t>1,778</w:t>
            </w:r>
          </w:p>
        </w:tc>
        <w:tc>
          <w:tcPr>
            <w:tcW w:w="4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ind w:right="49"/>
              <w:spacing w:after="0"/>
              <w:rPr>
                <w:sz w:val="20"/>
                <w:szCs w:val="20"/>
                <w:color w:val="auto"/>
              </w:rPr>
            </w:pPr>
            <w:r>
              <w:rPr>
                <w:rFonts w:ascii="Arial" w:cs="Arial" w:eastAsia="Arial" w:hAnsi="Arial"/>
                <w:sz w:val="14"/>
                <w:szCs w:val="14"/>
                <w:color w:val="auto"/>
              </w:rPr>
              <w:t>4,858</w:t>
            </w:r>
          </w:p>
        </w:tc>
        <w:tc>
          <w:tcPr>
            <w:tcW w:w="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440" w:type="dxa"/>
            <w:vAlign w:val="bottom"/>
            <w:gridSpan w:val="2"/>
          </w:tcPr>
          <w:p>
            <w:pPr>
              <w:jc w:val="right"/>
              <w:ind w:right="62"/>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(70)</w:t>
            </w:r>
          </w:p>
        </w:tc>
        <w:tc>
          <w:tcPr>
            <w:tcW w:w="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(53)</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69"/>
              <w:spacing w:after="0"/>
              <w:rPr>
                <w:sz w:val="20"/>
                <w:szCs w:val="20"/>
                <w:color w:val="auto"/>
              </w:rPr>
            </w:pPr>
            <w:r>
              <w:rPr>
                <w:rFonts w:ascii="Arial" w:cs="Arial" w:eastAsia="Arial" w:hAnsi="Arial"/>
                <w:sz w:val="14"/>
                <w:szCs w:val="14"/>
                <w:color w:val="auto"/>
                <w:w w:val="96"/>
              </w:rPr>
              <w:t>4,805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Other loans</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60" w:type="dxa"/>
            <w:vAlign w:val="bottom"/>
            <w:gridSpan w:val="2"/>
          </w:tcPr>
          <w:p>
            <w:pPr>
              <w:ind w:left="200"/>
              <w:spacing w:after="0"/>
              <w:rPr>
                <w:sz w:val="20"/>
                <w:szCs w:val="20"/>
                <w:color w:val="auto"/>
              </w:rPr>
            </w:pPr>
            <w:r>
              <w:rPr>
                <w:rFonts w:ascii="Arial" w:cs="Arial" w:eastAsia="Arial" w:hAnsi="Arial"/>
                <w:sz w:val="14"/>
                <w:szCs w:val="14"/>
                <w:color w:val="auto"/>
              </w:rPr>
              <w:t>Cash and investments</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46</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97</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97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interest income</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3,130</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6"/>
              </w:rPr>
              <w:t>1,793</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4,961</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(53)</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96"/>
              </w:rPr>
              <w:t>4,908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180" w:type="dxa"/>
            <w:vAlign w:val="bottom"/>
            <w:gridSpan w:val="3"/>
          </w:tcPr>
          <w:p>
            <w:pPr>
              <w:spacing w:after="0"/>
              <w:rPr>
                <w:sz w:val="20"/>
                <w:szCs w:val="20"/>
                <w:color w:val="auto"/>
              </w:rPr>
            </w:pPr>
            <w:r>
              <w:rPr>
                <w:rFonts w:ascii="Arial" w:cs="Arial" w:eastAsia="Arial" w:hAnsi="Arial"/>
                <w:sz w:val="14"/>
                <w:szCs w:val="14"/>
                <w:color w:val="auto"/>
              </w:rPr>
              <w:t>Total interest expense</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2,467</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6"/>
              </w:rPr>
              <w:t>1,013</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192</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3,672</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96"/>
              </w:rPr>
              <w:t>3,668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interest income (loss)</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663</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7"/>
              </w:rPr>
              <w:t>(154)</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1,289</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(49)</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96"/>
              </w:rPr>
              <w:t>1,240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180" w:type="dxa"/>
            <w:vAlign w:val="bottom"/>
            <w:gridSpan w:val="3"/>
          </w:tcPr>
          <w:p>
            <w:pPr>
              <w:spacing w:after="0"/>
              <w:rPr>
                <w:sz w:val="20"/>
                <w:szCs w:val="20"/>
                <w:color w:val="auto"/>
              </w:rPr>
            </w:pPr>
            <w:r>
              <w:rPr>
                <w:rFonts w:ascii="Arial" w:cs="Arial" w:eastAsia="Arial" w:hAnsi="Arial"/>
                <w:sz w:val="14"/>
                <w:szCs w:val="14"/>
                <w:color w:val="auto"/>
              </w:rPr>
              <w:t>Less: provisions for loan losses</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70</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300</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370</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370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interest income (loss) after provisions for</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60" w:type="dxa"/>
            <w:vAlign w:val="bottom"/>
            <w:gridSpan w:val="2"/>
            <w:shd w:val="clear" w:color="auto" w:fill="CCEEFF"/>
          </w:tcPr>
          <w:p>
            <w:pPr>
              <w:ind w:left="200"/>
              <w:spacing w:after="0" w:line="157" w:lineRule="exact"/>
              <w:rPr>
                <w:sz w:val="20"/>
                <w:szCs w:val="20"/>
                <w:color w:val="auto"/>
              </w:rPr>
            </w:pPr>
            <w:r>
              <w:rPr>
                <w:rFonts w:ascii="Arial" w:cs="Arial" w:eastAsia="Arial" w:hAnsi="Arial"/>
                <w:sz w:val="14"/>
                <w:szCs w:val="14"/>
                <w:color w:val="auto"/>
              </w:rPr>
              <w:t>loan losses</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593</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480</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w w:val="97"/>
              </w:rPr>
              <w:t>(154)</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919</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9</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(58)</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
              <w:spacing w:after="0" w:line="157" w:lineRule="exact"/>
              <w:rPr>
                <w:sz w:val="20"/>
                <w:szCs w:val="20"/>
                <w:color w:val="auto"/>
              </w:rPr>
            </w:pPr>
            <w:r>
              <w:rPr>
                <w:rFonts w:ascii="Arial" w:cs="Arial" w:eastAsia="Arial" w:hAnsi="Arial"/>
                <w:sz w:val="14"/>
                <w:szCs w:val="14"/>
                <w:color w:val="auto"/>
              </w:rPr>
              <w:t>(49)</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69"/>
              <w:spacing w:after="0" w:line="157" w:lineRule="exact"/>
              <w:rPr>
                <w:sz w:val="20"/>
                <w:szCs w:val="20"/>
                <w:color w:val="auto"/>
              </w:rPr>
            </w:pPr>
            <w:r>
              <w:rPr>
                <w:rFonts w:ascii="Arial" w:cs="Arial" w:eastAsia="Arial" w:hAnsi="Arial"/>
                <w:sz w:val="14"/>
                <w:szCs w:val="14"/>
                <w:color w:val="auto"/>
              </w:rPr>
              <w:t>870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80" w:type="dxa"/>
            <w:vAlign w:val="bottom"/>
            <w:gridSpan w:val="3"/>
          </w:tcPr>
          <w:p>
            <w:pPr>
              <w:spacing w:after="0"/>
              <w:rPr>
                <w:sz w:val="20"/>
                <w:szCs w:val="20"/>
                <w:color w:val="auto"/>
              </w:rPr>
            </w:pPr>
            <w:r>
              <w:rPr>
                <w:rFonts w:ascii="Arial" w:cs="Arial" w:eastAsia="Arial" w:hAnsi="Arial"/>
                <w:sz w:val="14"/>
                <w:szCs w:val="14"/>
                <w:color w:val="auto"/>
              </w:rPr>
              <w:t>Other income (loss):</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Servicing revenue</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262</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274</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274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60" w:type="dxa"/>
            <w:vAlign w:val="bottom"/>
            <w:gridSpan w:val="2"/>
          </w:tcPr>
          <w:p>
            <w:pPr>
              <w:ind w:left="200"/>
              <w:spacing w:after="0"/>
              <w:rPr>
                <w:sz w:val="20"/>
                <w:szCs w:val="20"/>
                <w:color w:val="auto"/>
              </w:rPr>
            </w:pPr>
            <w:r>
              <w:rPr>
                <w:rFonts w:ascii="Arial" w:cs="Arial" w:eastAsia="Arial" w:hAnsi="Arial"/>
                <w:sz w:val="14"/>
                <w:szCs w:val="14"/>
                <w:color w:val="auto"/>
              </w:rPr>
              <w:t>Asset recovery and business processing</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60" w:type="dxa"/>
            <w:vAlign w:val="bottom"/>
            <w:gridSpan w:val="2"/>
          </w:tcPr>
          <w:p>
            <w:pPr>
              <w:ind w:left="420"/>
              <w:spacing w:after="0" w:line="157" w:lineRule="exact"/>
              <w:rPr>
                <w:sz w:val="20"/>
                <w:szCs w:val="20"/>
                <w:color w:val="auto"/>
              </w:rPr>
            </w:pPr>
            <w:r>
              <w:rPr>
                <w:rFonts w:ascii="Arial" w:cs="Arial" w:eastAsia="Arial" w:hAnsi="Arial"/>
                <w:sz w:val="14"/>
                <w:szCs w:val="14"/>
                <w:color w:val="auto"/>
              </w:rPr>
              <w:t>revenue</w:t>
            </w:r>
          </w:p>
        </w:tc>
        <w:tc>
          <w:tcPr>
            <w:tcW w:w="100" w:type="dxa"/>
            <w:vAlign w:val="bottom"/>
          </w:tcPr>
          <w:p>
            <w:pPr>
              <w:spacing w:after="0"/>
              <w:rPr>
                <w:sz w:val="13"/>
                <w:szCs w:val="13"/>
                <w:color w:val="auto"/>
              </w:rPr>
            </w:pPr>
          </w:p>
        </w:tc>
        <w:tc>
          <w:tcPr>
            <w:tcW w:w="500" w:type="dxa"/>
            <w:vAlign w:val="bottom"/>
          </w:tcPr>
          <w:p>
            <w:pPr>
              <w:jc w:val="right"/>
              <w:ind w:right="49"/>
              <w:spacing w:after="0" w:line="157" w:lineRule="exact"/>
              <w:rPr>
                <w:sz w:val="20"/>
                <w:szCs w:val="20"/>
                <w:color w:val="auto"/>
              </w:rPr>
            </w:pPr>
            <w:r>
              <w:rPr>
                <w:rFonts w:ascii="Arial" w:cs="Arial" w:eastAsia="Arial" w:hAnsi="Arial"/>
                <w:sz w:val="14"/>
                <w:szCs w:val="14"/>
                <w:color w:val="auto"/>
              </w:rPr>
              <w:t>163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jc w:val="right"/>
              <w:ind w:right="48"/>
              <w:spacing w:after="0" w:line="157" w:lineRule="exact"/>
              <w:rPr>
                <w:sz w:val="20"/>
                <w:szCs w:val="20"/>
                <w:color w:val="auto"/>
              </w:rPr>
            </w:pPr>
            <w:r>
              <w:rPr>
                <w:rFonts w:ascii="Arial" w:cs="Arial" w:eastAsia="Arial" w:hAnsi="Arial"/>
                <w:sz w:val="14"/>
                <w:szCs w:val="14"/>
                <w:color w:val="auto"/>
              </w:rPr>
              <w:t>267</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49"/>
              <w:spacing w:after="0" w:line="157" w:lineRule="exact"/>
              <w:rPr>
                <w:sz w:val="20"/>
                <w:szCs w:val="20"/>
                <w:color w:val="auto"/>
              </w:rPr>
            </w:pPr>
            <w:r>
              <w:rPr>
                <w:rFonts w:ascii="Arial" w:cs="Arial" w:eastAsia="Arial" w:hAnsi="Arial"/>
                <w:sz w:val="14"/>
                <w:szCs w:val="14"/>
                <w:color w:val="auto"/>
              </w:rPr>
              <w:t>430</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69"/>
              <w:spacing w:after="0" w:line="157" w:lineRule="exact"/>
              <w:rPr>
                <w:sz w:val="20"/>
                <w:szCs w:val="20"/>
                <w:color w:val="auto"/>
              </w:rPr>
            </w:pPr>
            <w:r>
              <w:rPr>
                <w:rFonts w:ascii="Arial" w:cs="Arial" w:eastAsia="Arial" w:hAnsi="Arial"/>
                <w:sz w:val="14"/>
                <w:szCs w:val="14"/>
                <w:color w:val="auto"/>
              </w:rPr>
              <w:t>430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Other income (loss)</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(51)</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60" w:type="dxa"/>
            <w:vAlign w:val="bottom"/>
            <w:gridSpan w:val="2"/>
          </w:tcPr>
          <w:p>
            <w:pPr>
              <w:ind w:left="200"/>
              <w:spacing w:after="0"/>
              <w:rPr>
                <w:sz w:val="20"/>
                <w:szCs w:val="20"/>
                <w:color w:val="auto"/>
              </w:rPr>
            </w:pPr>
            <w:r>
              <w:rPr>
                <w:rFonts w:ascii="Arial" w:cs="Arial" w:eastAsia="Arial" w:hAnsi="Arial"/>
                <w:sz w:val="14"/>
                <w:szCs w:val="14"/>
                <w:color w:val="auto"/>
              </w:rPr>
              <w:t>Gains on debt repurchases</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10</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other income (loss)</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449</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267</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743</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(41)</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702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gridSpan w:val="3"/>
          </w:tcPr>
          <w:p>
            <w:pPr>
              <w:spacing w:after="0"/>
              <w:rPr>
                <w:sz w:val="20"/>
                <w:szCs w:val="20"/>
                <w:color w:val="auto"/>
              </w:rPr>
            </w:pPr>
            <w:r>
              <w:rPr>
                <w:rFonts w:ascii="Arial" w:cs="Arial" w:eastAsia="Arial" w:hAnsi="Arial"/>
                <w:sz w:val="14"/>
                <w:szCs w:val="14"/>
                <w:color w:val="auto"/>
              </w:rPr>
              <w:t>Expenses:</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Direct operating expenses</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298</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229</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696</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696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60" w:type="dxa"/>
            <w:vAlign w:val="bottom"/>
            <w:gridSpan w:val="2"/>
          </w:tcPr>
          <w:p>
            <w:pPr>
              <w:ind w:left="200"/>
              <w:spacing w:after="0"/>
              <w:rPr>
                <w:sz w:val="20"/>
                <w:szCs w:val="20"/>
                <w:color w:val="auto"/>
              </w:rPr>
            </w:pPr>
            <w:r>
              <w:rPr>
                <w:rFonts w:ascii="Arial" w:cs="Arial" w:eastAsia="Arial" w:hAnsi="Arial"/>
                <w:sz w:val="14"/>
                <w:szCs w:val="14"/>
                <w:color w:val="auto"/>
              </w:rPr>
              <w:t>Unallocated shared services expenses</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288</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288</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288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Operating expenses</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298</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229</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288</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984</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984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60" w:type="dxa"/>
            <w:vAlign w:val="bottom"/>
            <w:gridSpan w:val="2"/>
          </w:tcPr>
          <w:p>
            <w:pPr>
              <w:ind w:left="200"/>
              <w:spacing w:after="0"/>
              <w:rPr>
                <w:sz w:val="20"/>
                <w:szCs w:val="20"/>
                <w:color w:val="auto"/>
              </w:rPr>
            </w:pPr>
            <w:r>
              <w:rPr>
                <w:rFonts w:ascii="Arial" w:cs="Arial" w:eastAsia="Arial" w:hAnsi="Arial"/>
                <w:sz w:val="14"/>
                <w:szCs w:val="14"/>
                <w:color w:val="auto"/>
              </w:rPr>
              <w:t>Goodwill and acquired intangible asset</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60" w:type="dxa"/>
            <w:vAlign w:val="bottom"/>
            <w:gridSpan w:val="2"/>
          </w:tcPr>
          <w:p>
            <w:pPr>
              <w:ind w:left="420"/>
              <w:spacing w:after="0" w:line="157" w:lineRule="exact"/>
              <w:rPr>
                <w:sz w:val="20"/>
                <w:szCs w:val="20"/>
                <w:color w:val="auto"/>
              </w:rPr>
            </w:pPr>
            <w:r>
              <w:rPr>
                <w:rFonts w:ascii="Arial" w:cs="Arial" w:eastAsia="Arial" w:hAnsi="Arial"/>
                <w:sz w:val="14"/>
                <w:szCs w:val="14"/>
                <w:color w:val="auto"/>
              </w:rPr>
              <w:t>impairment and amortization</w:t>
            </w:r>
          </w:p>
        </w:tc>
        <w:tc>
          <w:tcPr>
            <w:tcW w:w="100" w:type="dxa"/>
            <w:vAlign w:val="bottom"/>
          </w:tcPr>
          <w:p>
            <w:pPr>
              <w:spacing w:after="0"/>
              <w:rPr>
                <w:sz w:val="13"/>
                <w:szCs w:val="13"/>
                <w:color w:val="auto"/>
              </w:rPr>
            </w:pPr>
          </w:p>
        </w:tc>
        <w:tc>
          <w:tcPr>
            <w:tcW w:w="500" w:type="dxa"/>
            <w:vAlign w:val="bottom"/>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47</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ind w:right="49"/>
              <w:spacing w:after="0" w:line="157" w:lineRule="exact"/>
              <w:rPr>
                <w:sz w:val="20"/>
                <w:szCs w:val="20"/>
                <w:color w:val="auto"/>
              </w:rPr>
            </w:pPr>
            <w:r>
              <w:rPr>
                <w:rFonts w:ascii="Arial" w:cs="Arial" w:eastAsia="Arial" w:hAnsi="Arial"/>
                <w:sz w:val="14"/>
                <w:szCs w:val="14"/>
                <w:color w:val="auto"/>
              </w:rPr>
              <w:t>47</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69"/>
              <w:spacing w:after="0" w:line="157" w:lineRule="exact"/>
              <w:rPr>
                <w:sz w:val="20"/>
                <w:szCs w:val="20"/>
                <w:color w:val="auto"/>
              </w:rPr>
            </w:pPr>
            <w:r>
              <w:rPr>
                <w:rFonts w:ascii="Arial" w:cs="Arial" w:eastAsia="Arial" w:hAnsi="Arial"/>
                <w:sz w:val="14"/>
                <w:szCs w:val="14"/>
                <w:color w:val="auto"/>
              </w:rPr>
              <w:t>47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Restructuring/other reorganization</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60" w:type="dxa"/>
            <w:vAlign w:val="bottom"/>
            <w:gridSpan w:val="2"/>
            <w:shd w:val="clear" w:color="auto" w:fill="CCEEFF"/>
          </w:tcPr>
          <w:p>
            <w:pPr>
              <w:ind w:left="420"/>
              <w:spacing w:after="0" w:line="157" w:lineRule="exact"/>
              <w:rPr>
                <w:sz w:val="20"/>
                <w:szCs w:val="20"/>
                <w:color w:val="auto"/>
              </w:rPr>
            </w:pPr>
            <w:r>
              <w:rPr>
                <w:rFonts w:ascii="Arial" w:cs="Arial" w:eastAsia="Arial" w:hAnsi="Arial"/>
                <w:sz w:val="14"/>
                <w:szCs w:val="14"/>
                <w:color w:val="auto"/>
              </w:rPr>
              <w:t>expenses</w:t>
            </w:r>
          </w:p>
        </w:tc>
        <w:tc>
          <w:tcPr>
            <w:tcW w:w="1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13</w:t>
            </w:r>
          </w:p>
        </w:tc>
        <w:tc>
          <w:tcPr>
            <w:tcW w:w="2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13</w:t>
            </w:r>
          </w:p>
        </w:tc>
        <w:tc>
          <w:tcPr>
            <w:tcW w:w="2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69"/>
              <w:spacing w:after="0" w:line="157" w:lineRule="exact"/>
              <w:rPr>
                <w:sz w:val="20"/>
                <w:szCs w:val="20"/>
                <w:color w:val="auto"/>
              </w:rPr>
            </w:pPr>
            <w:r>
              <w:rPr>
                <w:rFonts w:ascii="Arial" w:cs="Arial" w:eastAsia="Arial" w:hAnsi="Arial"/>
                <w:sz w:val="14"/>
                <w:szCs w:val="14"/>
                <w:color w:val="auto"/>
              </w:rPr>
              <w:t>13</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180" w:type="dxa"/>
            <w:vAlign w:val="bottom"/>
            <w:gridSpan w:val="3"/>
          </w:tcPr>
          <w:p>
            <w:pPr>
              <w:spacing w:after="0"/>
              <w:rPr>
                <w:sz w:val="20"/>
                <w:szCs w:val="20"/>
                <w:color w:val="auto"/>
              </w:rPr>
            </w:pPr>
            <w:r>
              <w:rPr>
                <w:rFonts w:ascii="Arial" w:cs="Arial" w:eastAsia="Arial" w:hAnsi="Arial"/>
                <w:sz w:val="14"/>
                <w:szCs w:val="14"/>
                <w:color w:val="auto"/>
              </w:rPr>
              <w:t>Total expenses</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298</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169</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229</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301</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997</w:t>
            </w:r>
          </w:p>
        </w:tc>
        <w:tc>
          <w:tcPr>
            <w:tcW w:w="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47</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96"/>
              </w:rPr>
              <w:t>1,044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(loss) before income tax expense</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60" w:type="dxa"/>
            <w:vAlign w:val="bottom"/>
            <w:gridSpan w:val="2"/>
            <w:shd w:val="clear" w:color="auto" w:fill="CCEEFF"/>
          </w:tcPr>
          <w:p>
            <w:pPr>
              <w:ind w:left="200"/>
              <w:spacing w:after="0" w:line="157" w:lineRule="exact"/>
              <w:rPr>
                <w:sz w:val="20"/>
                <w:szCs w:val="20"/>
                <w:color w:val="auto"/>
              </w:rPr>
            </w:pPr>
            <w:r>
              <w:rPr>
                <w:rFonts w:ascii="Arial" w:cs="Arial" w:eastAsia="Arial" w:hAnsi="Arial"/>
                <w:sz w:val="14"/>
                <w:szCs w:val="14"/>
                <w:color w:val="auto"/>
              </w:rPr>
              <w:t>(benefit)</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744</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323</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38</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w w:val="97"/>
              </w:rPr>
              <w:t>(440)</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665</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(137)</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
              <w:spacing w:after="0" w:line="157" w:lineRule="exact"/>
              <w:rPr>
                <w:sz w:val="20"/>
                <w:szCs w:val="20"/>
                <w:color w:val="auto"/>
              </w:rPr>
            </w:pPr>
            <w:r>
              <w:rPr>
                <w:rFonts w:ascii="Arial" w:cs="Arial" w:eastAsia="Arial" w:hAnsi="Arial"/>
                <w:sz w:val="14"/>
                <w:szCs w:val="14"/>
                <w:color w:val="auto"/>
              </w:rPr>
              <w:t>(137)</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69"/>
              <w:spacing w:after="0" w:line="157" w:lineRule="exact"/>
              <w:rPr>
                <w:sz w:val="20"/>
                <w:szCs w:val="20"/>
                <w:color w:val="auto"/>
              </w:rPr>
            </w:pPr>
            <w:r>
              <w:rPr>
                <w:rFonts w:ascii="Arial" w:cs="Arial" w:eastAsia="Arial" w:hAnsi="Arial"/>
                <w:sz w:val="14"/>
                <w:szCs w:val="14"/>
                <w:color w:val="auto"/>
              </w:rPr>
              <w:t>528</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60" w:type="dxa"/>
            <w:vAlign w:val="bottom"/>
            <w:gridSpan w:val="2"/>
          </w:tcPr>
          <w:p>
            <w:pPr>
              <w:spacing w:after="0" w:line="162" w:lineRule="exact"/>
              <w:rPr>
                <w:sz w:val="20"/>
                <w:szCs w:val="20"/>
                <w:color w:val="auto"/>
              </w:rPr>
            </w:pPr>
            <w:r>
              <w:rPr>
                <w:rFonts w:ascii="Arial" w:cs="Arial" w:eastAsia="Arial" w:hAnsi="Arial"/>
                <w:sz w:val="11"/>
                <w:szCs w:val="11"/>
                <w:color w:val="auto"/>
              </w:rPr>
              <w:t>Income tax expense (benefit)</w:t>
            </w:r>
            <w:r>
              <w:rPr>
                <w:rFonts w:ascii="Arial" w:cs="Arial" w:eastAsia="Arial" w:hAnsi="Arial"/>
                <w:sz w:val="18"/>
                <w:szCs w:val="18"/>
                <w:color w:val="auto"/>
                <w:vertAlign w:val="superscript"/>
              </w:rPr>
              <w:t>(2)</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164</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(97)</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146</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(13)</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133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580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252</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7"/>
              </w:rPr>
              <w:t>(343)</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519</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62"/>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(124)</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395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94615</wp:posOffset>
            </wp:positionV>
            <wp:extent cx="9779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76" w:lineRule="exact"/>
        <w:rPr>
          <w:sz w:val="20"/>
          <w:szCs w:val="20"/>
          <w:color w:val="auto"/>
        </w:rPr>
      </w:pPr>
    </w:p>
    <w:p>
      <w:pPr>
        <w:spacing w:after="0"/>
        <w:tabs>
          <w:tab w:leader="none" w:pos="300" w:val="left"/>
        </w:tabs>
        <w:rPr>
          <w:sz w:val="20"/>
          <w:szCs w:val="20"/>
          <w:color w:val="auto"/>
        </w:rPr>
      </w:pPr>
      <w:r>
        <w:rPr>
          <w:rFonts w:ascii="Arial" w:cs="Arial" w:eastAsia="Arial" w:hAnsi="Arial"/>
          <w:sz w:val="24"/>
          <w:szCs w:val="24"/>
          <w:color w:val="auto"/>
          <w:vertAlign w:val="superscript"/>
        </w:rPr>
        <w:t>(1)</w:t>
      </w:r>
      <w:r>
        <w:rPr>
          <w:sz w:val="20"/>
          <w:szCs w:val="20"/>
          <w:color w:val="auto"/>
        </w:rPr>
        <w:tab/>
      </w:r>
      <w:r>
        <w:rPr>
          <w:rFonts w:ascii="Arial" w:cs="Arial" w:eastAsia="Arial" w:hAnsi="Arial"/>
          <w:sz w:val="14"/>
          <w:szCs w:val="14"/>
          <w:color w:val="auto"/>
        </w:rPr>
        <w:t>Core Earnings adjustments to GAAP:</w:t>
      </w:r>
    </w:p>
    <w:p>
      <w:pPr>
        <w:spacing w:after="0" w:line="222" w:lineRule="exact"/>
        <w:rPr>
          <w:sz w:val="20"/>
          <w:szCs w:val="20"/>
          <w:color w:val="auto"/>
        </w:rPr>
      </w:pPr>
    </w:p>
    <w:p>
      <w:pPr>
        <w:ind w:left="7500"/>
        <w:spacing w:after="0"/>
        <w:rPr>
          <w:sz w:val="20"/>
          <w:szCs w:val="20"/>
          <w:color w:val="auto"/>
        </w:rPr>
      </w:pPr>
      <w:r>
        <w:rPr>
          <w:rFonts w:ascii="Arial" w:cs="Arial" w:eastAsia="Arial" w:hAnsi="Arial"/>
          <w:sz w:val="14"/>
          <w:szCs w:val="14"/>
          <w:b w:val="1"/>
          <w:bCs w:val="1"/>
          <w:color w:val="auto"/>
        </w:rPr>
        <w:t>YEAR ENDED DECEMBER 31, 2018</w:t>
      </w:r>
    </w:p>
    <w:p>
      <w:pPr>
        <w:spacing w:after="0" w:line="32" w:lineRule="exact"/>
        <w:rPr>
          <w:sz w:val="20"/>
          <w:szCs w:val="20"/>
          <w:color w:val="auto"/>
        </w:rPr>
      </w:pPr>
    </w:p>
    <w:tbl>
      <w:tblPr>
        <w:tblLayout w:type="fixed"/>
        <w:tblInd w:w="4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w w:val="99"/>
              </w:rPr>
              <w:t>Net Impact of</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97"/>
              </w:rPr>
              <w:t>Net Impact of</w:t>
            </w:r>
          </w:p>
        </w:tc>
        <w:tc>
          <w:tcPr>
            <w:tcW w:w="560" w:type="dxa"/>
            <w:vAlign w:val="bottom"/>
          </w:tcPr>
          <w:p>
            <w:pPr>
              <w:spacing w:after="0"/>
              <w:rPr>
                <w:sz w:val="11"/>
                <w:szCs w:val="11"/>
                <w:color w:val="auto"/>
              </w:rPr>
            </w:pPr>
          </w:p>
        </w:tc>
        <w:tc>
          <w:tcPr>
            <w:tcW w:w="8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Goodwill and</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(Dollars in millions)</w:t>
            </w:r>
          </w:p>
        </w:tc>
        <w:tc>
          <w:tcPr>
            <w:tcW w:w="120" w:type="dxa"/>
            <w:vAlign w:val="bottom"/>
          </w:tcPr>
          <w:p>
            <w:pPr>
              <w:spacing w:after="0"/>
              <w:rPr>
                <w:sz w:val="11"/>
                <w:szCs w:val="11"/>
                <w:color w:val="auto"/>
              </w:rPr>
            </w:pPr>
          </w:p>
        </w:tc>
        <w:tc>
          <w:tcPr>
            <w:tcW w:w="740" w:type="dxa"/>
            <w:vAlign w:val="bottom"/>
          </w:tcPr>
          <w:p>
            <w:pPr>
              <w:jc w:val="right"/>
              <w:ind w:right="70"/>
              <w:spacing w:after="0" w:line="135" w:lineRule="exact"/>
              <w:rPr>
                <w:sz w:val="20"/>
                <w:szCs w:val="20"/>
                <w:color w:val="auto"/>
              </w:rPr>
            </w:pPr>
            <w:r>
              <w:rPr>
                <w:rFonts w:ascii="Arial" w:cs="Arial" w:eastAsia="Arial" w:hAnsi="Arial"/>
                <w:sz w:val="13"/>
                <w:szCs w:val="13"/>
                <w:b w:val="1"/>
                <w:bCs w:val="1"/>
                <w:color w:val="auto"/>
                <w:w w:val="93"/>
              </w:rPr>
              <w:t>Derivative</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ind w:right="90"/>
              <w:spacing w:after="0" w:line="135" w:lineRule="exact"/>
              <w:rPr>
                <w:sz w:val="20"/>
                <w:szCs w:val="20"/>
                <w:color w:val="auto"/>
              </w:rPr>
            </w:pPr>
            <w:r>
              <w:rPr>
                <w:rFonts w:ascii="Arial" w:cs="Arial" w:eastAsia="Arial" w:hAnsi="Arial"/>
                <w:sz w:val="13"/>
                <w:szCs w:val="13"/>
                <w:b w:val="1"/>
                <w:bCs w:val="1"/>
                <w:color w:val="auto"/>
                <w:w w:val="95"/>
              </w:rPr>
              <w:t>Acquired</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6620" w:type="dxa"/>
            <w:vAlign w:val="bottom"/>
            <w:gridSpan w:val="3"/>
            <w:vMerge w:val="continue"/>
          </w:tcPr>
          <w:p>
            <w:pPr>
              <w:spacing w:after="0"/>
              <w:rPr>
                <w:sz w:val="13"/>
                <w:szCs w:val="13"/>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3"/>
                <w:szCs w:val="13"/>
                <w:b w:val="1"/>
                <w:bCs w:val="1"/>
                <w:color w:val="auto"/>
              </w:rPr>
              <w:t>Accounting</w:t>
            </w:r>
          </w:p>
        </w:tc>
        <w:tc>
          <w:tcPr>
            <w:tcW w:w="560" w:type="dxa"/>
            <w:vAlign w:val="bottom"/>
          </w:tcPr>
          <w:p>
            <w:pPr>
              <w:spacing w:after="0"/>
              <w:rPr>
                <w:sz w:val="13"/>
                <w:szCs w:val="13"/>
                <w:color w:val="auto"/>
              </w:rPr>
            </w:pPr>
          </w:p>
        </w:tc>
        <w:tc>
          <w:tcPr>
            <w:tcW w:w="860" w:type="dxa"/>
            <w:vAlign w:val="bottom"/>
            <w:gridSpan w:val="2"/>
          </w:tcPr>
          <w:p>
            <w:pPr>
              <w:jc w:val="right"/>
              <w:ind w:right="30"/>
              <w:spacing w:after="0"/>
              <w:rPr>
                <w:sz w:val="20"/>
                <w:szCs w:val="20"/>
                <w:color w:val="auto"/>
              </w:rPr>
            </w:pPr>
            <w:r>
              <w:rPr>
                <w:rFonts w:ascii="Arial" w:cs="Arial" w:eastAsia="Arial" w:hAnsi="Arial"/>
                <w:sz w:val="13"/>
                <w:szCs w:val="13"/>
                <w:b w:val="1"/>
                <w:bCs w:val="1"/>
                <w:color w:val="auto"/>
              </w:rPr>
              <w:t>Intangibles</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ind w:left="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Net interest income after provisions for loan losses</w:t>
            </w:r>
          </w:p>
        </w:tc>
        <w:tc>
          <w:tcPr>
            <w:tcW w:w="5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(49)</w:t>
            </w:r>
          </w:p>
        </w:tc>
        <w:tc>
          <w:tcPr>
            <w:tcW w:w="5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ind w:left="40"/>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10"/>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(49)</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20" w:type="dxa"/>
            <w:vAlign w:val="bottom"/>
            <w:gridSpan w:val="3"/>
          </w:tcPr>
          <w:p>
            <w:pPr>
              <w:spacing w:after="0"/>
              <w:rPr>
                <w:sz w:val="20"/>
                <w:szCs w:val="20"/>
                <w:color w:val="auto"/>
              </w:rPr>
            </w:pPr>
            <w:r>
              <w:rPr>
                <w:rFonts w:ascii="Arial" w:cs="Arial" w:eastAsia="Arial" w:hAnsi="Arial"/>
                <w:sz w:val="14"/>
                <w:szCs w:val="14"/>
                <w:color w:val="auto"/>
              </w:rPr>
              <w:t>Total other income (loss)</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Goodwill and acquired intangible asset impairment and amortization</w:t>
            </w: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47</w:t>
            </w:r>
          </w:p>
        </w:tc>
        <w:tc>
          <w:tcPr>
            <w:tcW w:w="5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20" w:type="dxa"/>
            <w:vAlign w:val="bottom"/>
            <w:gridSpan w:val="3"/>
          </w:tcPr>
          <w:p>
            <w:pPr>
              <w:spacing w:after="0"/>
              <w:rPr>
                <w:sz w:val="20"/>
                <w:szCs w:val="20"/>
                <w:color w:val="auto"/>
              </w:rPr>
            </w:pPr>
            <w:r>
              <w:rPr>
                <w:rFonts w:ascii="Arial" w:cs="Arial" w:eastAsia="Arial" w:hAnsi="Arial"/>
                <w:sz w:val="14"/>
                <w:szCs w:val="14"/>
                <w:color w:val="auto"/>
              </w:rPr>
              <w:t>Total Core Earnings adjustments to GAAP</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(90)</w:t>
            </w:r>
          </w:p>
        </w:tc>
        <w:tc>
          <w:tcPr>
            <w:tcW w:w="7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(47)</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(137)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gridSpan w:val="2"/>
            <w:shd w:val="clear" w:color="auto" w:fill="CCEEFF"/>
          </w:tcPr>
          <w:p>
            <w:pPr>
              <w:spacing w:after="0" w:line="156" w:lineRule="exact"/>
              <w:rPr>
                <w:sz w:val="20"/>
                <w:szCs w:val="20"/>
                <w:color w:val="auto"/>
              </w:rPr>
            </w:pPr>
            <w:r>
              <w:rPr>
                <w:rFonts w:ascii="Arial" w:cs="Arial" w:eastAsia="Arial" w:hAnsi="Arial"/>
                <w:sz w:val="14"/>
                <w:szCs w:val="14"/>
                <w:color w:val="auto"/>
              </w:rPr>
              <w:t>Income tax expense (benefit)</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(13)</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620" w:type="dxa"/>
            <w:vAlign w:val="bottom"/>
            <w:gridSpan w:val="3"/>
          </w:tcPr>
          <w:p>
            <w:pPr>
              <w:spacing w:after="0"/>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(124)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320" w:hanging="316"/>
        <w:spacing w:after="0"/>
        <w:tabs>
          <w:tab w:leader="none" w:pos="320" w:val="left"/>
        </w:tabs>
        <w:numPr>
          <w:ilvl w:val="0"/>
          <w:numId w:val="19"/>
        </w:numPr>
        <w:rPr>
          <w:rFonts w:ascii="Arial" w:cs="Arial" w:eastAsia="Arial" w:hAnsi="Arial"/>
          <w:sz w:val="24"/>
          <w:szCs w:val="24"/>
          <w:color w:val="auto"/>
          <w:vertAlign w:val="superscript"/>
        </w:rPr>
      </w:pPr>
      <w:r>
        <w:rPr>
          <w:rFonts w:ascii="Arial" w:cs="Arial" w:eastAsia="Arial" w:hAnsi="Arial"/>
          <w:sz w:val="14"/>
          <w:szCs w:val="14"/>
          <w:color w:val="auto"/>
        </w:rPr>
        <w:t>Income taxes are based on a percentage of net income before tax for the individual reportable segment.</w:t>
      </w:r>
    </w:p>
    <w:p>
      <w:pPr>
        <w:spacing w:after="0" w:line="127" w:lineRule="exact"/>
        <w:rPr>
          <w:sz w:val="20"/>
          <w:szCs w:val="20"/>
          <w:color w:val="auto"/>
        </w:rPr>
      </w:pPr>
    </w:p>
    <w:p>
      <w:pPr>
        <w:ind w:left="1078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040"/>
          </w:cols>
          <w:pgMar w:left="440" w:top="307" w:right="419" w:bottom="1440" w:gutter="0" w:footer="0" w:header="0"/>
        </w:sectPr>
      </w:pPr>
    </w:p>
    <w:bookmarkStart w:id="22" w:name="page23"/>
    <w:bookmarkEnd w:id="22"/>
    <w:p>
      <w:pPr>
        <w:ind w:right="140"/>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discussion summarizes the differences between Core Earnings and GAAP net income and details each specific adjustment required to reconcile our Core Earnings segment presentation to our GAAP earnings.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20" w:type="dxa"/>
            <w:vAlign w:val="bottom"/>
            <w:gridSpan w:val="4"/>
          </w:tcPr>
          <w:p>
            <w:pPr>
              <w:jc w:val="center"/>
              <w:spacing w:after="0"/>
              <w:rPr>
                <w:sz w:val="20"/>
                <w:szCs w:val="20"/>
                <w:color w:val="auto"/>
              </w:rPr>
            </w:pPr>
            <w:r>
              <w:rPr>
                <w:rFonts w:ascii="Arial" w:cs="Arial" w:eastAsia="Arial" w:hAnsi="Arial"/>
                <w:sz w:val="14"/>
                <w:szCs w:val="14"/>
                <w:b w:val="1"/>
                <w:bCs w:val="1"/>
                <w:color w:val="auto"/>
              </w:rPr>
              <w:t>QUARTERS ENDED</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4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188"/>
        </w:trPr>
        <w:tc>
          <w:tcPr>
            <w:tcW w:w="4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6"/>
                <w:szCs w:val="16"/>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6"/>
                <w:szCs w:val="16"/>
                <w:color w:val="auto"/>
              </w:rPr>
            </w:pPr>
          </w:p>
        </w:tc>
        <w:tc>
          <w:tcPr>
            <w:tcW w:w="112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6"/>
                <w:szCs w:val="16"/>
                <w:color w:val="auto"/>
              </w:rPr>
            </w:pPr>
          </w:p>
        </w:tc>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486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center"/>
              <w:ind w:right="213"/>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Core Earnings net income</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rPr>
              <w:t>153</w:t>
            </w: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59"/>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rPr>
              <w:t>142</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33"/>
              <w:spacing w:after="0" w:line="196" w:lineRule="exact"/>
              <w:rPr>
                <w:sz w:val="20"/>
                <w:szCs w:val="20"/>
                <w:color w:val="auto"/>
              </w:rPr>
            </w:pPr>
            <w:r>
              <w:rPr>
                <w:rFonts w:ascii="Arial" w:cs="Arial" w:eastAsia="Arial" w:hAnsi="Arial"/>
                <w:sz w:val="18"/>
                <w:szCs w:val="18"/>
                <w:color w:val="auto"/>
              </w:rPr>
              <w:t>140</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39"/>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607</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39"/>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rPr>
              <w:t>519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gridSpan w:val="2"/>
          </w:tcPr>
          <w:p>
            <w:pPr>
              <w:spacing w:after="0" w:line="202" w:lineRule="exact"/>
              <w:rPr>
                <w:sz w:val="20"/>
                <w:szCs w:val="20"/>
                <w:color w:val="auto"/>
              </w:rPr>
            </w:pPr>
            <w:r>
              <w:rPr>
                <w:rFonts w:ascii="Arial" w:cs="Arial" w:eastAsia="Arial" w:hAnsi="Arial"/>
                <w:sz w:val="18"/>
                <w:szCs w:val="18"/>
                <w:color w:val="auto"/>
              </w:rPr>
              <w:t>Core Earnings adjustments to GAAP:</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impact of derivative accounting</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gridSpan w:val="2"/>
          </w:tcPr>
          <w:p>
            <w:pPr>
              <w:spacing w:after="0" w:line="202" w:lineRule="exact"/>
              <w:rPr>
                <w:sz w:val="20"/>
                <w:szCs w:val="20"/>
                <w:color w:val="auto"/>
              </w:rPr>
            </w:pPr>
            <w:r>
              <w:rPr>
                <w:rFonts w:ascii="Arial" w:cs="Arial" w:eastAsia="Arial" w:hAnsi="Arial"/>
                <w:sz w:val="18"/>
                <w:szCs w:val="18"/>
                <w:color w:val="auto"/>
              </w:rPr>
              <w:t>Net impact of goodwill and acquired intangible assets</w:t>
            </w:r>
          </w:p>
        </w:tc>
        <w:tc>
          <w:tcPr>
            <w:tcW w:w="2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tax effect</w:t>
            </w: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860" w:type="dxa"/>
            <w:vAlign w:val="bottom"/>
            <w:gridSpan w:val="3"/>
          </w:tcPr>
          <w:p>
            <w:pPr>
              <w:spacing w:after="0"/>
              <w:rPr>
                <w:sz w:val="20"/>
                <w:szCs w:val="20"/>
                <w:color w:val="auto"/>
              </w:rPr>
            </w:pPr>
            <w:r>
              <w:rPr>
                <w:rFonts w:ascii="Arial" w:cs="Arial" w:eastAsia="Arial" w:hAnsi="Arial"/>
                <w:sz w:val="18"/>
                <w:szCs w:val="18"/>
                <w:color w:val="auto"/>
              </w:rPr>
              <w:t>Total Core Earnings adjustments to GAAP</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GAAP net income</w:t>
            </w:r>
          </w:p>
        </w:tc>
        <w:tc>
          <w:tcPr>
            <w:tcW w:w="260" w:type="dxa"/>
            <w:vAlign w:val="bottom"/>
            <w:shd w:val="clear" w:color="auto" w:fill="CCEEFF"/>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171</w:t>
            </w:r>
          </w:p>
        </w:tc>
        <w:tc>
          <w:tcPr>
            <w:tcW w:w="420" w:type="dxa"/>
            <w:vAlign w:val="bottom"/>
            <w:gridSpan w:val="2"/>
            <w:shd w:val="clear" w:color="auto" w:fill="CCEEFF"/>
          </w:tcPr>
          <w:p>
            <w:pPr>
              <w:jc w:val="right"/>
              <w:ind w:right="59"/>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72</w:t>
            </w:r>
          </w:p>
        </w:tc>
        <w:tc>
          <w:tcPr>
            <w:tcW w:w="400" w:type="dxa"/>
            <w:vAlign w:val="bottom"/>
            <w:gridSpan w:val="2"/>
            <w:shd w:val="clear" w:color="auto" w:fill="CCEEFF"/>
          </w:tcPr>
          <w:p>
            <w:pPr>
              <w:jc w:val="right"/>
              <w:ind w:right="39"/>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597</w:t>
            </w:r>
          </w:p>
        </w:tc>
        <w:tc>
          <w:tcPr>
            <w:tcW w:w="400" w:type="dxa"/>
            <w:vAlign w:val="bottom"/>
            <w:gridSpan w:val="2"/>
            <w:shd w:val="clear" w:color="auto" w:fill="CCEEFF"/>
          </w:tcPr>
          <w:p>
            <w:pPr>
              <w:jc w:val="right"/>
              <w:ind w:right="39"/>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395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540" w:right="40" w:hanging="536"/>
        <w:spacing w:after="0"/>
        <w:tabs>
          <w:tab w:leader="none" w:pos="5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Derivative Accounting: </w:t>
      </w:r>
      <w:r>
        <w:rPr>
          <w:rFonts w:ascii="Arial" w:cs="Arial" w:eastAsia="Arial" w:hAnsi="Arial"/>
          <w:sz w:val="18"/>
          <w:szCs w:val="18"/>
          <w:color w:val="auto"/>
        </w:rPr>
        <w:t>Core Earnings exclude periodic gains and losses that are caused by the mark-to-market valuations on</w:t>
      </w:r>
      <w:r>
        <w:rPr>
          <w:rFonts w:ascii="Arial" w:cs="Arial" w:eastAsia="Arial" w:hAnsi="Arial"/>
          <w:sz w:val="18"/>
          <w:szCs w:val="18"/>
          <w:b w:val="1"/>
          <w:bCs w:val="1"/>
          <w:color w:val="auto"/>
        </w:rPr>
        <w:t xml:space="preserve"> </w:t>
      </w:r>
      <w:r>
        <w:rPr>
          <w:rFonts w:ascii="Arial" w:cs="Arial" w:eastAsia="Arial" w:hAnsi="Arial"/>
          <w:sz w:val="18"/>
          <w:szCs w:val="18"/>
          <w:color w:val="auto"/>
        </w:rPr>
        <w:t>derivatives that do not qualify for hedge accounting treatment under GAAP, as well as the periodic mark-to-market gains and losses that are a result of ineffectiveness recognized related to effective hedges under GAAP. These gains and losses occur in our Federal Education Loans, Consumer Lending and Other reportable segments. Under GAAP, for our derivatives that are held to maturity, the mark-to-market gain or loss over the life of the contract will equal $0 except for Floor Income Contracts, where the mark-to-market gain will equal the amount for which we sold the contract. In our Core Earnings presentation, we recognize the economic effect of these hedges, which generally results in any net settlement cash paid or received being recognized ratably as an interest expense or revenue over the hedged item’s life.</w:t>
      </w:r>
    </w:p>
    <w:p>
      <w:pPr>
        <w:spacing w:after="0" w:line="130" w:lineRule="exact"/>
        <w:rPr>
          <w:sz w:val="20"/>
          <w:szCs w:val="20"/>
          <w:color w:val="auto"/>
        </w:rPr>
      </w:pPr>
    </w:p>
    <w:p>
      <w:pPr>
        <w:ind w:left="1078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040"/>
          </w:cols>
          <w:pgMar w:left="440" w:top="287" w:right="419" w:bottom="1440" w:gutter="0" w:footer="0" w:header="0"/>
        </w:sectPr>
      </w:pPr>
    </w:p>
    <w:bookmarkStart w:id="23" w:name="page24"/>
    <w:bookmarkEnd w:id="2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table below quantifies the adjustments for derivative accounting between GAAP and Core Earnings net income.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QUARTERS ENDED</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YEARS ENDED</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1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6"/>
                <w:szCs w:val="16"/>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6"/>
                <w:szCs w:val="16"/>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6"/>
                <w:szCs w:val="16"/>
                <w:color w:val="auto"/>
              </w:rPr>
            </w:pPr>
          </w:p>
        </w:tc>
        <w:tc>
          <w:tcPr>
            <w:tcW w:w="120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484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2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center"/>
              <w:ind w:right="22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20"/>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Core Earnings derivative adjustments:</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840" w:type="dxa"/>
            <w:vAlign w:val="bottom"/>
            <w:gridSpan w:val="3"/>
          </w:tcPr>
          <w:p>
            <w:pPr>
              <w:spacing w:after="0"/>
              <w:rPr>
                <w:sz w:val="20"/>
                <w:szCs w:val="20"/>
                <w:color w:val="auto"/>
              </w:rPr>
            </w:pPr>
            <w:r>
              <w:rPr>
                <w:rFonts w:ascii="Arial" w:cs="Arial" w:eastAsia="Arial" w:hAnsi="Arial"/>
                <w:sz w:val="16"/>
                <w:szCs w:val="16"/>
                <w:color w:val="auto"/>
              </w:rPr>
              <w:t>Gains (losses) on derivative and hedging activities, net, included</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rPr>
              <w:t>in other income</w:t>
            </w: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43</w:t>
            </w:r>
          </w:p>
        </w:tc>
        <w:tc>
          <w:tcPr>
            <w:tcW w:w="420" w:type="dxa"/>
            <w:vAlign w:val="bottom"/>
            <w:gridSpan w:val="2"/>
          </w:tcPr>
          <w:p>
            <w:pPr>
              <w:jc w:val="right"/>
              <w:ind w:right="48"/>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6"/>
                <w:szCs w:val="16"/>
                <w:color w:val="auto"/>
              </w:rPr>
            </w:pP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(48)</w:t>
            </w:r>
          </w:p>
        </w:tc>
        <w:tc>
          <w:tcPr>
            <w:tcW w:w="400" w:type="dxa"/>
            <w:vAlign w:val="bottom"/>
            <w:gridSpan w:val="2"/>
          </w:tcPr>
          <w:p>
            <w:pPr>
              <w:jc w:val="right"/>
              <w:ind w:right="68"/>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22</w:t>
            </w:r>
          </w:p>
        </w:tc>
        <w:tc>
          <w:tcPr>
            <w:tcW w:w="880" w:type="dxa"/>
            <w:vAlign w:val="bottom"/>
            <w:gridSpan w:val="2"/>
          </w:tcPr>
          <w:p>
            <w:pPr>
              <w:jc w:val="right"/>
              <w:ind w:right="528"/>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Plus: Gains (losses) on fair value hedging activity included in</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8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w:t>
            </w:r>
          </w:p>
        </w:tc>
        <w:tc>
          <w:tcPr>
            <w:tcW w:w="14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40" w:type="dxa"/>
            <w:vAlign w:val="bottom"/>
            <w:gridSpan w:val="3"/>
          </w:tcPr>
          <w:p>
            <w:pPr>
              <w:spacing w:after="0"/>
              <w:rPr>
                <w:sz w:val="20"/>
                <w:szCs w:val="20"/>
                <w:color w:val="auto"/>
              </w:rPr>
            </w:pPr>
            <w:r>
              <w:rPr>
                <w:rFonts w:ascii="Arial" w:cs="Arial" w:eastAsia="Arial" w:hAnsi="Arial"/>
                <w:sz w:val="16"/>
                <w:szCs w:val="16"/>
                <w:color w:val="auto"/>
              </w:rPr>
              <w:t>Total gains (losses)</w:t>
            </w: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44</w:t>
            </w:r>
          </w:p>
        </w:tc>
        <w:tc>
          <w:tcPr>
            <w:tcW w:w="420" w:type="dxa"/>
            <w:vAlign w:val="bottom"/>
            <w:gridSpan w:val="2"/>
          </w:tcPr>
          <w:p>
            <w:pPr>
              <w:jc w:val="right"/>
              <w:ind w:right="88"/>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7"/>
                <w:szCs w:val="17"/>
                <w:color w:val="auto"/>
              </w:rPr>
            </w:pP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(48)</w:t>
            </w:r>
          </w:p>
        </w:tc>
        <w:tc>
          <w:tcPr>
            <w:tcW w:w="400" w:type="dxa"/>
            <w:vAlign w:val="bottom"/>
            <w:gridSpan w:val="2"/>
          </w:tcPr>
          <w:p>
            <w:pPr>
              <w:jc w:val="right"/>
              <w:ind w:right="68"/>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43</w:t>
            </w:r>
          </w:p>
        </w:tc>
        <w:tc>
          <w:tcPr>
            <w:tcW w:w="880" w:type="dxa"/>
            <w:vAlign w:val="bottom"/>
            <w:gridSpan w:val="2"/>
          </w:tcPr>
          <w:p>
            <w:pPr>
              <w:jc w:val="right"/>
              <w:ind w:right="528"/>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Plus: Settlements on derivative and hedging activities, net</w:t>
            </w:r>
            <w:r>
              <w:rPr>
                <w:rFonts w:ascii="Arial" w:cs="Arial" w:eastAsia="Arial" w:hAnsi="Arial"/>
                <w:sz w:val="21"/>
                <w:szCs w:val="21"/>
                <w:color w:val="auto"/>
                <w:vertAlign w:val="superscript"/>
              </w:rPr>
              <w:t>(1)</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1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1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41</w:t>
            </w:r>
          </w:p>
        </w:tc>
        <w:tc>
          <w:tcPr>
            <w:tcW w:w="14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840" w:type="dxa"/>
            <w:vAlign w:val="bottom"/>
            <w:gridSpan w:val="3"/>
          </w:tcPr>
          <w:p>
            <w:pPr>
              <w:spacing w:after="0"/>
              <w:rPr>
                <w:sz w:val="20"/>
                <w:szCs w:val="20"/>
                <w:color w:val="auto"/>
              </w:rPr>
            </w:pPr>
            <w:r>
              <w:rPr>
                <w:rFonts w:ascii="Arial" w:cs="Arial" w:eastAsia="Arial" w:hAnsi="Arial"/>
                <w:sz w:val="16"/>
                <w:szCs w:val="16"/>
                <w:color w:val="auto"/>
              </w:rPr>
              <w:t>Mark-to market gains (losses) on derivative and hedging</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820" w:type="dxa"/>
            <w:vAlign w:val="bottom"/>
            <w:gridSpan w:val="2"/>
          </w:tcPr>
          <w:p>
            <w:pPr>
              <w:ind w:left="200"/>
              <w:spacing w:after="0" w:line="192" w:lineRule="exact"/>
              <w:rPr>
                <w:sz w:val="20"/>
                <w:szCs w:val="20"/>
                <w:color w:val="auto"/>
              </w:rPr>
            </w:pPr>
            <w:r>
              <w:rPr>
                <w:rFonts w:ascii="Arial" w:cs="Arial" w:eastAsia="Arial" w:hAnsi="Arial"/>
                <w:sz w:val="14"/>
                <w:szCs w:val="14"/>
                <w:color w:val="auto"/>
              </w:rPr>
              <w:t>activities, net</w:t>
            </w:r>
            <w:r>
              <w:rPr>
                <w:rFonts w:ascii="Arial" w:cs="Arial" w:eastAsia="Arial" w:hAnsi="Arial"/>
                <w:sz w:val="22"/>
                <w:szCs w:val="22"/>
                <w:color w:val="auto"/>
                <w:vertAlign w:val="superscript"/>
              </w:rPr>
              <w:t>(2)</w:t>
            </w:r>
          </w:p>
        </w:tc>
        <w:tc>
          <w:tcPr>
            <w:tcW w:w="24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40</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21</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84</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Amortization of net premiums on Floor Income Contracts in net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8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interest income for Core Earnings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20" w:type="dxa"/>
            <w:vAlign w:val="bottom"/>
            <w:gridSpan w:val="2"/>
          </w:tcPr>
          <w:p>
            <w:pPr>
              <w:spacing w:after="0" w:line="189" w:lineRule="exact"/>
              <w:rPr>
                <w:sz w:val="20"/>
                <w:szCs w:val="20"/>
                <w:color w:val="auto"/>
              </w:rPr>
            </w:pPr>
            <w:r>
              <w:rPr>
                <w:rFonts w:ascii="Arial" w:cs="Arial" w:eastAsia="Arial" w:hAnsi="Arial"/>
                <w:sz w:val="13"/>
                <w:szCs w:val="13"/>
                <w:color w:val="auto"/>
              </w:rPr>
              <w:t>Other derivative accounting adjustments</w:t>
            </w:r>
            <w:r>
              <w:rPr>
                <w:rFonts w:ascii="Arial" w:cs="Arial" w:eastAsia="Arial" w:hAnsi="Arial"/>
                <w:sz w:val="21"/>
                <w:szCs w:val="21"/>
                <w:color w:val="auto"/>
                <w:vertAlign w:val="superscript"/>
              </w:rPr>
              <w:t>(3)</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net impact of derivative accounting</w:t>
            </w: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c>
          <w:tcPr>
            <w:tcW w:w="420" w:type="dxa"/>
            <w:vAlign w:val="bottom"/>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400" w:type="dxa"/>
            <w:vAlign w:val="bottom"/>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w:t>
            </w:r>
          </w:p>
        </w:tc>
        <w:tc>
          <w:tcPr>
            <w:tcW w:w="880" w:type="dxa"/>
            <w:vAlign w:val="bottom"/>
            <w:gridSpan w:val="2"/>
            <w:shd w:val="clear" w:color="auto" w:fill="CCEEFF"/>
          </w:tcPr>
          <w:p>
            <w:pPr>
              <w:jc w:val="right"/>
              <w:ind w:right="528"/>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9690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87" w:lineRule="exact"/>
        <w:rPr>
          <w:sz w:val="20"/>
          <w:szCs w:val="20"/>
          <w:color w:val="auto"/>
        </w:rPr>
      </w:pPr>
    </w:p>
    <w:p>
      <w:pPr>
        <w:ind w:left="220" w:right="140" w:hanging="216"/>
        <w:spacing w:after="0" w:line="214" w:lineRule="auto"/>
        <w:tabs>
          <w:tab w:leader="none" w:pos="234" w:val="left"/>
        </w:tabs>
        <w:numPr>
          <w:ilvl w:val="0"/>
          <w:numId w:val="21"/>
        </w:numPr>
        <w:rPr>
          <w:rFonts w:ascii="Arial" w:cs="Arial" w:eastAsia="Arial" w:hAnsi="Arial"/>
          <w:sz w:val="24"/>
          <w:szCs w:val="24"/>
          <w:color w:val="auto"/>
          <w:vertAlign w:val="superscript"/>
        </w:rPr>
      </w:pPr>
      <w:r>
        <w:rPr>
          <w:rFonts w:ascii="Arial" w:cs="Arial" w:eastAsia="Arial" w:hAnsi="Arial"/>
          <w:sz w:val="14"/>
          <w:szCs w:val="14"/>
          <w:color w:val="auto"/>
        </w:rPr>
        <w:t>Derivative accounting requires net settlement income/expense on derivatives that do not qualify as hedges to be recorded in a separate income statement line item below net interest income. Under our Core Earnings presentation, these settlements are reclassified to the income statement line item of the economically hedged item. For our Core Earnings net interest income, this would primarily include: (a) reclassifying the net settlement amounts related to our Floor Income Contracts to education loan interest income; and (b) reclassifying the net settlement amounts related to certain of our interest rate swaps to debt interest expense. The table below summarizes these net settlements on derivative and hedging activities and the associated reclassification on a Core Earnings basis.</w:t>
      </w:r>
    </w:p>
    <w:p>
      <w:pPr>
        <w:spacing w:after="0" w:line="242" w:lineRule="exact"/>
        <w:rPr>
          <w:sz w:val="20"/>
          <w:szCs w:val="20"/>
          <w:color w:val="auto"/>
        </w:rPr>
      </w:pPr>
    </w:p>
    <w:tbl>
      <w:tblPr>
        <w:tblLayout w:type="fixed"/>
        <w:tblInd w:w="56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0" w:type="dxa"/>
            <w:vAlign w:val="bottom"/>
            <w:gridSpan w:val="4"/>
          </w:tcPr>
          <w:p>
            <w:pPr>
              <w:jc w:val="center"/>
              <w:spacing w:after="0"/>
              <w:rPr>
                <w:sz w:val="20"/>
                <w:szCs w:val="20"/>
                <w:color w:val="auto"/>
              </w:rPr>
            </w:pPr>
            <w:r>
              <w:rPr>
                <w:rFonts w:ascii="Arial" w:cs="Arial" w:eastAsia="Arial" w:hAnsi="Arial"/>
                <w:sz w:val="14"/>
                <w:szCs w:val="14"/>
                <w:b w:val="1"/>
                <w:bCs w:val="1"/>
                <w:color w:val="auto"/>
              </w:rPr>
              <w:t>QUARTERS ENDED</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YEARS ENDED</w:t>
            </w: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100" w:type="dxa"/>
            <w:vAlign w:val="bottom"/>
            <w:gridSpan w:val="2"/>
          </w:tcPr>
          <w:p>
            <w:pPr>
              <w:jc w:val="right"/>
              <w:ind w:right="1"/>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6"/>
                <w:szCs w:val="16"/>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gridSpan w:val="2"/>
          </w:tcPr>
          <w:p>
            <w:pPr>
              <w:jc w:val="right"/>
              <w:ind w:right="1"/>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6"/>
                <w:szCs w:val="16"/>
                <w:color w:val="auto"/>
              </w:rPr>
            </w:pPr>
          </w:p>
        </w:tc>
        <w:tc>
          <w:tcPr>
            <w:tcW w:w="1120" w:type="dxa"/>
            <w:vAlign w:val="bottom"/>
            <w:gridSpan w:val="2"/>
          </w:tcPr>
          <w:p>
            <w:pPr>
              <w:jc w:val="right"/>
              <w:ind w:right="22"/>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6"/>
                <w:szCs w:val="16"/>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38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center"/>
              <w:ind w:right="20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2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22"/>
              <w:spacing w:after="0"/>
              <w:rPr>
                <w:sz w:val="20"/>
                <w:szCs w:val="20"/>
                <w:color w:val="auto"/>
              </w:rPr>
            </w:pPr>
            <w:r>
              <w:rPr>
                <w:rFonts w:ascii="Arial" w:cs="Arial" w:eastAsia="Arial" w:hAnsi="Arial"/>
                <w:sz w:val="14"/>
                <w:szCs w:val="14"/>
                <w:b w:val="1"/>
                <w:bCs w:val="1"/>
                <w:color w:val="auto"/>
              </w:rPr>
              <w:t>2019</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3740" w:type="dxa"/>
            <w:vAlign w:val="bottom"/>
            <w:tcBorders>
              <w:top w:val="single" w:sz="8" w:color="auto"/>
            </w:tcBorders>
            <w:shd w:val="clear" w:color="auto" w:fill="CCEEFF"/>
          </w:tcPr>
          <w:p>
            <w:pPr>
              <w:spacing w:after="0" w:line="165" w:lineRule="exact"/>
              <w:rPr>
                <w:sz w:val="20"/>
                <w:szCs w:val="20"/>
                <w:color w:val="auto"/>
              </w:rPr>
            </w:pPr>
            <w:r>
              <w:rPr>
                <w:rFonts w:ascii="Arial" w:cs="Arial" w:eastAsia="Arial" w:hAnsi="Arial"/>
                <w:sz w:val="16"/>
                <w:szCs w:val="16"/>
                <w:b w:val="1"/>
                <w:bCs w:val="1"/>
                <w:color w:val="auto"/>
              </w:rPr>
              <w:t>Reclassification of settlements on derivative</w:t>
            </w:r>
          </w:p>
        </w:tc>
        <w:tc>
          <w:tcPr>
            <w:tcW w:w="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800" w:type="dxa"/>
            <w:vAlign w:val="bottom"/>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and hedging activities: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800" w:type="dxa"/>
            <w:vAlign w:val="bottom"/>
            <w:gridSpan w:val="2"/>
          </w:tcPr>
          <w:p>
            <w:pPr>
              <w:spacing w:after="0"/>
              <w:rPr>
                <w:sz w:val="20"/>
                <w:szCs w:val="20"/>
                <w:color w:val="auto"/>
              </w:rPr>
            </w:pPr>
            <w:r>
              <w:rPr>
                <w:rFonts w:ascii="Arial" w:cs="Arial" w:eastAsia="Arial" w:hAnsi="Arial"/>
                <w:sz w:val="16"/>
                <w:szCs w:val="16"/>
                <w:color w:val="auto"/>
              </w:rPr>
              <w:t>Net settlement expense on Floor Income Contracts</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00" w:type="dxa"/>
            <w:vAlign w:val="bottom"/>
            <w:gridSpan w:val="2"/>
          </w:tcPr>
          <w:p>
            <w:pPr>
              <w:ind w:left="220"/>
              <w:spacing w:after="0"/>
              <w:rPr>
                <w:sz w:val="20"/>
                <w:szCs w:val="20"/>
                <w:color w:val="auto"/>
              </w:rPr>
            </w:pPr>
            <w:r>
              <w:rPr>
                <w:rFonts w:ascii="Arial" w:cs="Arial" w:eastAsia="Arial" w:hAnsi="Arial"/>
                <w:sz w:val="16"/>
                <w:szCs w:val="16"/>
                <w:color w:val="auto"/>
              </w:rPr>
              <w:t>reclassified to net interest income</w:t>
            </w: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400" w:type="dxa"/>
            <w:vAlign w:val="bottom"/>
            <w:gridSpan w:val="2"/>
          </w:tcPr>
          <w:p>
            <w:pPr>
              <w:jc w:val="right"/>
              <w:ind w:right="68"/>
              <w:spacing w:after="0"/>
              <w:rPr>
                <w:sz w:val="20"/>
                <w:szCs w:val="20"/>
                <w:color w:val="auto"/>
              </w:rPr>
            </w:pPr>
            <w:r>
              <w:rPr>
                <w:rFonts w:ascii="Arial" w:cs="Arial" w:eastAsia="Arial" w:hAnsi="Arial"/>
                <w:sz w:val="16"/>
                <w:szCs w:val="16"/>
                <w:color w:val="auto"/>
              </w:rPr>
              <w:t>$</w:t>
            </w:r>
          </w:p>
        </w:tc>
        <w:tc>
          <w:tcPr>
            <w:tcW w:w="880" w:type="dxa"/>
            <w:vAlign w:val="bottom"/>
          </w:tcPr>
          <w:p>
            <w:pPr>
              <w:ind w:left="6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6"/>
                <w:szCs w:val="16"/>
                <w:color w:val="auto"/>
              </w:rPr>
            </w:pP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380" w:type="dxa"/>
            <w:vAlign w:val="bottom"/>
            <w:gridSpan w:val="2"/>
          </w:tcPr>
          <w:p>
            <w:pPr>
              <w:jc w:val="right"/>
              <w:ind w:right="48"/>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w:t>
            </w:r>
          </w:p>
        </w:tc>
        <w:tc>
          <w:tcPr>
            <w:tcW w:w="860" w:type="dxa"/>
            <w:vAlign w:val="bottom"/>
            <w:gridSpan w:val="2"/>
          </w:tcPr>
          <w:p>
            <w:pPr>
              <w:jc w:val="right"/>
              <w:ind w:right="548"/>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settlement income (expense) on interest rate</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swaps reclassified to net interest income</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800" w:type="dxa"/>
            <w:vAlign w:val="bottom"/>
            <w:gridSpan w:val="2"/>
          </w:tcPr>
          <w:p>
            <w:pPr>
              <w:spacing w:after="0"/>
              <w:rPr>
                <w:sz w:val="20"/>
                <w:szCs w:val="20"/>
                <w:color w:val="auto"/>
              </w:rPr>
            </w:pPr>
            <w:r>
              <w:rPr>
                <w:rFonts w:ascii="Arial" w:cs="Arial" w:eastAsia="Arial" w:hAnsi="Arial"/>
                <w:sz w:val="16"/>
                <w:szCs w:val="16"/>
                <w:color w:val="auto"/>
              </w:rPr>
              <w:t>Net realized gains (losses) on terminated derivative</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00" w:type="dxa"/>
            <w:vAlign w:val="bottom"/>
            <w:gridSpan w:val="2"/>
          </w:tcPr>
          <w:p>
            <w:pPr>
              <w:ind w:left="220"/>
              <w:spacing w:after="0"/>
              <w:rPr>
                <w:sz w:val="20"/>
                <w:szCs w:val="20"/>
                <w:color w:val="auto"/>
              </w:rPr>
            </w:pPr>
            <w:r>
              <w:rPr>
                <w:rFonts w:ascii="Arial" w:cs="Arial" w:eastAsia="Arial" w:hAnsi="Arial"/>
                <w:sz w:val="16"/>
                <w:szCs w:val="16"/>
                <w:color w:val="auto"/>
              </w:rPr>
              <w:t>contracts reclassified to other income</w:t>
            </w:r>
          </w:p>
        </w:tc>
        <w:tc>
          <w:tcPr>
            <w:tcW w:w="260" w:type="dxa"/>
            <w:vAlign w:val="bottom"/>
          </w:tcPr>
          <w:p>
            <w:pPr>
              <w:spacing w:after="0"/>
              <w:rPr>
                <w:sz w:val="16"/>
                <w:szCs w:val="16"/>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reclassifications of settlements on derivative</w:t>
            </w:r>
          </w:p>
        </w:tc>
        <w:tc>
          <w:tcPr>
            <w:tcW w:w="26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and hedging activities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w:t>
            </w:r>
          </w:p>
        </w:tc>
        <w:tc>
          <w:tcPr>
            <w:tcW w:w="400" w:type="dxa"/>
            <w:vAlign w:val="bottom"/>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38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860" w:type="dxa"/>
            <w:vAlign w:val="bottom"/>
            <w:gridSpan w:val="2"/>
            <w:shd w:val="clear" w:color="auto" w:fill="CCEEFF"/>
          </w:tcPr>
          <w:p>
            <w:pPr>
              <w:jc w:val="right"/>
              <w:ind w:right="548"/>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860" w:hanging="316"/>
        <w:spacing w:after="0"/>
        <w:tabs>
          <w:tab w:leader="none" w:pos="860" w:val="left"/>
        </w:tabs>
        <w:numPr>
          <w:ilvl w:val="0"/>
          <w:numId w:val="22"/>
        </w:numPr>
        <w:rPr>
          <w:rFonts w:ascii="Arial" w:cs="Arial" w:eastAsia="Arial" w:hAnsi="Arial"/>
          <w:sz w:val="24"/>
          <w:szCs w:val="24"/>
          <w:color w:val="auto"/>
          <w:vertAlign w:val="superscript"/>
        </w:rPr>
      </w:pPr>
      <w:r>
        <w:rPr>
          <w:rFonts w:ascii="Arial" w:cs="Arial" w:eastAsia="Arial" w:hAnsi="Arial"/>
          <w:sz w:val="14"/>
          <w:szCs w:val="14"/>
          <w:color w:val="auto"/>
        </w:rPr>
        <w:t>“Mark-to-market gains (losses) on derivative and hedging activities, net” is comprised of the following:</w:t>
      </w:r>
    </w:p>
    <w:p>
      <w:pPr>
        <w:spacing w:after="0" w:line="228"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40" w:type="dxa"/>
            <w:vAlign w:val="bottom"/>
            <w:gridSpan w:val="5"/>
          </w:tcPr>
          <w:p>
            <w:pPr>
              <w:ind w:left="60"/>
              <w:spacing w:after="0"/>
              <w:rPr>
                <w:sz w:val="20"/>
                <w:szCs w:val="20"/>
                <w:color w:val="auto"/>
              </w:rPr>
            </w:pPr>
            <w:r>
              <w:rPr>
                <w:rFonts w:ascii="Arial" w:cs="Arial" w:eastAsia="Arial" w:hAnsi="Arial"/>
                <w:sz w:val="14"/>
                <w:szCs w:val="14"/>
                <w:b w:val="1"/>
                <w:bCs w:val="1"/>
                <w:color w:val="auto"/>
              </w:rPr>
              <w:t>QUARTERS ENDED</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YEARS ENDED</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76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80" w:type="dxa"/>
            <w:vAlign w:val="bottom"/>
            <w:vMerge w:val="restart"/>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300" w:type="dxa"/>
            <w:vAlign w:val="bottom"/>
            <w:gridSpan w:val="4"/>
          </w:tcPr>
          <w:p>
            <w:pPr>
              <w:ind w:left="8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100" w:type="dxa"/>
            <w:vAlign w:val="bottom"/>
            <w:gridSpan w:val="2"/>
          </w:tcPr>
          <w:p>
            <w:pPr>
              <w:jc w:val="right"/>
              <w:ind w:right="22"/>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37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4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color w:val="auto"/>
              </w:rPr>
              <w:t>Floor Income Contracts</w:t>
            </w:r>
          </w:p>
        </w:tc>
        <w:tc>
          <w:tcPr>
            <w:tcW w:w="240" w:type="dxa"/>
            <w:vAlign w:val="bottom"/>
            <w:shd w:val="clear" w:color="auto" w:fill="CCEEFF"/>
          </w:tcPr>
          <w:p>
            <w:pPr>
              <w:jc w:val="right"/>
              <w:ind w:right="42"/>
              <w:spacing w:after="0" w:line="183" w:lineRule="exact"/>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0"/>
              <w:spacing w:after="0" w:line="183" w:lineRule="exact"/>
              <w:rPr>
                <w:sz w:val="20"/>
                <w:szCs w:val="20"/>
                <w:color w:val="auto"/>
              </w:rPr>
            </w:pPr>
            <w:r>
              <w:rPr>
                <w:rFonts w:ascii="Arial" w:cs="Arial" w:eastAsia="Arial" w:hAnsi="Arial"/>
                <w:sz w:val="16"/>
                <w:szCs w:val="16"/>
                <w:color w:val="auto"/>
              </w:rPr>
              <w:t>37</w:t>
            </w:r>
          </w:p>
        </w:tc>
        <w:tc>
          <w:tcPr>
            <w:tcW w:w="400" w:type="dxa"/>
            <w:vAlign w:val="bottom"/>
            <w:gridSpan w:val="2"/>
            <w:shd w:val="clear" w:color="auto" w:fill="CCEEFF"/>
          </w:tcPr>
          <w:p>
            <w:pPr>
              <w:jc w:val="right"/>
              <w:ind w:right="68"/>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2"/>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(22)</w:t>
            </w:r>
          </w:p>
        </w:tc>
        <w:tc>
          <w:tcPr>
            <w:tcW w:w="400" w:type="dxa"/>
            <w:vAlign w:val="bottom"/>
            <w:gridSpan w:val="2"/>
            <w:shd w:val="clear" w:color="auto" w:fill="CCEEFF"/>
          </w:tcPr>
          <w:p>
            <w:pPr>
              <w:jc w:val="right"/>
              <w:ind w:right="68"/>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(15)</w:t>
            </w:r>
          </w:p>
        </w:tc>
        <w:tc>
          <w:tcPr>
            <w:tcW w:w="880" w:type="dxa"/>
            <w:vAlign w:val="bottom"/>
            <w:gridSpan w:val="2"/>
            <w:shd w:val="clear" w:color="auto" w:fill="CCEEFF"/>
          </w:tcPr>
          <w:p>
            <w:pPr>
              <w:jc w:val="right"/>
              <w:ind w:right="548"/>
              <w:spacing w:after="0" w:line="183" w:lineRule="exact"/>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32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40" w:type="dxa"/>
            <w:vAlign w:val="bottom"/>
            <w:gridSpan w:val="2"/>
          </w:tcPr>
          <w:p>
            <w:pPr>
              <w:spacing w:after="0"/>
              <w:rPr>
                <w:sz w:val="20"/>
                <w:szCs w:val="20"/>
                <w:color w:val="auto"/>
              </w:rPr>
            </w:pPr>
            <w:r>
              <w:rPr>
                <w:rFonts w:ascii="Arial" w:cs="Arial" w:eastAsia="Arial" w:hAnsi="Arial"/>
                <w:sz w:val="16"/>
                <w:szCs w:val="16"/>
                <w:color w:val="auto"/>
              </w:rPr>
              <w:t>Basis swaps</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Foreign currency hedges</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65</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40" w:type="dxa"/>
            <w:vAlign w:val="bottom"/>
            <w:gridSpan w:val="2"/>
          </w:tcPr>
          <w:p>
            <w:pPr>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34</w:t>
            </w:r>
          </w:p>
        </w:tc>
        <w:tc>
          <w:tcPr>
            <w:tcW w:w="14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mark-to-market gains (losses) on derivative</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and hedging activities, net</w:t>
            </w:r>
          </w:p>
        </w:tc>
        <w:tc>
          <w:tcPr>
            <w:tcW w:w="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400" w:type="dxa"/>
            <w:vAlign w:val="bottom"/>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400" w:type="dxa"/>
            <w:vAlign w:val="bottom"/>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84</w:t>
            </w:r>
          </w:p>
        </w:tc>
        <w:tc>
          <w:tcPr>
            <w:tcW w:w="880" w:type="dxa"/>
            <w:vAlign w:val="bottom"/>
            <w:gridSpan w:val="2"/>
            <w:shd w:val="clear" w:color="auto" w:fill="CCEEFF"/>
          </w:tcPr>
          <w:p>
            <w:pPr>
              <w:jc w:val="right"/>
              <w:ind w:right="548"/>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860" w:right="100" w:hanging="316"/>
        <w:spacing w:after="0"/>
        <w:tabs>
          <w:tab w:leader="none" w:pos="860" w:val="left"/>
        </w:tabs>
        <w:numPr>
          <w:ilvl w:val="0"/>
          <w:numId w:val="23"/>
        </w:numPr>
        <w:rPr>
          <w:rFonts w:ascii="Arial" w:cs="Arial" w:eastAsia="Arial" w:hAnsi="Arial"/>
          <w:sz w:val="24"/>
          <w:szCs w:val="24"/>
          <w:color w:val="auto"/>
          <w:vertAlign w:val="superscript"/>
        </w:rPr>
      </w:pPr>
      <w:r>
        <w:rPr>
          <w:rFonts w:ascii="Arial" w:cs="Arial" w:eastAsia="Arial" w:hAnsi="Arial"/>
          <w:sz w:val="14"/>
          <w:szCs w:val="14"/>
          <w:color w:val="auto"/>
        </w:rPr>
        <w:t>Other derivative accounting adjustments consist of adjustments related to: (1) foreign currency denominated debt that is adjusted to spot foreign exchange rates for GAAP where such adjustments are reversed for Core Earnings and (2) certain terminated derivatives that did not receive hedge accounting treatment under GAAP but were economic hedges under Core Earnings and, as a result, such gains or losses are amortized into Core Earnings over the life of the hedged item.</w:t>
      </w:r>
    </w:p>
    <w:p>
      <w:pPr>
        <w:spacing w:after="0" w:line="188" w:lineRule="exact"/>
        <w:rPr>
          <w:sz w:val="20"/>
          <w:szCs w:val="20"/>
          <w:color w:val="auto"/>
        </w:rPr>
      </w:pPr>
    </w:p>
    <w:p>
      <w:pPr>
        <w:ind w:left="1078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040"/>
          </w:cols>
          <w:pgMar w:left="440" w:top="287" w:right="419" w:bottom="1440" w:gutter="0" w:footer="0" w:header="0"/>
        </w:sectPr>
      </w:pPr>
    </w:p>
    <w:bookmarkStart w:id="24" w:name="page25"/>
    <w:bookmarkEnd w:id="24"/>
    <w:p>
      <w:pPr>
        <w:ind w:left="22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Cumulative Impact of Derivative Accounting under GAAP compared to Core Earnings</w:t>
      </w:r>
    </w:p>
    <w:p>
      <w:pPr>
        <w:spacing w:after="0" w:line="122" w:lineRule="exact"/>
        <w:rPr>
          <w:sz w:val="20"/>
          <w:szCs w:val="20"/>
          <w:color w:val="auto"/>
        </w:rPr>
      </w:pPr>
    </w:p>
    <w:p>
      <w:pPr>
        <w:ind w:left="220" w:right="60"/>
        <w:spacing w:after="0" w:line="239" w:lineRule="auto"/>
        <w:rPr>
          <w:sz w:val="20"/>
          <w:szCs w:val="20"/>
          <w:color w:val="auto"/>
        </w:rPr>
      </w:pPr>
      <w:r>
        <w:rPr>
          <w:rFonts w:ascii="Arial" w:cs="Arial" w:eastAsia="Arial" w:hAnsi="Arial"/>
          <w:sz w:val="18"/>
          <w:szCs w:val="18"/>
          <w:color w:val="auto"/>
        </w:rPr>
        <w:t>As of December 31, 2019, derivative accounting has decreased GAAP equity by approximately $235 million as a result of cumulative net mark-to-market losses (after tax) recognized under GAAP, but not under Core Earnings. The following table rolls forward the cumulative impact to GAAP equity due to these after-tax mark-to-market net gains and losses related to derivative accounting.</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rPr>
              <w:t>QUARTERS ENDED</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rPr>
              <w:t>YEARS ENDED</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10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8"/>
                <w:szCs w:val="18"/>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8"/>
                <w:szCs w:val="18"/>
                <w:color w:val="auto"/>
              </w:rPr>
            </w:pPr>
          </w:p>
        </w:tc>
        <w:tc>
          <w:tcPr>
            <w:tcW w:w="1120" w:type="dxa"/>
            <w:vAlign w:val="bottom"/>
            <w:gridSpan w:val="2"/>
          </w:tcPr>
          <w:p>
            <w:pPr>
              <w:jc w:val="right"/>
              <w:ind w:right="17"/>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8"/>
                <w:szCs w:val="18"/>
                <w:color w:val="auto"/>
              </w:rPr>
            </w:pPr>
          </w:p>
        </w:tc>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5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center"/>
              <w:ind w:right="21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317"/>
              <w:spacing w:after="0"/>
              <w:rPr>
                <w:sz w:val="20"/>
                <w:szCs w:val="20"/>
                <w:color w:val="auto"/>
              </w:rPr>
            </w:pPr>
            <w:r>
              <w:rPr>
                <w:rFonts w:ascii="Arial" w:cs="Arial" w:eastAsia="Arial" w:hAnsi="Arial"/>
                <w:sz w:val="14"/>
                <w:szCs w:val="14"/>
                <w:b w:val="1"/>
                <w:bCs w:val="1"/>
                <w:color w:val="auto"/>
              </w:rPr>
              <w:t>2019</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9"/>
              </w:rPr>
              <w:t>Beginning impact of derivative</w:t>
            </w: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gridSpan w:val="2"/>
            <w:shd w:val="clear" w:color="auto" w:fill="CCEEFF"/>
          </w:tcPr>
          <w:p>
            <w:pPr>
              <w:ind w:left="180"/>
              <w:spacing w:after="0" w:line="203" w:lineRule="exact"/>
              <w:rPr>
                <w:sz w:val="20"/>
                <w:szCs w:val="20"/>
                <w:color w:val="auto"/>
              </w:rPr>
            </w:pPr>
            <w:r>
              <w:rPr>
                <w:rFonts w:ascii="Arial" w:cs="Arial" w:eastAsia="Arial" w:hAnsi="Arial"/>
                <w:sz w:val="18"/>
                <w:szCs w:val="18"/>
                <w:color w:val="auto"/>
              </w:rPr>
              <w:t>accounting on GAAP equity</w:t>
            </w:r>
          </w:p>
        </w:tc>
        <w:tc>
          <w:tcPr>
            <w:tcW w:w="260" w:type="dxa"/>
            <w:vAlign w:val="bottom"/>
            <w:shd w:val="clear" w:color="auto" w:fill="CCEEFF"/>
          </w:tcPr>
          <w:p>
            <w:pPr>
              <w:jc w:val="right"/>
              <w:ind w:right="36"/>
              <w:spacing w:after="0" w:line="203"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(289)</w:t>
            </w:r>
          </w:p>
        </w:tc>
        <w:tc>
          <w:tcPr>
            <w:tcW w:w="400" w:type="dxa"/>
            <w:vAlign w:val="bottom"/>
            <w:gridSpan w:val="2"/>
            <w:shd w:val="clear" w:color="auto" w:fill="CCEEFF"/>
          </w:tcPr>
          <w:p>
            <w:pPr>
              <w:jc w:val="right"/>
              <w:ind w:right="68"/>
              <w:spacing w:after="0" w:line="203"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36"/>
              <w:spacing w:after="0" w:line="203"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4"/>
              <w:spacing w:after="0" w:line="203" w:lineRule="exact"/>
              <w:rPr>
                <w:sz w:val="20"/>
                <w:szCs w:val="20"/>
                <w:color w:val="auto"/>
              </w:rPr>
            </w:pPr>
            <w:r>
              <w:rPr>
                <w:rFonts w:ascii="Arial" w:cs="Arial" w:eastAsia="Arial" w:hAnsi="Arial"/>
                <w:sz w:val="18"/>
                <w:szCs w:val="18"/>
                <w:color w:val="auto"/>
              </w:rPr>
              <w:t>125</w:t>
            </w:r>
          </w:p>
        </w:tc>
        <w:tc>
          <w:tcPr>
            <w:tcW w:w="540" w:type="dxa"/>
            <w:vAlign w:val="bottom"/>
            <w:gridSpan w:val="2"/>
            <w:shd w:val="clear" w:color="auto" w:fill="CCEEFF"/>
          </w:tcPr>
          <w:p>
            <w:pPr>
              <w:jc w:val="right"/>
              <w:ind w:right="68"/>
              <w:spacing w:after="0" w:line="203"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(34)</w:t>
            </w:r>
          </w:p>
        </w:tc>
        <w:tc>
          <w:tcPr>
            <w:tcW w:w="840" w:type="dxa"/>
            <w:vAlign w:val="bottom"/>
            <w:gridSpan w:val="2"/>
            <w:shd w:val="clear" w:color="auto" w:fill="CCEEFF"/>
          </w:tcPr>
          <w:p>
            <w:pPr>
              <w:jc w:val="right"/>
              <w:ind w:right="508"/>
              <w:spacing w:after="0" w:line="203"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2"/>
          </w:tcPr>
          <w:p>
            <w:pPr>
              <w:spacing w:after="0" w:line="201" w:lineRule="exact"/>
              <w:rPr>
                <w:sz w:val="20"/>
                <w:szCs w:val="20"/>
                <w:color w:val="auto"/>
              </w:rPr>
            </w:pPr>
            <w:r>
              <w:rPr>
                <w:rFonts w:ascii="Arial" w:cs="Arial" w:eastAsia="Arial" w:hAnsi="Arial"/>
                <w:sz w:val="18"/>
                <w:szCs w:val="18"/>
                <w:color w:val="auto"/>
              </w:rPr>
              <w:t>Net impact of net</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mark-to-market gains</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2"/>
          </w:tcPr>
          <w:p>
            <w:pPr>
              <w:ind w:left="180"/>
              <w:spacing w:after="0" w:line="200" w:lineRule="exact"/>
              <w:rPr>
                <w:sz w:val="20"/>
                <w:szCs w:val="20"/>
                <w:color w:val="auto"/>
              </w:rPr>
            </w:pPr>
            <w:r>
              <w:rPr>
                <w:rFonts w:ascii="Arial" w:cs="Arial" w:eastAsia="Arial" w:hAnsi="Arial"/>
                <w:sz w:val="18"/>
                <w:szCs w:val="18"/>
                <w:color w:val="auto"/>
              </w:rPr>
              <w:t>(losses) under derivative</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00" w:type="dxa"/>
            <w:vAlign w:val="bottom"/>
            <w:gridSpan w:val="2"/>
          </w:tcPr>
          <w:p>
            <w:pPr>
              <w:ind w:left="180"/>
              <w:spacing w:after="0"/>
              <w:rPr>
                <w:sz w:val="20"/>
                <w:szCs w:val="20"/>
                <w:color w:val="auto"/>
              </w:rPr>
            </w:pPr>
            <w:r>
              <w:rPr>
                <w:rFonts w:ascii="Arial" w:cs="Arial" w:eastAsia="Arial" w:hAnsi="Arial"/>
                <w:sz w:val="18"/>
                <w:szCs w:val="18"/>
                <w:color w:val="auto"/>
              </w:rPr>
              <w:t>accounting</w:t>
            </w:r>
            <w:r>
              <w:rPr>
                <w:rFonts w:ascii="Arial" w:cs="Arial" w:eastAsia="Arial" w:hAnsi="Arial"/>
                <w:sz w:val="15"/>
                <w:szCs w:val="15"/>
                <w:color w:val="auto"/>
              </w:rPr>
              <w:t>(1)</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Ending impact of derivative</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gridSpan w:val="2"/>
            <w:shd w:val="clear" w:color="auto" w:fill="CCEEFF"/>
          </w:tcPr>
          <w:p>
            <w:pPr>
              <w:ind w:left="180"/>
              <w:spacing w:after="0" w:line="203" w:lineRule="exact"/>
              <w:rPr>
                <w:sz w:val="20"/>
                <w:szCs w:val="20"/>
                <w:color w:val="auto"/>
              </w:rPr>
            </w:pPr>
            <w:r>
              <w:rPr>
                <w:rFonts w:ascii="Arial" w:cs="Arial" w:eastAsia="Arial" w:hAnsi="Arial"/>
                <w:sz w:val="18"/>
                <w:szCs w:val="18"/>
                <w:color w:val="auto"/>
              </w:rPr>
              <w:t>accounting on GAAP equity</w:t>
            </w:r>
          </w:p>
        </w:tc>
        <w:tc>
          <w:tcPr>
            <w:tcW w:w="260" w:type="dxa"/>
            <w:vAlign w:val="bottom"/>
            <w:shd w:val="clear" w:color="auto" w:fill="CCEEFF"/>
          </w:tcPr>
          <w:p>
            <w:pPr>
              <w:jc w:val="right"/>
              <w:ind w:right="36"/>
              <w:spacing w:after="0" w:line="203"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(235)</w:t>
            </w:r>
          </w:p>
        </w:tc>
        <w:tc>
          <w:tcPr>
            <w:tcW w:w="400" w:type="dxa"/>
            <w:vAlign w:val="bottom"/>
            <w:gridSpan w:val="2"/>
            <w:shd w:val="clear" w:color="auto" w:fill="CCEEFF"/>
          </w:tcPr>
          <w:p>
            <w:pPr>
              <w:jc w:val="right"/>
              <w:ind w:right="68"/>
              <w:spacing w:after="0" w:line="203"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36"/>
              <w:spacing w:after="0" w:line="203"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(34)</w:t>
            </w:r>
          </w:p>
        </w:tc>
        <w:tc>
          <w:tcPr>
            <w:tcW w:w="540" w:type="dxa"/>
            <w:vAlign w:val="bottom"/>
            <w:gridSpan w:val="2"/>
            <w:shd w:val="clear" w:color="auto" w:fill="CCEEFF"/>
          </w:tcPr>
          <w:p>
            <w:pPr>
              <w:jc w:val="right"/>
              <w:ind w:right="68"/>
              <w:spacing w:after="0" w:line="203"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(235)</w:t>
            </w:r>
          </w:p>
        </w:tc>
        <w:tc>
          <w:tcPr>
            <w:tcW w:w="840" w:type="dxa"/>
            <w:vAlign w:val="bottom"/>
            <w:gridSpan w:val="2"/>
            <w:shd w:val="clear" w:color="auto" w:fill="CCEEFF"/>
          </w:tcPr>
          <w:p>
            <w:pPr>
              <w:jc w:val="right"/>
              <w:ind w:right="508"/>
              <w:spacing w:after="0" w:line="203"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(34)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94615</wp:posOffset>
            </wp:positionV>
            <wp:extent cx="7715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84" w:lineRule="exact"/>
        <w:rPr>
          <w:sz w:val="20"/>
          <w:szCs w:val="20"/>
          <w:color w:val="auto"/>
        </w:rPr>
      </w:pPr>
    </w:p>
    <w:p>
      <w:pPr>
        <w:ind w:left="340" w:hanging="229"/>
        <w:spacing w:after="0"/>
        <w:tabs>
          <w:tab w:leader="none" w:pos="340" w:val="left"/>
        </w:tabs>
        <w:numPr>
          <w:ilvl w:val="0"/>
          <w:numId w:val="24"/>
        </w:numPr>
        <w:rPr>
          <w:rFonts w:ascii="Arial" w:cs="Arial" w:eastAsia="Arial" w:hAnsi="Arial"/>
          <w:sz w:val="24"/>
          <w:szCs w:val="24"/>
          <w:color w:val="auto"/>
          <w:vertAlign w:val="superscript"/>
        </w:rPr>
      </w:pPr>
      <w:r>
        <w:rPr>
          <w:rFonts w:ascii="Arial" w:cs="Arial" w:eastAsia="Arial" w:hAnsi="Arial"/>
          <w:sz w:val="14"/>
          <w:szCs w:val="14"/>
          <w:color w:val="auto"/>
        </w:rPr>
        <w:t>Net impact of net mark-to-market gains (losses) under derivative accounting is composed of the following:</w:t>
      </w:r>
    </w:p>
    <w:p>
      <w:pPr>
        <w:spacing w:after="0" w:line="24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1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rPr>
              <w:t>QUARTERS ENDED</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YEARS ENDED</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100" w:type="dxa"/>
            <w:vAlign w:val="bottom"/>
            <w:gridSpan w:val="2"/>
          </w:tcPr>
          <w:p>
            <w:pPr>
              <w:jc w:val="right"/>
              <w:ind w:right="4"/>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6"/>
                <w:szCs w:val="16"/>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gridSpan w:val="2"/>
          </w:tcPr>
          <w:p>
            <w:pPr>
              <w:jc w:val="right"/>
              <w:ind w:right="24"/>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16"/>
                <w:szCs w:val="16"/>
                <w:color w:val="auto"/>
              </w:rPr>
            </w:pPr>
          </w:p>
        </w:tc>
        <w:tc>
          <w:tcPr>
            <w:tcW w:w="1100" w:type="dxa"/>
            <w:vAlign w:val="bottom"/>
            <w:gridSpan w:val="2"/>
          </w:tcPr>
          <w:p>
            <w:pPr>
              <w:jc w:val="right"/>
              <w:ind w:right="25"/>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6"/>
                <w:szCs w:val="16"/>
                <w:color w:val="auto"/>
              </w:rPr>
            </w:pPr>
          </w:p>
        </w:tc>
        <w:tc>
          <w:tcPr>
            <w:tcW w:w="11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18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24"/>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center"/>
              <w:ind w:right="204"/>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24"/>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25"/>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jc w:val="right"/>
              <w:ind w:right="324"/>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680" w:type="dxa"/>
            <w:vAlign w:val="bottom"/>
            <w:tcBorders>
              <w:top w:val="single" w:sz="8" w:color="auto"/>
            </w:tcBorders>
            <w:shd w:val="clear" w:color="auto" w:fill="CCEEFF"/>
          </w:tcPr>
          <w:p>
            <w:pPr>
              <w:spacing w:after="0" w:line="152" w:lineRule="exact"/>
              <w:rPr>
                <w:sz w:val="20"/>
                <w:szCs w:val="20"/>
                <w:color w:val="auto"/>
              </w:rPr>
            </w:pPr>
            <w:r>
              <w:rPr>
                <w:rFonts w:ascii="Arial" w:cs="Arial" w:eastAsia="Arial" w:hAnsi="Arial"/>
                <w:sz w:val="15"/>
                <w:szCs w:val="15"/>
                <w:color w:val="auto"/>
              </w:rPr>
              <w:t>Total pre-tax net impact</w:t>
            </w:r>
          </w:p>
        </w:tc>
        <w:tc>
          <w:tcPr>
            <w:tcW w:w="1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60" w:type="dxa"/>
            <w:vAlign w:val="bottom"/>
            <w:gridSpan w:val="2"/>
            <w:shd w:val="clear" w:color="auto" w:fill="CCEEFF"/>
          </w:tcPr>
          <w:p>
            <w:pPr>
              <w:ind w:left="200"/>
              <w:spacing w:after="0" w:line="162" w:lineRule="exact"/>
              <w:rPr>
                <w:sz w:val="20"/>
                <w:szCs w:val="20"/>
                <w:color w:val="auto"/>
              </w:rPr>
            </w:pPr>
            <w:r>
              <w:rPr>
                <w:rFonts w:ascii="Arial" w:cs="Arial" w:eastAsia="Arial" w:hAnsi="Arial"/>
                <w:sz w:val="15"/>
                <w:szCs w:val="15"/>
                <w:color w:val="auto"/>
              </w:rPr>
              <w:t>of derivative</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gridSpan w:val="2"/>
            <w:shd w:val="clear" w:color="auto" w:fill="CCEEFF"/>
          </w:tcPr>
          <w:p>
            <w:pPr>
              <w:ind w:left="200"/>
              <w:spacing w:after="0" w:line="162" w:lineRule="exact"/>
              <w:rPr>
                <w:sz w:val="20"/>
                <w:szCs w:val="20"/>
                <w:color w:val="auto"/>
              </w:rPr>
            </w:pPr>
            <w:r>
              <w:rPr>
                <w:rFonts w:ascii="Arial" w:cs="Arial" w:eastAsia="Arial" w:hAnsi="Arial"/>
                <w:sz w:val="15"/>
                <w:szCs w:val="15"/>
                <w:color w:val="auto"/>
              </w:rPr>
              <w:t>accounting</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gridSpan w:val="2"/>
            <w:shd w:val="clear" w:color="auto" w:fill="CCEEFF"/>
          </w:tcPr>
          <w:p>
            <w:pPr>
              <w:ind w:left="200"/>
              <w:spacing w:after="0" w:line="162" w:lineRule="exact"/>
              <w:rPr>
                <w:sz w:val="20"/>
                <w:szCs w:val="20"/>
                <w:color w:val="auto"/>
              </w:rPr>
            </w:pPr>
            <w:r>
              <w:rPr>
                <w:rFonts w:ascii="Arial" w:cs="Arial" w:eastAsia="Arial" w:hAnsi="Arial"/>
                <w:sz w:val="15"/>
                <w:szCs w:val="15"/>
                <w:color w:val="auto"/>
              </w:rPr>
              <w:t>recognized in net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860" w:type="dxa"/>
            <w:vAlign w:val="bottom"/>
            <w:gridSpan w:val="2"/>
            <w:shd w:val="clear" w:color="auto" w:fill="CCEEFF"/>
          </w:tcPr>
          <w:p>
            <w:pPr>
              <w:ind w:left="200"/>
              <w:spacing w:after="0" w:line="166" w:lineRule="exact"/>
              <w:rPr>
                <w:sz w:val="20"/>
                <w:szCs w:val="20"/>
                <w:color w:val="auto"/>
              </w:rPr>
            </w:pPr>
            <w:r>
              <w:rPr>
                <w:rFonts w:ascii="Arial" w:cs="Arial" w:eastAsia="Arial" w:hAnsi="Arial"/>
                <w:sz w:val="15"/>
                <w:szCs w:val="15"/>
                <w:color w:val="auto"/>
              </w:rPr>
              <w:t>income</w:t>
            </w:r>
            <w:r>
              <w:rPr>
                <w:rFonts w:ascii="Arial" w:cs="Arial" w:eastAsia="Arial" w:hAnsi="Arial"/>
                <w:sz w:val="13"/>
                <w:szCs w:val="13"/>
                <w:color w:val="auto"/>
              </w:rPr>
              <w:t>(a)</w:t>
            </w:r>
          </w:p>
        </w:tc>
        <w:tc>
          <w:tcPr>
            <w:tcW w:w="260" w:type="dxa"/>
            <w:vAlign w:val="bottom"/>
            <w:shd w:val="clear" w:color="auto" w:fill="CCEEFF"/>
          </w:tcPr>
          <w:p>
            <w:pPr>
              <w:jc w:val="right"/>
              <w:ind w:right="65"/>
              <w:spacing w:after="0" w:line="166" w:lineRule="exact"/>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ind w:right="4"/>
              <w:spacing w:after="0" w:line="166" w:lineRule="exact"/>
              <w:rPr>
                <w:sz w:val="20"/>
                <w:szCs w:val="20"/>
                <w:color w:val="auto"/>
              </w:rPr>
            </w:pPr>
            <w:r>
              <w:rPr>
                <w:rFonts w:ascii="Arial" w:cs="Arial" w:eastAsia="Arial" w:hAnsi="Arial"/>
                <w:sz w:val="15"/>
                <w:szCs w:val="15"/>
                <w:color w:val="auto"/>
              </w:rPr>
              <w:t>27</w:t>
            </w:r>
          </w:p>
        </w:tc>
        <w:tc>
          <w:tcPr>
            <w:tcW w:w="520" w:type="dxa"/>
            <w:vAlign w:val="bottom"/>
            <w:gridSpan w:val="2"/>
            <w:shd w:val="clear" w:color="auto" w:fill="CCEEFF"/>
          </w:tcPr>
          <w:p>
            <w:pPr>
              <w:jc w:val="right"/>
              <w:ind w:right="68"/>
              <w:spacing w:after="0" w:line="166" w:lineRule="exact"/>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24"/>
              <w:spacing w:after="0" w:line="166" w:lineRule="exact"/>
              <w:rPr>
                <w:sz w:val="20"/>
                <w:szCs w:val="20"/>
                <w:color w:val="auto"/>
              </w:rPr>
            </w:pPr>
            <w:r>
              <w:rPr>
                <w:rFonts w:ascii="Arial" w:cs="Arial" w:eastAsia="Arial" w:hAnsi="Arial"/>
                <w:sz w:val="15"/>
                <w:szCs w:val="15"/>
                <w:color w:val="auto"/>
              </w:rPr>
              <w:t>7</w:t>
            </w: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65"/>
              <w:spacing w:after="0" w:line="166"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(59)</w:t>
            </w:r>
          </w:p>
        </w:tc>
        <w:tc>
          <w:tcPr>
            <w:tcW w:w="780" w:type="dxa"/>
            <w:vAlign w:val="bottom"/>
            <w:gridSpan w:val="2"/>
            <w:shd w:val="clear" w:color="auto" w:fill="CCEEFF"/>
          </w:tcPr>
          <w:p>
            <w:pPr>
              <w:jc w:val="right"/>
              <w:ind w:right="48"/>
              <w:spacing w:after="0" w:line="166"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5"/>
              <w:spacing w:after="0" w:line="166" w:lineRule="exact"/>
              <w:rPr>
                <w:sz w:val="20"/>
                <w:szCs w:val="20"/>
                <w:color w:val="auto"/>
              </w:rPr>
            </w:pPr>
            <w:r>
              <w:rPr>
                <w:rFonts w:ascii="Arial" w:cs="Arial" w:eastAsia="Arial" w:hAnsi="Arial"/>
                <w:sz w:val="15"/>
                <w:szCs w:val="15"/>
                <w:color w:val="auto"/>
              </w:rPr>
              <w:t>5</w:t>
            </w:r>
          </w:p>
        </w:tc>
        <w:tc>
          <w:tcPr>
            <w:tcW w:w="640" w:type="dxa"/>
            <w:vAlign w:val="bottom"/>
            <w:gridSpan w:val="2"/>
            <w:shd w:val="clear" w:color="auto" w:fill="CCEEFF"/>
          </w:tcPr>
          <w:p>
            <w:pPr>
              <w:jc w:val="right"/>
              <w:ind w:right="188"/>
              <w:spacing w:after="0" w:line="166" w:lineRule="exact"/>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center"/>
              <w:ind w:left="284"/>
              <w:spacing w:after="0" w:line="166" w:lineRule="exact"/>
              <w:rPr>
                <w:sz w:val="20"/>
                <w:szCs w:val="20"/>
                <w:color w:val="auto"/>
              </w:rPr>
            </w:pPr>
            <w:r>
              <w:rPr>
                <w:rFonts w:ascii="Arial" w:cs="Arial" w:eastAsia="Arial" w:hAnsi="Arial"/>
                <w:sz w:val="15"/>
                <w:szCs w:val="15"/>
                <w:color w:val="auto"/>
              </w:rPr>
              <w:t>(90)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860" w:type="dxa"/>
            <w:vAlign w:val="bottom"/>
            <w:gridSpan w:val="2"/>
          </w:tcPr>
          <w:p>
            <w:pPr>
              <w:spacing w:after="0" w:line="159" w:lineRule="exact"/>
              <w:rPr>
                <w:sz w:val="20"/>
                <w:szCs w:val="20"/>
                <w:color w:val="auto"/>
              </w:rPr>
            </w:pPr>
            <w:r>
              <w:rPr>
                <w:rFonts w:ascii="Arial" w:cs="Arial" w:eastAsia="Arial" w:hAnsi="Arial"/>
                <w:sz w:val="15"/>
                <w:szCs w:val="15"/>
                <w:color w:val="auto"/>
              </w:rPr>
              <w:t>Tax impact of derivative</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60" w:type="dxa"/>
            <w:vAlign w:val="bottom"/>
            <w:gridSpan w:val="2"/>
          </w:tcPr>
          <w:p>
            <w:pPr>
              <w:ind w:left="200"/>
              <w:spacing w:after="0" w:line="162" w:lineRule="exact"/>
              <w:rPr>
                <w:sz w:val="20"/>
                <w:szCs w:val="20"/>
                <w:color w:val="auto"/>
              </w:rPr>
            </w:pPr>
            <w:r>
              <w:rPr>
                <w:rFonts w:ascii="Arial" w:cs="Arial" w:eastAsia="Arial" w:hAnsi="Arial"/>
                <w:sz w:val="15"/>
                <w:szCs w:val="15"/>
                <w:color w:val="auto"/>
              </w:rPr>
              <w:t>accounting</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gridSpan w:val="2"/>
          </w:tcPr>
          <w:p>
            <w:pPr>
              <w:ind w:left="200"/>
              <w:spacing w:after="0" w:line="162" w:lineRule="exact"/>
              <w:rPr>
                <w:sz w:val="20"/>
                <w:szCs w:val="20"/>
                <w:color w:val="auto"/>
              </w:rPr>
            </w:pPr>
            <w:r>
              <w:rPr>
                <w:rFonts w:ascii="Arial" w:cs="Arial" w:eastAsia="Arial" w:hAnsi="Arial"/>
                <w:sz w:val="15"/>
                <w:szCs w:val="15"/>
                <w:color w:val="auto"/>
              </w:rPr>
              <w:t>adjustment</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gridSpan w:val="2"/>
          </w:tcPr>
          <w:p>
            <w:pPr>
              <w:ind w:left="200"/>
              <w:spacing w:after="0" w:line="162" w:lineRule="exact"/>
              <w:rPr>
                <w:sz w:val="20"/>
                <w:szCs w:val="20"/>
                <w:color w:val="auto"/>
              </w:rPr>
            </w:pPr>
            <w:r>
              <w:rPr>
                <w:rFonts w:ascii="Arial" w:cs="Arial" w:eastAsia="Arial" w:hAnsi="Arial"/>
                <w:sz w:val="15"/>
                <w:szCs w:val="15"/>
                <w:color w:val="auto"/>
              </w:rPr>
              <w:t>recognized in net</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860" w:type="dxa"/>
            <w:vAlign w:val="bottom"/>
            <w:gridSpan w:val="2"/>
          </w:tcPr>
          <w:p>
            <w:pPr>
              <w:ind w:left="200"/>
              <w:spacing w:after="0" w:line="166" w:lineRule="exact"/>
              <w:rPr>
                <w:sz w:val="20"/>
                <w:szCs w:val="20"/>
                <w:color w:val="auto"/>
              </w:rPr>
            </w:pPr>
            <w:r>
              <w:rPr>
                <w:rFonts w:ascii="Arial" w:cs="Arial" w:eastAsia="Arial" w:hAnsi="Arial"/>
                <w:sz w:val="15"/>
                <w:szCs w:val="15"/>
                <w:color w:val="auto"/>
              </w:rPr>
              <w:t>income</w:t>
            </w:r>
          </w:p>
        </w:tc>
        <w:tc>
          <w:tcPr>
            <w:tcW w:w="260" w:type="dxa"/>
            <w:vAlign w:val="bottom"/>
          </w:tcPr>
          <w:p>
            <w:pPr>
              <w:spacing w:after="0"/>
              <w:rPr>
                <w:sz w:val="14"/>
                <w:szCs w:val="14"/>
                <w:color w:val="auto"/>
              </w:rPr>
            </w:pPr>
          </w:p>
        </w:tc>
        <w:tc>
          <w:tcPr>
            <w:tcW w:w="840" w:type="dxa"/>
            <w:vAlign w:val="bottom"/>
          </w:tcPr>
          <w:p>
            <w:pPr>
              <w:jc w:val="right"/>
              <w:spacing w:after="0" w:line="166" w:lineRule="exact"/>
              <w:rPr>
                <w:sz w:val="20"/>
                <w:szCs w:val="20"/>
                <w:color w:val="auto"/>
              </w:rPr>
            </w:pPr>
            <w:r>
              <w:rPr>
                <w:rFonts w:ascii="Arial" w:cs="Arial" w:eastAsia="Arial" w:hAnsi="Arial"/>
                <w:sz w:val="15"/>
                <w:szCs w:val="15"/>
                <w:color w:val="auto"/>
              </w:rPr>
              <w:t>(7)</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line="166" w:lineRule="exact"/>
              <w:rPr>
                <w:sz w:val="20"/>
                <w:szCs w:val="20"/>
                <w:color w:val="auto"/>
              </w:rPr>
            </w:pPr>
            <w:r>
              <w:rPr>
                <w:rFonts w:ascii="Arial" w:cs="Arial" w:eastAsia="Arial" w:hAnsi="Arial"/>
                <w:sz w:val="15"/>
                <w:szCs w:val="15"/>
                <w:color w:val="auto"/>
              </w:rPr>
              <w:t>(2)</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24"/>
              <w:spacing w:after="0" w:line="166" w:lineRule="exact"/>
              <w:rPr>
                <w:sz w:val="20"/>
                <w:szCs w:val="20"/>
                <w:color w:val="auto"/>
              </w:rPr>
            </w:pPr>
            <w:r>
              <w:rPr>
                <w:rFonts w:ascii="Arial" w:cs="Arial" w:eastAsia="Arial" w:hAnsi="Arial"/>
                <w:sz w:val="15"/>
                <w:szCs w:val="15"/>
                <w:color w:val="auto"/>
              </w:rPr>
              <w:t>15</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66" w:lineRule="exact"/>
              <w:rPr>
                <w:sz w:val="20"/>
                <w:szCs w:val="20"/>
                <w:color w:val="auto"/>
              </w:rPr>
            </w:pPr>
            <w:r>
              <w:rPr>
                <w:rFonts w:ascii="Arial" w:cs="Arial" w:eastAsia="Arial" w:hAnsi="Arial"/>
                <w:sz w:val="15"/>
                <w:szCs w:val="15"/>
                <w:color w:val="auto"/>
              </w:rPr>
              <w:t>(2)</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center"/>
              <w:ind w:left="304"/>
              <w:spacing w:after="0" w:line="166" w:lineRule="exact"/>
              <w:rPr>
                <w:sz w:val="20"/>
                <w:szCs w:val="20"/>
                <w:color w:val="auto"/>
              </w:rPr>
            </w:pPr>
            <w:r>
              <w:rPr>
                <w:rFonts w:ascii="Arial" w:cs="Arial" w:eastAsia="Arial" w:hAnsi="Arial"/>
                <w:sz w:val="15"/>
                <w:szCs w:val="15"/>
                <w:color w:val="auto"/>
              </w:rPr>
              <w:t>12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860" w:type="dxa"/>
            <w:vAlign w:val="bottom"/>
            <w:gridSpan w:val="2"/>
            <w:shd w:val="clear" w:color="auto" w:fill="CCEEFF"/>
          </w:tcPr>
          <w:p>
            <w:pPr>
              <w:spacing w:after="0" w:line="159" w:lineRule="exact"/>
              <w:rPr>
                <w:sz w:val="20"/>
                <w:szCs w:val="20"/>
                <w:color w:val="auto"/>
              </w:rPr>
            </w:pPr>
            <w:r>
              <w:rPr>
                <w:rFonts w:ascii="Arial" w:cs="Arial" w:eastAsia="Arial" w:hAnsi="Arial"/>
                <w:sz w:val="15"/>
                <w:szCs w:val="15"/>
                <w:color w:val="auto"/>
              </w:rPr>
              <w:t>Change in</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60" w:type="dxa"/>
            <w:vAlign w:val="bottom"/>
            <w:gridSpan w:val="2"/>
            <w:shd w:val="clear" w:color="auto" w:fill="CCEEFF"/>
          </w:tcPr>
          <w:p>
            <w:pPr>
              <w:ind w:left="200"/>
              <w:spacing w:after="0" w:line="162" w:lineRule="exact"/>
              <w:rPr>
                <w:sz w:val="20"/>
                <w:szCs w:val="20"/>
                <w:color w:val="auto"/>
              </w:rPr>
            </w:pPr>
            <w:r>
              <w:rPr>
                <w:rFonts w:ascii="Arial" w:cs="Arial" w:eastAsia="Arial" w:hAnsi="Arial"/>
                <w:sz w:val="15"/>
                <w:szCs w:val="15"/>
                <w:color w:val="auto"/>
              </w:rPr>
              <w:t>mark-to-market gains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gridSpan w:val="2"/>
            <w:shd w:val="clear" w:color="auto" w:fill="CCEEFF"/>
          </w:tcPr>
          <w:p>
            <w:pPr>
              <w:ind w:left="200"/>
              <w:spacing w:after="0" w:line="162" w:lineRule="exact"/>
              <w:rPr>
                <w:sz w:val="20"/>
                <w:szCs w:val="20"/>
                <w:color w:val="auto"/>
              </w:rPr>
            </w:pPr>
            <w:r>
              <w:rPr>
                <w:rFonts w:ascii="Arial" w:cs="Arial" w:eastAsia="Arial" w:hAnsi="Arial"/>
                <w:sz w:val="15"/>
                <w:szCs w:val="15"/>
                <w:color w:val="auto"/>
              </w:rPr>
              <w:t>(losses) on</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gridSpan w:val="2"/>
            <w:shd w:val="clear" w:color="auto" w:fill="CCEEFF"/>
          </w:tcPr>
          <w:p>
            <w:pPr>
              <w:ind w:left="200"/>
              <w:spacing w:after="0" w:line="162" w:lineRule="exact"/>
              <w:rPr>
                <w:sz w:val="20"/>
                <w:szCs w:val="20"/>
                <w:color w:val="auto"/>
              </w:rPr>
            </w:pPr>
            <w:r>
              <w:rPr>
                <w:rFonts w:ascii="Arial" w:cs="Arial" w:eastAsia="Arial" w:hAnsi="Arial"/>
                <w:sz w:val="15"/>
                <w:szCs w:val="15"/>
                <w:color w:val="auto"/>
              </w:rPr>
              <w:t>derivatives, net of tax</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gridSpan w:val="2"/>
            <w:shd w:val="clear" w:color="auto" w:fill="CCEEFF"/>
          </w:tcPr>
          <w:p>
            <w:pPr>
              <w:ind w:left="200"/>
              <w:spacing w:after="0" w:line="162" w:lineRule="exact"/>
              <w:rPr>
                <w:sz w:val="20"/>
                <w:szCs w:val="20"/>
                <w:color w:val="auto"/>
              </w:rPr>
            </w:pPr>
            <w:r>
              <w:rPr>
                <w:rFonts w:ascii="Arial" w:cs="Arial" w:eastAsia="Arial" w:hAnsi="Arial"/>
                <w:sz w:val="15"/>
                <w:szCs w:val="15"/>
                <w:color w:val="auto"/>
              </w:rPr>
              <w:t>recognized in other</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gridSpan w:val="2"/>
            <w:shd w:val="clear" w:color="auto" w:fill="CCEEFF"/>
          </w:tcPr>
          <w:p>
            <w:pPr>
              <w:ind w:left="200"/>
              <w:spacing w:after="0" w:line="162" w:lineRule="exact"/>
              <w:rPr>
                <w:sz w:val="20"/>
                <w:szCs w:val="20"/>
                <w:color w:val="auto"/>
              </w:rPr>
            </w:pPr>
            <w:r>
              <w:rPr>
                <w:rFonts w:ascii="Arial" w:cs="Arial" w:eastAsia="Arial" w:hAnsi="Arial"/>
                <w:sz w:val="15"/>
                <w:szCs w:val="15"/>
                <w:color w:val="auto"/>
              </w:rPr>
              <w:t>comprehensive</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860" w:type="dxa"/>
            <w:vAlign w:val="bottom"/>
            <w:gridSpan w:val="2"/>
            <w:shd w:val="clear" w:color="auto" w:fill="CCEEFF"/>
          </w:tcPr>
          <w:p>
            <w:pPr>
              <w:ind w:left="200"/>
              <w:spacing w:after="0" w:line="166" w:lineRule="exact"/>
              <w:rPr>
                <w:sz w:val="20"/>
                <w:szCs w:val="20"/>
                <w:color w:val="auto"/>
              </w:rPr>
            </w:pPr>
            <w:r>
              <w:rPr>
                <w:rFonts w:ascii="Arial" w:cs="Arial" w:eastAsia="Arial" w:hAnsi="Arial"/>
                <w:sz w:val="15"/>
                <w:szCs w:val="15"/>
                <w:color w:val="auto"/>
              </w:rPr>
              <w:t>income</w:t>
            </w: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4"/>
              <w:spacing w:after="0" w:line="166" w:lineRule="exact"/>
              <w:rPr>
                <w:sz w:val="20"/>
                <w:szCs w:val="20"/>
                <w:color w:val="auto"/>
              </w:rPr>
            </w:pPr>
            <w:r>
              <w:rPr>
                <w:rFonts w:ascii="Arial" w:cs="Arial" w:eastAsia="Arial" w:hAnsi="Arial"/>
                <w:sz w:val="15"/>
                <w:szCs w:val="15"/>
                <w:color w:val="auto"/>
              </w:rPr>
              <w:t>34</w:t>
            </w:r>
          </w:p>
        </w:tc>
        <w:tc>
          <w:tcPr>
            <w:tcW w:w="26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(45)</w:t>
            </w:r>
          </w:p>
        </w:tc>
        <w:tc>
          <w:tcPr>
            <w:tcW w:w="24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(115)</w:t>
            </w:r>
          </w:p>
        </w:tc>
        <w:tc>
          <w:tcPr>
            <w:tcW w:w="5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(204)</w:t>
            </w:r>
          </w:p>
        </w:tc>
        <w:tc>
          <w:tcPr>
            <w:tcW w:w="26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center"/>
              <w:ind w:left="304"/>
              <w:spacing w:after="0" w:line="166" w:lineRule="exact"/>
              <w:rPr>
                <w:sz w:val="20"/>
                <w:szCs w:val="20"/>
                <w:color w:val="auto"/>
              </w:rPr>
            </w:pPr>
            <w:r>
              <w:rPr>
                <w:rFonts w:ascii="Arial" w:cs="Arial" w:eastAsia="Arial" w:hAnsi="Arial"/>
                <w:sz w:val="15"/>
                <w:szCs w:val="15"/>
                <w:color w:val="auto"/>
              </w:rPr>
              <w:t>39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860" w:type="dxa"/>
            <w:vAlign w:val="bottom"/>
            <w:gridSpan w:val="2"/>
          </w:tcPr>
          <w:p>
            <w:pPr>
              <w:spacing w:after="0" w:line="166" w:lineRule="exact"/>
              <w:rPr>
                <w:sz w:val="20"/>
                <w:szCs w:val="20"/>
                <w:color w:val="auto"/>
              </w:rPr>
            </w:pPr>
            <w:r>
              <w:rPr>
                <w:rFonts w:ascii="Arial" w:cs="Arial" w:eastAsia="Arial" w:hAnsi="Arial"/>
                <w:sz w:val="15"/>
                <w:szCs w:val="15"/>
                <w:color w:val="auto"/>
              </w:rPr>
              <w:t>Net impact of net</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gridSpan w:val="2"/>
          </w:tcPr>
          <w:p>
            <w:pPr>
              <w:ind w:left="200"/>
              <w:spacing w:after="0" w:line="162" w:lineRule="exact"/>
              <w:rPr>
                <w:sz w:val="20"/>
                <w:szCs w:val="20"/>
                <w:color w:val="auto"/>
              </w:rPr>
            </w:pPr>
            <w:r>
              <w:rPr>
                <w:rFonts w:ascii="Arial" w:cs="Arial" w:eastAsia="Arial" w:hAnsi="Arial"/>
                <w:sz w:val="15"/>
                <w:szCs w:val="15"/>
                <w:color w:val="auto"/>
              </w:rPr>
              <w:t>mark-to-market gains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gridSpan w:val="2"/>
          </w:tcPr>
          <w:p>
            <w:pPr>
              <w:ind w:left="200"/>
              <w:spacing w:after="0" w:line="162" w:lineRule="exact"/>
              <w:rPr>
                <w:sz w:val="20"/>
                <w:szCs w:val="20"/>
                <w:color w:val="auto"/>
              </w:rPr>
            </w:pPr>
            <w:r>
              <w:rPr>
                <w:rFonts w:ascii="Arial" w:cs="Arial" w:eastAsia="Arial" w:hAnsi="Arial"/>
                <w:sz w:val="15"/>
                <w:szCs w:val="15"/>
                <w:color w:val="auto"/>
              </w:rPr>
              <w:t>(losses) under</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860" w:type="dxa"/>
            <w:vAlign w:val="bottom"/>
            <w:gridSpan w:val="2"/>
          </w:tcPr>
          <w:p>
            <w:pPr>
              <w:ind w:left="200"/>
              <w:spacing w:after="0" w:line="166" w:lineRule="exact"/>
              <w:rPr>
                <w:sz w:val="20"/>
                <w:szCs w:val="20"/>
                <w:color w:val="auto"/>
              </w:rPr>
            </w:pPr>
            <w:r>
              <w:rPr>
                <w:rFonts w:ascii="Arial" w:cs="Arial" w:eastAsia="Arial" w:hAnsi="Arial"/>
                <w:sz w:val="15"/>
                <w:szCs w:val="15"/>
                <w:color w:val="auto"/>
              </w:rPr>
              <w:t>derivative accounting</w:t>
            </w:r>
          </w:p>
        </w:tc>
        <w:tc>
          <w:tcPr>
            <w:tcW w:w="260" w:type="dxa"/>
            <w:vAlign w:val="bottom"/>
          </w:tcPr>
          <w:p>
            <w:pPr>
              <w:jc w:val="right"/>
              <w:ind w:right="65"/>
              <w:spacing w:after="0" w:line="166" w:lineRule="exact"/>
              <w:rPr>
                <w:sz w:val="20"/>
                <w:szCs w:val="20"/>
                <w:color w:val="auto"/>
              </w:rPr>
            </w:pPr>
            <w:r>
              <w:rPr>
                <w:rFonts w:ascii="Arial" w:cs="Arial" w:eastAsia="Arial" w:hAnsi="Arial"/>
                <w:sz w:val="15"/>
                <w:szCs w:val="15"/>
                <w:color w:val="auto"/>
              </w:rPr>
              <w:t>$</w:t>
            </w:r>
          </w:p>
        </w:tc>
        <w:tc>
          <w:tcPr>
            <w:tcW w:w="840" w:type="dxa"/>
            <w:vAlign w:val="bottom"/>
          </w:tcPr>
          <w:p>
            <w:pPr>
              <w:jc w:val="right"/>
              <w:ind w:right="4"/>
              <w:spacing w:after="0" w:line="166" w:lineRule="exact"/>
              <w:rPr>
                <w:sz w:val="20"/>
                <w:szCs w:val="20"/>
                <w:color w:val="auto"/>
              </w:rPr>
            </w:pPr>
            <w:r>
              <w:rPr>
                <w:rFonts w:ascii="Arial" w:cs="Arial" w:eastAsia="Arial" w:hAnsi="Arial"/>
                <w:sz w:val="15"/>
                <w:szCs w:val="15"/>
                <w:color w:val="auto"/>
              </w:rPr>
              <w:t>54</w:t>
            </w:r>
          </w:p>
        </w:tc>
        <w:tc>
          <w:tcPr>
            <w:tcW w:w="520" w:type="dxa"/>
            <w:vAlign w:val="bottom"/>
            <w:gridSpan w:val="2"/>
          </w:tcPr>
          <w:p>
            <w:pPr>
              <w:jc w:val="right"/>
              <w:ind w:right="68"/>
              <w:spacing w:after="0" w:line="166" w:lineRule="exact"/>
              <w:rPr>
                <w:sz w:val="20"/>
                <w:szCs w:val="20"/>
                <w:color w:val="auto"/>
              </w:rPr>
            </w:pPr>
            <w:r>
              <w:rPr>
                <w:rFonts w:ascii="Arial" w:cs="Arial" w:eastAsia="Arial" w:hAnsi="Arial"/>
                <w:sz w:val="15"/>
                <w:szCs w:val="15"/>
                <w:color w:val="auto"/>
              </w:rPr>
              <w:t>$</w:t>
            </w:r>
          </w:p>
        </w:tc>
        <w:tc>
          <w:tcPr>
            <w:tcW w:w="880" w:type="dxa"/>
            <w:vAlign w:val="bottom"/>
          </w:tcPr>
          <w:p>
            <w:pPr>
              <w:jc w:val="right"/>
              <w:spacing w:after="0" w:line="166" w:lineRule="exact"/>
              <w:rPr>
                <w:sz w:val="20"/>
                <w:szCs w:val="20"/>
                <w:color w:val="auto"/>
              </w:rPr>
            </w:pPr>
            <w:r>
              <w:rPr>
                <w:rFonts w:ascii="Arial" w:cs="Arial" w:eastAsia="Arial" w:hAnsi="Arial"/>
                <w:sz w:val="15"/>
                <w:szCs w:val="15"/>
                <w:color w:val="auto"/>
              </w:rPr>
              <w:t>(40)</w:t>
            </w:r>
          </w:p>
        </w:tc>
        <w:tc>
          <w:tcPr>
            <w:tcW w:w="240" w:type="dxa"/>
            <w:vAlign w:val="bottom"/>
          </w:tcPr>
          <w:p>
            <w:pPr>
              <w:spacing w:after="0"/>
              <w:rPr>
                <w:sz w:val="14"/>
                <w:szCs w:val="14"/>
                <w:color w:val="auto"/>
              </w:rPr>
            </w:pPr>
          </w:p>
        </w:tc>
        <w:tc>
          <w:tcPr>
            <w:tcW w:w="260" w:type="dxa"/>
            <w:vAlign w:val="bottom"/>
          </w:tcPr>
          <w:p>
            <w:pPr>
              <w:jc w:val="right"/>
              <w:ind w:right="65"/>
              <w:spacing w:after="0" w:line="166" w:lineRule="exact"/>
              <w:rPr>
                <w:sz w:val="20"/>
                <w:szCs w:val="20"/>
                <w:color w:val="auto"/>
              </w:rPr>
            </w:pPr>
            <w:r>
              <w:rPr>
                <w:rFonts w:ascii="Arial" w:cs="Arial" w:eastAsia="Arial" w:hAnsi="Arial"/>
                <w:sz w:val="15"/>
                <w:szCs w:val="15"/>
                <w:color w:val="auto"/>
              </w:rPr>
              <w:t>$</w:t>
            </w:r>
          </w:p>
        </w:tc>
        <w:tc>
          <w:tcPr>
            <w:tcW w:w="860" w:type="dxa"/>
            <w:vAlign w:val="bottom"/>
          </w:tcPr>
          <w:p>
            <w:pPr>
              <w:jc w:val="right"/>
              <w:spacing w:after="0" w:line="166" w:lineRule="exact"/>
              <w:rPr>
                <w:sz w:val="20"/>
                <w:szCs w:val="20"/>
                <w:color w:val="auto"/>
              </w:rPr>
            </w:pPr>
            <w:r>
              <w:rPr>
                <w:rFonts w:ascii="Arial" w:cs="Arial" w:eastAsia="Arial" w:hAnsi="Arial"/>
                <w:sz w:val="15"/>
                <w:szCs w:val="15"/>
                <w:color w:val="auto"/>
              </w:rPr>
              <w:t>(159)</w:t>
            </w:r>
          </w:p>
        </w:tc>
        <w:tc>
          <w:tcPr>
            <w:tcW w:w="780" w:type="dxa"/>
            <w:vAlign w:val="bottom"/>
            <w:gridSpan w:val="2"/>
          </w:tcPr>
          <w:p>
            <w:pPr>
              <w:jc w:val="right"/>
              <w:ind w:right="48"/>
              <w:spacing w:after="0" w:line="166" w:lineRule="exact"/>
              <w:rPr>
                <w:sz w:val="20"/>
                <w:szCs w:val="20"/>
                <w:color w:val="auto"/>
              </w:rPr>
            </w:pPr>
            <w:r>
              <w:rPr>
                <w:rFonts w:ascii="Arial" w:cs="Arial" w:eastAsia="Arial" w:hAnsi="Arial"/>
                <w:sz w:val="15"/>
                <w:szCs w:val="15"/>
                <w:color w:val="auto"/>
              </w:rPr>
              <w:t>$</w:t>
            </w:r>
          </w:p>
        </w:tc>
        <w:tc>
          <w:tcPr>
            <w:tcW w:w="860" w:type="dxa"/>
            <w:vAlign w:val="bottom"/>
          </w:tcPr>
          <w:p>
            <w:pPr>
              <w:jc w:val="right"/>
              <w:spacing w:after="0" w:line="166" w:lineRule="exact"/>
              <w:rPr>
                <w:sz w:val="20"/>
                <w:szCs w:val="20"/>
                <w:color w:val="auto"/>
              </w:rPr>
            </w:pPr>
            <w:r>
              <w:rPr>
                <w:rFonts w:ascii="Arial" w:cs="Arial" w:eastAsia="Arial" w:hAnsi="Arial"/>
                <w:sz w:val="15"/>
                <w:szCs w:val="15"/>
                <w:color w:val="auto"/>
              </w:rPr>
              <w:t>(201)</w:t>
            </w:r>
          </w:p>
        </w:tc>
        <w:tc>
          <w:tcPr>
            <w:tcW w:w="640" w:type="dxa"/>
            <w:vAlign w:val="bottom"/>
            <w:gridSpan w:val="2"/>
          </w:tcPr>
          <w:p>
            <w:pPr>
              <w:jc w:val="right"/>
              <w:ind w:right="188"/>
              <w:spacing w:after="0" w:line="166" w:lineRule="exact"/>
              <w:rPr>
                <w:sz w:val="20"/>
                <w:szCs w:val="20"/>
                <w:color w:val="auto"/>
              </w:rPr>
            </w:pPr>
            <w:r>
              <w:rPr>
                <w:rFonts w:ascii="Arial" w:cs="Arial" w:eastAsia="Arial" w:hAnsi="Arial"/>
                <w:sz w:val="15"/>
                <w:szCs w:val="15"/>
                <w:color w:val="auto"/>
              </w:rPr>
              <w:t>$</w:t>
            </w:r>
          </w:p>
        </w:tc>
        <w:tc>
          <w:tcPr>
            <w:tcW w:w="720" w:type="dxa"/>
            <w:vAlign w:val="bottom"/>
          </w:tcPr>
          <w:p>
            <w:pPr>
              <w:jc w:val="center"/>
              <w:ind w:left="284"/>
              <w:spacing w:after="0" w:line="166" w:lineRule="exact"/>
              <w:rPr>
                <w:sz w:val="20"/>
                <w:szCs w:val="20"/>
                <w:color w:val="auto"/>
              </w:rPr>
            </w:pPr>
            <w:r>
              <w:rPr>
                <w:rFonts w:ascii="Arial" w:cs="Arial" w:eastAsia="Arial" w:hAnsi="Arial"/>
                <w:sz w:val="15"/>
                <w:szCs w:val="15"/>
                <w:color w:val="auto"/>
              </w:rPr>
              <w:t>(39)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94615</wp:posOffset>
            </wp:positionV>
            <wp:extent cx="7715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84" w:lineRule="exact"/>
        <w:rPr>
          <w:sz w:val="20"/>
          <w:szCs w:val="20"/>
          <w:color w:val="auto"/>
        </w:rPr>
      </w:pPr>
    </w:p>
    <w:p>
      <w:pPr>
        <w:ind w:left="340" w:hanging="229"/>
        <w:spacing w:after="0"/>
        <w:tabs>
          <w:tab w:leader="none" w:pos="340" w:val="left"/>
        </w:tabs>
        <w:numPr>
          <w:ilvl w:val="0"/>
          <w:numId w:val="25"/>
        </w:numPr>
        <w:rPr>
          <w:rFonts w:ascii="Arial" w:cs="Arial" w:eastAsia="Arial" w:hAnsi="Arial"/>
          <w:sz w:val="24"/>
          <w:szCs w:val="24"/>
          <w:color w:val="auto"/>
          <w:vertAlign w:val="superscript"/>
        </w:rPr>
      </w:pPr>
      <w:r>
        <w:rPr>
          <w:rFonts w:ascii="Arial" w:cs="Arial" w:eastAsia="Arial" w:hAnsi="Arial"/>
          <w:sz w:val="14"/>
          <w:szCs w:val="14"/>
          <w:color w:val="auto"/>
        </w:rPr>
        <w:t>See “Core Earnings derivative adjustments” table above.</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0020"/>
          </w:cols>
          <w:pgMar w:left="1440" w:top="269" w:right="439" w:bottom="1440" w:gutter="0" w:footer="0" w:header="0"/>
        </w:sectPr>
      </w:pPr>
    </w:p>
    <w:bookmarkStart w:id="25" w:name="page26"/>
    <w:bookmarkEnd w:id="25"/>
    <w:p>
      <w:pPr>
        <w:ind w:left="122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Hedging Embedded Floor Income</w:t>
      </w:r>
    </w:p>
    <w:p>
      <w:pPr>
        <w:spacing w:after="0" w:line="122" w:lineRule="exact"/>
        <w:rPr>
          <w:sz w:val="20"/>
          <w:szCs w:val="20"/>
          <w:color w:val="auto"/>
        </w:rPr>
      </w:pPr>
    </w:p>
    <w:p>
      <w:pPr>
        <w:ind w:left="1220" w:right="60"/>
        <w:spacing w:after="0" w:line="237" w:lineRule="auto"/>
        <w:rPr>
          <w:sz w:val="20"/>
          <w:szCs w:val="20"/>
          <w:color w:val="auto"/>
        </w:rPr>
      </w:pPr>
      <w:r>
        <w:rPr>
          <w:rFonts w:ascii="Arial" w:cs="Arial" w:eastAsia="Arial" w:hAnsi="Arial"/>
          <w:sz w:val="18"/>
          <w:szCs w:val="18"/>
          <w:color w:val="auto"/>
        </w:rPr>
        <w:t>Net Floor premiums received on Floor Income Contracts that have not been amortized into Core Earnings as of the respective period-ends are presented in the table below. These net premiums will be recognized in Core Earnings in future periods. As of December 31, 2019, the remaining amortization term of the net floor premiums was approximately 4 years. Historically, we have sold Floor Income Contracts on a periodic basis and depending upon market conditions and pricing, we may enter into additional Floor Income Contracts in the future. The balance of unamortized Floor Income Contracts will increase as we sell new contracts and decline due to the amortization of existing contracts.</w:t>
      </w:r>
    </w:p>
    <w:p>
      <w:pPr>
        <w:spacing w:after="0" w:line="97" w:lineRule="exact"/>
        <w:rPr>
          <w:sz w:val="20"/>
          <w:szCs w:val="20"/>
          <w:color w:val="auto"/>
        </w:rPr>
      </w:pPr>
    </w:p>
    <w:p>
      <w:pPr>
        <w:ind w:left="1220" w:right="240"/>
        <w:spacing w:after="0" w:line="236" w:lineRule="auto"/>
        <w:rPr>
          <w:sz w:val="20"/>
          <w:szCs w:val="20"/>
          <w:color w:val="auto"/>
        </w:rPr>
      </w:pPr>
      <w:r>
        <w:rPr>
          <w:rFonts w:ascii="Arial" w:cs="Arial" w:eastAsia="Arial" w:hAnsi="Arial"/>
          <w:sz w:val="18"/>
          <w:szCs w:val="18"/>
          <w:color w:val="auto"/>
        </w:rPr>
        <w:t>In addition to using Floor Income Contracts, we also use pay-fixed interest rate swaps to hedge the embedded Floor Income within FFELP Loans. These interest rate swaps qualify as GAAP hedges and are accounted for as cash flow hedges of variable rate debt. For GAAP, gains and losses on these hedges are recorded in accumulated other comprehensive income. Hedged Floor Income from these cash flow hedges that has not been recognized into Core Earnings and GAAP as of the respective period-ends is presented in the table below. This hedged Floor Income will be recognized in Core Earnings and GAAP in future periods and is presented net of tax. As of December 31, 2019, the remaining hedged period is approximately 5 years. Historically, we have used pay-fixed interest rate swaps on a periodic basis to hedge embedded Floor Income and depending upon market conditions and pricing, we may enter into swaps in the future. The balance of unrecognized hedged Floor Income will increase as we enter into new swaps and decline as revenue is recognized.</w:t>
      </w:r>
    </w:p>
    <w:p>
      <w:pPr>
        <w:spacing w:after="0" w:line="221" w:lineRule="exact"/>
        <w:rPr>
          <w:sz w:val="20"/>
          <w:szCs w:val="20"/>
          <w:color w:val="auto"/>
        </w:rPr>
      </w:pPr>
    </w:p>
    <w:tbl>
      <w:tblPr>
        <w:tblLayout w:type="fixed"/>
        <w:tblInd w:w="1060" w:type="dxa"/>
        <w:tblCellMar>
          <w:top w:w="0" w:type="dxa"/>
          <w:left w:w="0" w:type="dxa"/>
          <w:bottom w:w="0" w:type="dxa"/>
          <w:right w:w="0" w:type="dxa"/>
        </w:tblCellMar>
      </w:tblPr>
      <w:tr>
        <w:trPr>
          <w:trHeight w:val="162"/>
        </w:trPr>
        <w:tc>
          <w:tcPr>
            <w:tcW w:w="4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1100" w:type="dxa"/>
            <w:vAlign w:val="bottom"/>
          </w:tcPr>
          <w:p>
            <w:pPr>
              <w:jc w:val="right"/>
              <w:ind w:right="77"/>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77"/>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46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417"/>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377"/>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Unamortized net Floor premiums (net of tax)</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(124)</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gridSpan w:val="2"/>
          </w:tcPr>
          <w:p>
            <w:pPr>
              <w:spacing w:after="0" w:line="201" w:lineRule="exact"/>
              <w:rPr>
                <w:sz w:val="20"/>
                <w:szCs w:val="20"/>
                <w:color w:val="auto"/>
              </w:rPr>
            </w:pPr>
            <w:r>
              <w:rPr>
                <w:rFonts w:ascii="Arial" w:cs="Arial" w:eastAsia="Arial" w:hAnsi="Arial"/>
                <w:sz w:val="18"/>
                <w:szCs w:val="18"/>
                <w:color w:val="auto"/>
              </w:rPr>
              <w:t>Unrecognized hedged Floor Income related to pay fixed</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tcPr>
          <w:p>
            <w:pPr>
              <w:ind w:left="200"/>
              <w:spacing w:after="0" w:line="203" w:lineRule="exact"/>
              <w:rPr>
                <w:sz w:val="20"/>
                <w:szCs w:val="20"/>
                <w:color w:val="auto"/>
              </w:rPr>
            </w:pPr>
            <w:r>
              <w:rPr>
                <w:rFonts w:ascii="Arial" w:cs="Arial" w:eastAsia="Arial" w:hAnsi="Arial"/>
                <w:sz w:val="18"/>
                <w:szCs w:val="18"/>
                <w:color w:val="auto"/>
              </w:rPr>
              <w:t>interest rate swaps (net of tax)</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(476)</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(519)</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hedged Floor Income, net of tax</w:t>
            </w:r>
            <w:r>
              <w:rPr>
                <w:rFonts w:ascii="Arial" w:cs="Arial" w:eastAsia="Arial" w:hAnsi="Arial"/>
                <w:sz w:val="15"/>
                <w:szCs w:val="15"/>
                <w:color w:val="auto"/>
              </w:rPr>
              <w:t>(1)(2)</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(552)</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(607)</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94615</wp:posOffset>
            </wp:positionV>
            <wp:extent cx="7804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87" w:lineRule="exact"/>
        <w:rPr>
          <w:sz w:val="20"/>
          <w:szCs w:val="20"/>
          <w:color w:val="auto"/>
        </w:rPr>
      </w:pPr>
    </w:p>
    <w:p>
      <w:pPr>
        <w:ind w:left="1280" w:right="1280" w:hanging="216"/>
        <w:spacing w:after="0" w:line="183" w:lineRule="auto"/>
        <w:tabs>
          <w:tab w:leader="none" w:pos="1294" w:val="left"/>
        </w:tabs>
        <w:numPr>
          <w:ilvl w:val="1"/>
          <w:numId w:val="26"/>
        </w:numPr>
        <w:rPr>
          <w:rFonts w:ascii="Arial" w:cs="Arial" w:eastAsia="Arial" w:hAnsi="Arial"/>
          <w:sz w:val="24"/>
          <w:szCs w:val="24"/>
          <w:color w:val="auto"/>
          <w:vertAlign w:val="superscript"/>
        </w:rPr>
      </w:pPr>
      <w:r>
        <w:rPr>
          <w:rFonts w:ascii="Arial" w:cs="Arial" w:eastAsia="Arial" w:hAnsi="Arial"/>
          <w:sz w:val="14"/>
          <w:szCs w:val="14"/>
          <w:color w:val="auto"/>
        </w:rPr>
        <w:t>$(717) million, $(788) million and $(959) million on a pre-tax basis as of December 31, 2019, September 30, 2019 and December 31, 2018, respectively.</w:t>
      </w:r>
    </w:p>
    <w:p>
      <w:pPr>
        <w:spacing w:after="0" w:line="58" w:lineRule="exact"/>
        <w:rPr>
          <w:rFonts w:ascii="Arial" w:cs="Arial" w:eastAsia="Arial" w:hAnsi="Arial"/>
          <w:sz w:val="24"/>
          <w:szCs w:val="24"/>
          <w:color w:val="auto"/>
          <w:vertAlign w:val="superscript"/>
        </w:rPr>
      </w:pPr>
    </w:p>
    <w:p>
      <w:pPr>
        <w:ind w:left="1280" w:right="1320" w:hanging="216"/>
        <w:spacing w:after="0" w:line="183" w:lineRule="auto"/>
        <w:tabs>
          <w:tab w:leader="none" w:pos="1294" w:val="left"/>
        </w:tabs>
        <w:numPr>
          <w:ilvl w:val="1"/>
          <w:numId w:val="26"/>
        </w:numPr>
        <w:rPr>
          <w:rFonts w:ascii="Arial" w:cs="Arial" w:eastAsia="Arial" w:hAnsi="Arial"/>
          <w:sz w:val="24"/>
          <w:szCs w:val="24"/>
          <w:color w:val="auto"/>
          <w:vertAlign w:val="superscript"/>
        </w:rPr>
      </w:pPr>
      <w:r>
        <w:rPr>
          <w:rFonts w:ascii="Arial" w:cs="Arial" w:eastAsia="Arial" w:hAnsi="Arial"/>
          <w:sz w:val="14"/>
          <w:szCs w:val="14"/>
          <w:color w:val="auto"/>
        </w:rPr>
        <w:t>Of the $552 million as of December 31, 2019, approximately $191 million, $164 million and $105 million will be recognized as part of Core Earnings net income in 2020, 2021 and 2022, respectively.</w:t>
      </w:r>
    </w:p>
    <w:p>
      <w:pPr>
        <w:spacing w:after="0" w:line="219" w:lineRule="exact"/>
        <w:rPr>
          <w:rFonts w:ascii="Arial" w:cs="Arial" w:eastAsia="Arial" w:hAnsi="Arial"/>
          <w:sz w:val="24"/>
          <w:szCs w:val="24"/>
          <w:color w:val="auto"/>
          <w:vertAlign w:val="superscript"/>
        </w:rPr>
      </w:pPr>
    </w:p>
    <w:p>
      <w:pPr>
        <w:ind w:left="540" w:right="80" w:hanging="536"/>
        <w:spacing w:after="0" w:line="271" w:lineRule="auto"/>
        <w:tabs>
          <w:tab w:leader="none" w:pos="5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Acquired Intangible Assets: </w:t>
      </w:r>
      <w:r>
        <w:rPr>
          <w:rFonts w:ascii="Arial" w:cs="Arial" w:eastAsia="Arial" w:hAnsi="Arial"/>
          <w:sz w:val="18"/>
          <w:szCs w:val="18"/>
          <w:color w:val="auto"/>
        </w:rPr>
        <w:t>Our Core Earnings exclude goodwill and intangible asset impairment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amortization of acquired intangible assets. The following table summarizes the goodwill and acquired intangible asset adjustments.</w:t>
      </w:r>
    </w:p>
    <w:p>
      <w:pPr>
        <w:spacing w:after="0" w:line="204" w:lineRule="exact"/>
        <w:rPr>
          <w:sz w:val="20"/>
          <w:szCs w:val="20"/>
          <w:color w:val="auto"/>
        </w:rPr>
      </w:pPr>
    </w:p>
    <w:tbl>
      <w:tblPr>
        <w:tblLayout w:type="fixed"/>
        <w:tblInd w:w="560" w:type="dxa"/>
        <w:tblCellMar>
          <w:top w:w="0" w:type="dxa"/>
          <w:left w:w="0" w:type="dxa"/>
          <w:bottom w:w="0" w:type="dxa"/>
          <w:right w:w="0" w:type="dxa"/>
        </w:tblCellMar>
      </w:tblPr>
      <w:tr>
        <w:trPr>
          <w:trHeight w:val="190"/>
        </w:trPr>
        <w:tc>
          <w:tcPr>
            <w:tcW w:w="2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QUARTERS ENDED</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gridSpan w:val="5"/>
          </w:tcPr>
          <w:p>
            <w:pPr>
              <w:ind w:left="640"/>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215"/>
        </w:trPr>
        <w:tc>
          <w:tcPr>
            <w:tcW w:w="2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8"/>
                <w:szCs w:val="18"/>
                <w:color w:val="auto"/>
              </w:rPr>
            </w:pPr>
          </w:p>
        </w:tc>
        <w:tc>
          <w:tcPr>
            <w:tcW w:w="1120" w:type="dxa"/>
            <w:vAlign w:val="bottom"/>
          </w:tcPr>
          <w:p>
            <w:pPr>
              <w:jc w:val="center"/>
              <w:ind w:right="102"/>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40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8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402"/>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402"/>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20" w:type="dxa"/>
            <w:vAlign w:val="bottom"/>
            <w:tcBorders>
              <w:top w:val="single" w:sz="8" w:color="auto"/>
            </w:tcBorders>
            <w:shd w:val="clear" w:color="auto" w:fill="CCEEFF"/>
          </w:tcPr>
          <w:p>
            <w:pPr>
              <w:jc w:val="right"/>
              <w:ind w:right="534"/>
              <w:spacing w:after="0" w:line="195" w:lineRule="exact"/>
              <w:rPr>
                <w:sz w:val="20"/>
                <w:szCs w:val="20"/>
                <w:color w:val="auto"/>
              </w:rPr>
            </w:pPr>
            <w:r>
              <w:rPr>
                <w:rFonts w:ascii="Arial" w:cs="Arial" w:eastAsia="Arial" w:hAnsi="Arial"/>
                <w:sz w:val="18"/>
                <w:szCs w:val="18"/>
                <w:color w:val="auto"/>
                <w:w w:val="99"/>
              </w:rPr>
              <w:t>Core Earnings goodwill and</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acquired intangible asset</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gridSpan w:val="2"/>
            <w:shd w:val="clear" w:color="auto" w:fill="CCEEFF"/>
          </w:tcPr>
          <w:p>
            <w:pPr>
              <w:ind w:left="220"/>
              <w:spacing w:after="0" w:line="203" w:lineRule="exact"/>
              <w:rPr>
                <w:sz w:val="20"/>
                <w:szCs w:val="20"/>
                <w:color w:val="auto"/>
              </w:rPr>
            </w:pPr>
            <w:r>
              <w:rPr>
                <w:rFonts w:ascii="Arial" w:cs="Arial" w:eastAsia="Arial" w:hAnsi="Arial"/>
                <w:sz w:val="18"/>
                <w:szCs w:val="18"/>
                <w:color w:val="auto"/>
              </w:rPr>
              <w:t>adjustments</w:t>
            </w: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w:t>
            </w:r>
          </w:p>
        </w:tc>
        <w:tc>
          <w:tcPr>
            <w:tcW w:w="2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020"/>
          </w:cols>
          <w:pgMar w:left="440" w:top="269" w:right="4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 Tangible Net Asset Ratio</w:t>
      </w:r>
    </w:p>
    <w:p>
      <w:pPr>
        <w:spacing w:after="0" w:line="126"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This ratio measures the amount of assets available to retire the Company’s unsecured debt. Management and Navient’s equity investors, credit rating agencies and debt capital investors use this ratio to monitor and make decisions about the appropriate level of unsecured funding required. The tangible net asset ratio is calculated as: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billions)</w:t>
            </w:r>
          </w:p>
        </w:tc>
        <w:tc>
          <w:tcPr>
            <w:tcW w:w="100" w:type="dxa"/>
            <w:vAlign w:val="bottom"/>
          </w:tcPr>
          <w:p>
            <w:pPr>
              <w:spacing w:after="0"/>
              <w:rPr>
                <w:sz w:val="14"/>
                <w:szCs w:val="14"/>
                <w:color w:val="auto"/>
              </w:rPr>
            </w:pPr>
          </w:p>
        </w:tc>
        <w:tc>
          <w:tcPr>
            <w:tcW w:w="112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71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GAAP assets</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94.9</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9"/>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96.6</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9"/>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spacing w:after="0" w:line="202" w:lineRule="exact"/>
              <w:rPr>
                <w:sz w:val="20"/>
                <w:szCs w:val="20"/>
                <w:color w:val="auto"/>
              </w:rPr>
            </w:pPr>
            <w:r>
              <w:rPr>
                <w:rFonts w:ascii="Arial" w:cs="Arial" w:eastAsia="Arial" w:hAnsi="Arial"/>
                <w:sz w:val="18"/>
                <w:szCs w:val="18"/>
                <w:color w:val="auto"/>
              </w:rPr>
              <w:t>Less: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Goodwill and acquired intangible assets</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420"/>
              <w:spacing w:after="0" w:line="202" w:lineRule="exact"/>
              <w:rPr>
                <w:sz w:val="20"/>
                <w:szCs w:val="20"/>
                <w:color w:val="auto"/>
              </w:rPr>
            </w:pPr>
            <w:r>
              <w:rPr>
                <w:rFonts w:ascii="Arial" w:cs="Arial" w:eastAsia="Arial" w:hAnsi="Arial"/>
                <w:sz w:val="18"/>
                <w:szCs w:val="18"/>
                <w:color w:val="auto"/>
              </w:rPr>
              <w:t>Secured debt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80.7</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81.4</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87.8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6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Other liabilities, adjustments for the impact of derivative accounting under GAAP</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640"/>
              <w:spacing w:after="0" w:line="203" w:lineRule="exact"/>
              <w:rPr>
                <w:sz w:val="20"/>
                <w:szCs w:val="20"/>
                <w:color w:val="auto"/>
              </w:rPr>
            </w:pPr>
            <w:r>
              <w:rPr>
                <w:rFonts w:ascii="Arial" w:cs="Arial" w:eastAsia="Arial" w:hAnsi="Arial"/>
                <w:sz w:val="18"/>
                <w:szCs w:val="18"/>
                <w:color w:val="auto"/>
              </w:rPr>
              <w:t>and unamortized net floor premiums</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80" w:type="dxa"/>
            <w:vAlign w:val="bottom"/>
            <w:gridSpan w:val="2"/>
          </w:tcPr>
          <w:p>
            <w:pPr>
              <w:spacing w:after="0"/>
              <w:rPr>
                <w:sz w:val="20"/>
                <w:szCs w:val="20"/>
                <w:color w:val="auto"/>
              </w:rPr>
            </w:pPr>
            <w:r>
              <w:rPr>
                <w:rFonts w:ascii="Arial" w:cs="Arial" w:eastAsia="Arial" w:hAnsi="Arial"/>
                <w:sz w:val="18"/>
                <w:szCs w:val="18"/>
                <w:color w:val="auto"/>
              </w:rPr>
              <w:t>Tangible net assets</w:t>
            </w:r>
          </w:p>
        </w:tc>
        <w:tc>
          <w:tcPr>
            <w:tcW w:w="360" w:type="dxa"/>
            <w:vAlign w:val="bottom"/>
            <w:gridSpan w:val="2"/>
          </w:tcPr>
          <w:p>
            <w:pPr>
              <w:jc w:val="right"/>
              <w:ind w:right="76"/>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12.5</w:t>
            </w:r>
          </w:p>
        </w:tc>
        <w:tc>
          <w:tcPr>
            <w:tcW w:w="40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13.4</w:t>
            </w:r>
          </w:p>
        </w:tc>
        <w:tc>
          <w:tcPr>
            <w:tcW w:w="40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Divided by:</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tcPr>
          <w:p>
            <w:pPr>
              <w:ind w:left="420"/>
              <w:spacing w:after="0" w:line="202" w:lineRule="exact"/>
              <w:rPr>
                <w:sz w:val="20"/>
                <w:szCs w:val="20"/>
                <w:color w:val="auto"/>
              </w:rPr>
            </w:pPr>
            <w:r>
              <w:rPr>
                <w:rFonts w:ascii="Arial" w:cs="Arial" w:eastAsia="Arial" w:hAnsi="Arial"/>
                <w:sz w:val="18"/>
                <w:szCs w:val="18"/>
                <w:color w:val="auto"/>
              </w:rPr>
              <w:t>Unsecured debt (par)</w:t>
            </w:r>
          </w:p>
        </w:tc>
        <w:tc>
          <w:tcPr>
            <w:tcW w:w="100" w:type="dxa"/>
            <w:vAlign w:val="bottom"/>
          </w:tcPr>
          <w:p>
            <w:pPr>
              <w:spacing w:after="0"/>
              <w:rPr>
                <w:sz w:val="18"/>
                <w:szCs w:val="18"/>
                <w:color w:val="auto"/>
              </w:rPr>
            </w:pPr>
          </w:p>
        </w:tc>
        <w:tc>
          <w:tcPr>
            <w:tcW w:w="260" w:type="dxa"/>
            <w:vAlign w:val="bottom"/>
          </w:tcPr>
          <w:p>
            <w:pPr>
              <w:jc w:val="right"/>
              <w:ind w:right="76"/>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9.6</w:t>
            </w:r>
          </w:p>
        </w:tc>
        <w:tc>
          <w:tcPr>
            <w:tcW w:w="400" w:type="dxa"/>
            <w:vAlign w:val="bottom"/>
            <w:gridSpan w:val="2"/>
          </w:tcPr>
          <w:p>
            <w:pPr>
              <w:jc w:val="right"/>
              <w:ind w:right="59"/>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10.6</w:t>
            </w:r>
          </w:p>
        </w:tc>
        <w:tc>
          <w:tcPr>
            <w:tcW w:w="400" w:type="dxa"/>
            <w:vAlign w:val="bottom"/>
            <w:gridSpan w:val="2"/>
          </w:tcPr>
          <w:p>
            <w:pPr>
              <w:jc w:val="right"/>
              <w:ind w:right="59"/>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Tangible net asset ratio</w:t>
            </w:r>
          </w:p>
        </w:tc>
        <w:tc>
          <w:tcPr>
            <w:tcW w:w="100" w:type="dxa"/>
            <w:vAlign w:val="bottom"/>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1.30x</w:t>
            </w:r>
          </w:p>
        </w:tc>
        <w:tc>
          <w:tcPr>
            <w:tcW w:w="160" w:type="dxa"/>
            <w:vAlign w:val="bottom"/>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1.27x</w:t>
            </w:r>
          </w:p>
        </w:tc>
        <w:tc>
          <w:tcPr>
            <w:tcW w:w="160" w:type="dxa"/>
            <w:vAlign w:val="bottom"/>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1.25x</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before Interest, Taxes, Depreciation and Amortization Expense (“EBITDA”)</w:t>
      </w:r>
    </w:p>
    <w:p>
      <w:pPr>
        <w:spacing w:after="0" w:line="12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This metric measures the amount of operating cash flow generated by the Business Processing segment and is used by management and equity investors to monitor operating performance and determine the value of those businesses. EBITDA for the Business Processing segment is calculated as: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6"/>
          </w:tcPr>
          <w:p>
            <w:pPr>
              <w:jc w:val="center"/>
              <w:ind w:left="395"/>
              <w:spacing w:after="0"/>
              <w:rPr>
                <w:sz w:val="20"/>
                <w:szCs w:val="20"/>
                <w:color w:val="auto"/>
              </w:rPr>
            </w:pPr>
            <w:r>
              <w:rPr>
                <w:rFonts w:ascii="Arial" w:cs="Arial" w:eastAsia="Arial" w:hAnsi="Arial"/>
                <w:sz w:val="14"/>
                <w:szCs w:val="14"/>
                <w:b w:val="1"/>
                <w:bCs w:val="1"/>
                <w:color w:val="auto"/>
              </w:rPr>
              <w:t>QUARTERS ENDED</w:t>
            </w: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215"/>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3"/>
          </w:tcPr>
          <w:p>
            <w:pPr>
              <w:jc w:val="center"/>
              <w:ind w:left="56"/>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1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52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center"/>
              <w:ind w:right="153"/>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Pre-tax income</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ind w:right="75"/>
              <w:spacing w:after="0" w:line="196" w:lineRule="exact"/>
              <w:rPr>
                <w:sz w:val="20"/>
                <w:szCs w:val="20"/>
                <w:color w:val="auto"/>
              </w:rPr>
            </w:pPr>
            <w:r>
              <w:rPr>
                <w:rFonts w:ascii="Arial" w:cs="Arial" w:eastAsia="Arial" w:hAnsi="Arial"/>
                <w:sz w:val="18"/>
                <w:szCs w:val="18"/>
                <w:color w:val="auto"/>
              </w:rPr>
              <w:t>10</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ind w:right="73"/>
              <w:spacing w:after="0" w:line="196" w:lineRule="exact"/>
              <w:rPr>
                <w:sz w:val="20"/>
                <w:szCs w:val="20"/>
                <w:color w:val="auto"/>
              </w:rPr>
            </w:pPr>
            <w:r>
              <w:rPr>
                <w:rFonts w:ascii="Arial" w:cs="Arial" w:eastAsia="Arial" w:hAnsi="Arial"/>
                <w:sz w:val="18"/>
                <w:szCs w:val="18"/>
                <w:color w:val="auto"/>
              </w:rPr>
              <w:t>12</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ind w:right="73"/>
              <w:spacing w:after="0" w:line="196" w:lineRule="exact"/>
              <w:rPr>
                <w:sz w:val="20"/>
                <w:szCs w:val="20"/>
                <w:color w:val="auto"/>
              </w:rPr>
            </w:pPr>
            <w:r>
              <w:rPr>
                <w:rFonts w:ascii="Arial" w:cs="Arial" w:eastAsia="Arial" w:hAnsi="Arial"/>
                <w:sz w:val="18"/>
                <w:szCs w:val="18"/>
                <w:color w:val="auto"/>
              </w:rPr>
              <w:t>9</w:t>
            </w: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ind w:right="55"/>
              <w:spacing w:after="0" w:line="196" w:lineRule="exact"/>
              <w:rPr>
                <w:sz w:val="20"/>
                <w:szCs w:val="20"/>
                <w:color w:val="auto"/>
              </w:rPr>
            </w:pPr>
            <w:r>
              <w:rPr>
                <w:rFonts w:ascii="Arial" w:cs="Arial" w:eastAsia="Arial" w:hAnsi="Arial"/>
                <w:sz w:val="18"/>
                <w:szCs w:val="18"/>
                <w:color w:val="auto"/>
              </w:rPr>
              <w:t>43</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ind w:right="73"/>
              <w:spacing w:after="0" w:line="196" w:lineRule="exact"/>
              <w:rPr>
                <w:sz w:val="20"/>
                <w:szCs w:val="20"/>
                <w:color w:val="auto"/>
              </w:rPr>
            </w:pPr>
            <w:r>
              <w:rPr>
                <w:rFonts w:ascii="Arial" w:cs="Arial" w:eastAsia="Arial" w:hAnsi="Arial"/>
                <w:sz w:val="18"/>
                <w:szCs w:val="18"/>
                <w:color w:val="auto"/>
              </w:rPr>
              <w:t>38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spacing w:after="0" w:line="202" w:lineRule="exact"/>
              <w:rPr>
                <w:sz w:val="20"/>
                <w:szCs w:val="20"/>
                <w:color w:val="auto"/>
              </w:rPr>
            </w:pPr>
            <w:r>
              <w:rPr>
                <w:rFonts w:ascii="Arial" w:cs="Arial" w:eastAsia="Arial" w:hAnsi="Arial"/>
                <w:sz w:val="18"/>
                <w:szCs w:val="18"/>
                <w:color w:val="auto"/>
              </w:rPr>
              <w:t>Plus: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Depreciation and amortization expense</w:t>
            </w: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75"/>
              <w:spacing w:after="0" w:line="202" w:lineRule="exact"/>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80" w:type="dxa"/>
            <w:vAlign w:val="bottom"/>
            <w:gridSpan w:val="2"/>
          </w:tcPr>
          <w:p>
            <w:pPr>
              <w:spacing w:after="0"/>
              <w:rPr>
                <w:sz w:val="20"/>
                <w:szCs w:val="20"/>
                <w:color w:val="auto"/>
              </w:rPr>
            </w:pPr>
            <w:r>
              <w:rPr>
                <w:rFonts w:ascii="Arial" w:cs="Arial" w:eastAsia="Arial" w:hAnsi="Arial"/>
                <w:sz w:val="18"/>
                <w:szCs w:val="18"/>
                <w:color w:val="auto"/>
              </w:rPr>
              <w:t>EBITDA</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5"/>
              <w:spacing w:after="0"/>
              <w:rPr>
                <w:sz w:val="20"/>
                <w:szCs w:val="20"/>
                <w:color w:val="auto"/>
              </w:rPr>
            </w:pPr>
            <w:r>
              <w:rPr>
                <w:rFonts w:ascii="Arial" w:cs="Arial" w:eastAsia="Arial" w:hAnsi="Arial"/>
                <w:sz w:val="18"/>
                <w:szCs w:val="18"/>
                <w:color w:val="auto"/>
              </w:rPr>
              <w:t>11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13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10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5"/>
              <w:spacing w:after="0"/>
              <w:rPr>
                <w:sz w:val="20"/>
                <w:szCs w:val="20"/>
                <w:color w:val="auto"/>
              </w:rPr>
            </w:pPr>
            <w:r>
              <w:rPr>
                <w:rFonts w:ascii="Arial" w:cs="Arial" w:eastAsia="Arial" w:hAnsi="Arial"/>
                <w:sz w:val="18"/>
                <w:szCs w:val="18"/>
                <w:color w:val="auto"/>
              </w:rPr>
              <w:t>49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Divided by:</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Pr>
          <w:p>
            <w:pPr>
              <w:ind w:left="420"/>
              <w:spacing w:after="0" w:line="202" w:lineRule="exact"/>
              <w:rPr>
                <w:sz w:val="20"/>
                <w:szCs w:val="20"/>
                <w:color w:val="auto"/>
              </w:rPr>
            </w:pPr>
            <w:r>
              <w:rPr>
                <w:rFonts w:ascii="Arial" w:cs="Arial" w:eastAsia="Arial" w:hAnsi="Arial"/>
                <w:sz w:val="18"/>
                <w:szCs w:val="18"/>
                <w:color w:val="auto"/>
              </w:rPr>
              <w:t>Total revenue</w:t>
            </w:r>
          </w:p>
        </w:tc>
        <w:tc>
          <w:tcPr>
            <w:tcW w:w="3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75"/>
              <w:spacing w:after="0" w:line="202" w:lineRule="exact"/>
              <w:rPr>
                <w:sz w:val="20"/>
                <w:szCs w:val="20"/>
                <w:color w:val="auto"/>
              </w:rPr>
            </w:pPr>
            <w:r>
              <w:rPr>
                <w:rFonts w:ascii="Arial" w:cs="Arial" w:eastAsia="Arial" w:hAnsi="Arial"/>
                <w:sz w:val="18"/>
                <w:szCs w:val="18"/>
                <w:color w:val="auto"/>
              </w:rPr>
              <w:t>59</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73"/>
              <w:spacing w:after="0" w:line="202" w:lineRule="exact"/>
              <w:rPr>
                <w:sz w:val="20"/>
                <w:szCs w:val="20"/>
                <w:color w:val="auto"/>
              </w:rPr>
            </w:pPr>
            <w:r>
              <w:rPr>
                <w:rFonts w:ascii="Arial" w:cs="Arial" w:eastAsia="Arial" w:hAnsi="Arial"/>
                <w:sz w:val="18"/>
                <w:szCs w:val="18"/>
                <w:color w:val="auto"/>
              </w:rPr>
              <w:t>66</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73"/>
              <w:spacing w:after="0" w:line="202" w:lineRule="exact"/>
              <w:rPr>
                <w:sz w:val="20"/>
                <w:szCs w:val="20"/>
                <w:color w:val="auto"/>
              </w:rPr>
            </w:pPr>
            <w:r>
              <w:rPr>
                <w:rFonts w:ascii="Arial" w:cs="Arial" w:eastAsia="Arial" w:hAnsi="Arial"/>
                <w:sz w:val="18"/>
                <w:szCs w:val="18"/>
                <w:color w:val="auto"/>
              </w:rPr>
              <w:t>66</w:t>
            </w: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258</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73"/>
              <w:spacing w:after="0" w:line="202" w:lineRule="exact"/>
              <w:rPr>
                <w:sz w:val="20"/>
                <w:szCs w:val="20"/>
                <w:color w:val="auto"/>
              </w:rPr>
            </w:pPr>
            <w:r>
              <w:rPr>
                <w:rFonts w:ascii="Arial" w:cs="Arial" w:eastAsia="Arial" w:hAnsi="Arial"/>
                <w:sz w:val="18"/>
                <w:szCs w:val="18"/>
                <w:color w:val="auto"/>
              </w:rPr>
              <w:t>267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EBITDA margin</w:t>
            </w:r>
          </w:p>
        </w:tc>
        <w:tc>
          <w:tcPr>
            <w:tcW w:w="100" w:type="dxa"/>
            <w:vAlign w:val="bottom"/>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9779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84" w:lineRule="exact"/>
        <w:rPr>
          <w:sz w:val="20"/>
          <w:szCs w:val="20"/>
          <w:color w:val="auto"/>
        </w:rPr>
      </w:pPr>
    </w:p>
    <w:p>
      <w:pPr>
        <w:ind w:left="320" w:hanging="316"/>
        <w:spacing w:after="0"/>
        <w:tabs>
          <w:tab w:leader="none" w:pos="320" w:val="left"/>
        </w:tabs>
        <w:numPr>
          <w:ilvl w:val="0"/>
          <w:numId w:val="28"/>
        </w:numPr>
        <w:rPr>
          <w:rFonts w:ascii="Arial" w:cs="Arial" w:eastAsia="Arial" w:hAnsi="Arial"/>
          <w:sz w:val="24"/>
          <w:szCs w:val="24"/>
          <w:color w:val="auto"/>
          <w:vertAlign w:val="superscript"/>
        </w:rPr>
      </w:pPr>
      <w:r>
        <w:rPr>
          <w:rFonts w:ascii="Arial" w:cs="Arial" w:eastAsia="Arial" w:hAnsi="Arial"/>
          <w:sz w:val="14"/>
          <w:szCs w:val="14"/>
          <w:color w:val="auto"/>
        </w:rPr>
        <w:t>There is no interest expense in this segment.</w:t>
      </w:r>
    </w:p>
    <w:p>
      <w:pPr>
        <w:spacing w:after="0" w:line="127" w:lineRule="exact"/>
        <w:rPr>
          <w:sz w:val="20"/>
          <w:szCs w:val="20"/>
          <w:color w:val="auto"/>
        </w:rPr>
      </w:pPr>
    </w:p>
    <w:p>
      <w:pPr>
        <w:ind w:left="1078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040"/>
          </w:cols>
          <w:pgMar w:left="440" w:top="265" w:right="419" w:bottom="1440" w:gutter="0" w:footer="0" w:header="0"/>
        </w:sectPr>
      </w:pPr>
    </w:p>
    <w:bookmarkStart w:id="27" w:name="page28"/>
    <w:bookmarkEnd w:id="27"/>
    <w:p>
      <w:pPr>
        <w:ind w:left="10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6997700"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7700" cy="163195"/>
                    </a:xfrm>
                    <a:prstGeom prst="rect">
                      <a:avLst/>
                    </a:prstGeom>
                    <a:noFill/>
                  </pic:spPr>
                </pic:pic>
              </a:graphicData>
            </a:graphic>
          </wp:anchor>
        </w:drawing>
      </w:r>
    </w:p>
    <w:p>
      <w:pPr>
        <w:spacing w:after="0" w:line="160"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This section provides additional information regarding the credit quality and performance indicators related to our Private Education Loan portfolio.</w:t>
      </w:r>
    </w:p>
    <w:p>
      <w:pPr>
        <w:spacing w:after="0" w:line="39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PRIVATE EDUCATION LOANS PORTFOLIO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6997700"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7700" cy="16319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Education Loan Delinquencies and Forbearance — GAAP and Core Earnings Basis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jc w:val="center"/>
              <w:ind w:left="221"/>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jc w:val="center"/>
              <w:ind w:left="221"/>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jc w:val="center"/>
              <w:ind w:left="221"/>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ind w:left="100"/>
              <w:spacing w:after="0"/>
              <w:rPr>
                <w:sz w:val="20"/>
                <w:szCs w:val="20"/>
                <w:color w:val="auto"/>
              </w:rPr>
            </w:pPr>
            <w:r>
              <w:rPr>
                <w:rFonts w:ascii="Arial" w:cs="Arial" w:eastAsia="Arial" w:hAnsi="Arial"/>
                <w:sz w:val="13"/>
                <w:szCs w:val="13"/>
                <w:b w:val="1"/>
                <w:bCs w:val="1"/>
                <w:color w:val="auto"/>
              </w:rPr>
              <w:t>Balance</w:t>
            </w:r>
          </w:p>
        </w:tc>
        <w:tc>
          <w:tcPr>
            <w:tcW w:w="560" w:type="dxa"/>
            <w:vAlign w:val="bottom"/>
          </w:tcPr>
          <w:p>
            <w:pPr>
              <w:jc w:val="right"/>
              <w:ind w:right="260"/>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ind w:left="80"/>
              <w:spacing w:after="0"/>
              <w:rPr>
                <w:sz w:val="20"/>
                <w:szCs w:val="20"/>
                <w:color w:val="auto"/>
              </w:rPr>
            </w:pPr>
            <w:r>
              <w:rPr>
                <w:rFonts w:ascii="Arial" w:cs="Arial" w:eastAsia="Arial" w:hAnsi="Arial"/>
                <w:sz w:val="13"/>
                <w:szCs w:val="13"/>
                <w:b w:val="1"/>
                <w:bCs w:val="1"/>
                <w:color w:val="auto"/>
              </w:rPr>
              <w:t>Balance</w:t>
            </w:r>
          </w:p>
        </w:tc>
        <w:tc>
          <w:tcPr>
            <w:tcW w:w="540" w:type="dxa"/>
            <w:vAlign w:val="bottom"/>
          </w:tcPr>
          <w:p>
            <w:pPr>
              <w:jc w:val="right"/>
              <w:ind w:right="261"/>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ind w:left="100"/>
              <w:spacing w:after="0"/>
              <w:rPr>
                <w:sz w:val="20"/>
                <w:szCs w:val="20"/>
                <w:color w:val="auto"/>
              </w:rPr>
            </w:pPr>
            <w:r>
              <w:rPr>
                <w:rFonts w:ascii="Arial" w:cs="Arial" w:eastAsia="Arial" w:hAnsi="Arial"/>
                <w:sz w:val="13"/>
                <w:szCs w:val="13"/>
                <w:b w:val="1"/>
                <w:bCs w:val="1"/>
                <w:color w:val="auto"/>
              </w:rPr>
              <w:t>Balance</w:t>
            </w:r>
          </w:p>
        </w:tc>
        <w:tc>
          <w:tcPr>
            <w:tcW w:w="560" w:type="dxa"/>
            <w:vAlign w:val="bottom"/>
          </w:tcPr>
          <w:p>
            <w:pPr>
              <w:jc w:val="right"/>
              <w:ind w:right="281"/>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440" w:type="dxa"/>
            <w:vAlign w:val="bottom"/>
            <w:shd w:val="clear" w:color="auto" w:fill="CCEEFF"/>
          </w:tcPr>
          <w:p>
            <w:pPr>
              <w:spacing w:after="0" w:line="183" w:lineRule="exact"/>
              <w:rPr>
                <w:sz w:val="20"/>
                <w:szCs w:val="20"/>
                <w:color w:val="auto"/>
              </w:rPr>
            </w:pPr>
            <w:r>
              <w:rPr>
                <w:rFonts w:ascii="Arial" w:cs="Arial" w:eastAsia="Arial" w:hAnsi="Arial"/>
                <w:sz w:val="13"/>
                <w:szCs w:val="13"/>
                <w:color w:val="auto"/>
              </w:rPr>
              <w:t>Loans in-school/grace/deferment</w:t>
            </w:r>
            <w:r>
              <w:rPr>
                <w:rFonts w:ascii="Arial" w:cs="Arial" w:eastAsia="Arial" w:hAnsi="Arial"/>
                <w:sz w:val="21"/>
                <w:szCs w:val="21"/>
                <w:color w:val="auto"/>
                <w:vertAlign w:val="superscript"/>
              </w:rPr>
              <w:t>(1)</w:t>
            </w:r>
          </w:p>
        </w:tc>
        <w:tc>
          <w:tcPr>
            <w:tcW w:w="36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629</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675</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tcBorders>
              <w:right w:val="single" w:sz="8" w:color="CCEEFF"/>
            </w:tcBorders>
            <w:shd w:val="clear" w:color="auto" w:fill="CCEEFF"/>
          </w:tcPr>
          <w:p>
            <w:pPr>
              <w:spacing w:after="0"/>
              <w:rPr>
                <w:sz w:val="15"/>
                <w:szCs w:val="15"/>
                <w:color w:val="auto"/>
              </w:rPr>
            </w:pPr>
          </w:p>
        </w:tc>
        <w:tc>
          <w:tcPr>
            <w:tcW w:w="36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818</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40" w:type="dxa"/>
            <w:vAlign w:val="bottom"/>
          </w:tcPr>
          <w:p>
            <w:pPr>
              <w:spacing w:after="0" w:line="189" w:lineRule="exact"/>
              <w:rPr>
                <w:sz w:val="20"/>
                <w:szCs w:val="20"/>
                <w:color w:val="auto"/>
              </w:rPr>
            </w:pPr>
            <w:r>
              <w:rPr>
                <w:rFonts w:ascii="Arial" w:cs="Arial" w:eastAsia="Arial" w:hAnsi="Arial"/>
                <w:sz w:val="13"/>
                <w:szCs w:val="13"/>
                <w:color w:val="auto"/>
              </w:rPr>
              <w:t>Loans in forbearance</w:t>
            </w:r>
            <w:r>
              <w:rPr>
                <w:rFonts w:ascii="Arial" w:cs="Arial" w:eastAsia="Arial" w:hAnsi="Arial"/>
                <w:sz w:val="21"/>
                <w:szCs w:val="21"/>
                <w:color w:val="auto"/>
                <w:vertAlign w:val="superscript"/>
              </w:rPr>
              <w:t>(2)</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604</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676</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Loans in repayment and percentage of each status:</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40" w:type="dxa"/>
            <w:vAlign w:val="bottom"/>
          </w:tcPr>
          <w:p>
            <w:pPr>
              <w:ind w:left="640"/>
              <w:spacing w:after="0"/>
              <w:rPr>
                <w:sz w:val="20"/>
                <w:szCs w:val="20"/>
                <w:color w:val="auto"/>
              </w:rPr>
            </w:pPr>
            <w:r>
              <w:rPr>
                <w:rFonts w:ascii="Arial" w:cs="Arial" w:eastAsia="Arial" w:hAnsi="Arial"/>
                <w:sz w:val="16"/>
                <w:szCs w:val="16"/>
                <w:color w:val="auto"/>
              </w:rPr>
              <w:t>Loans current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21,083</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95.4%</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20,626</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95.2%</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20,741</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40" w:type="dxa"/>
            <w:vAlign w:val="bottom"/>
            <w:shd w:val="clear" w:color="auto" w:fill="CCEEFF"/>
          </w:tcPr>
          <w:p>
            <w:pPr>
              <w:ind w:left="640"/>
              <w:spacing w:after="0" w:line="189" w:lineRule="exact"/>
              <w:rPr>
                <w:sz w:val="20"/>
                <w:szCs w:val="20"/>
                <w:color w:val="auto"/>
              </w:rPr>
            </w:pPr>
            <w:r>
              <w:rPr>
                <w:rFonts w:ascii="Arial" w:cs="Arial" w:eastAsia="Arial" w:hAnsi="Arial"/>
                <w:sz w:val="13"/>
                <w:szCs w:val="13"/>
                <w:color w:val="auto"/>
              </w:rPr>
              <w:t>Loans delinquent 31-60 days</w:t>
            </w:r>
            <w:r>
              <w:rPr>
                <w:rFonts w:ascii="Arial" w:cs="Arial" w:eastAsia="Arial" w:hAnsi="Arial"/>
                <w:sz w:val="21"/>
                <w:szCs w:val="21"/>
                <w:color w:val="auto"/>
                <w:vertAlign w:val="superscript"/>
              </w:rPr>
              <w:t>(3)</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tcBorders>
              <w:right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1.6</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tcBorders>
              <w:right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1.6</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tcBorders>
              <w:right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40" w:type="dxa"/>
            <w:vAlign w:val="bottom"/>
          </w:tcPr>
          <w:p>
            <w:pPr>
              <w:ind w:left="640"/>
              <w:spacing w:after="0" w:line="189" w:lineRule="exact"/>
              <w:rPr>
                <w:sz w:val="20"/>
                <w:szCs w:val="20"/>
                <w:color w:val="auto"/>
              </w:rPr>
            </w:pPr>
            <w:r>
              <w:rPr>
                <w:rFonts w:ascii="Arial" w:cs="Arial" w:eastAsia="Arial" w:hAnsi="Arial"/>
                <w:sz w:val="13"/>
                <w:szCs w:val="13"/>
                <w:color w:val="auto"/>
              </w:rPr>
              <w:t>Loans delinquent 61-90 days</w:t>
            </w:r>
            <w:r>
              <w:rPr>
                <w:rFonts w:ascii="Arial" w:cs="Arial" w:eastAsia="Arial" w:hAnsi="Arial"/>
                <w:sz w:val="21"/>
                <w:szCs w:val="21"/>
                <w:color w:val="auto"/>
                <w:vertAlign w:val="superscript"/>
              </w:rPr>
              <w:t>(3)</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218</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ind w:right="120"/>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202</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ind w:right="121"/>
              <w:spacing w:after="0"/>
              <w:rPr>
                <w:sz w:val="20"/>
                <w:szCs w:val="20"/>
                <w:color w:val="auto"/>
              </w:rPr>
            </w:pPr>
            <w:r>
              <w:rPr>
                <w:rFonts w:ascii="Arial" w:cs="Arial" w:eastAsia="Arial" w:hAnsi="Arial"/>
                <w:sz w:val="16"/>
                <w:szCs w:val="16"/>
                <w:color w:val="auto"/>
              </w:rPr>
              <w:t>.9</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267</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ind w:right="121"/>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40" w:type="dxa"/>
            <w:vAlign w:val="bottom"/>
            <w:shd w:val="clear" w:color="auto" w:fill="CCEEFF"/>
          </w:tcPr>
          <w:p>
            <w:pPr>
              <w:ind w:left="640"/>
              <w:spacing w:after="0" w:line="189" w:lineRule="exact"/>
              <w:rPr>
                <w:sz w:val="20"/>
                <w:szCs w:val="20"/>
                <w:color w:val="auto"/>
              </w:rPr>
            </w:pPr>
            <w:r>
              <w:rPr>
                <w:rFonts w:ascii="Arial" w:cs="Arial" w:eastAsia="Arial" w:hAnsi="Arial"/>
                <w:sz w:val="13"/>
                <w:szCs w:val="13"/>
                <w:color w:val="auto"/>
              </w:rPr>
              <w:t>Loans delinquent greater than 90 days</w:t>
            </w:r>
            <w:r>
              <w:rPr>
                <w:rFonts w:ascii="Arial" w:cs="Arial" w:eastAsia="Arial" w:hAnsi="Arial"/>
                <w:sz w:val="21"/>
                <w:szCs w:val="21"/>
                <w:color w:val="auto"/>
                <w:vertAlign w:val="superscript"/>
              </w:rPr>
              <w:t>(3)</w:t>
            </w:r>
          </w:p>
        </w:tc>
        <w:tc>
          <w:tcPr>
            <w:tcW w:w="1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2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right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2.0</w:t>
            </w:r>
          </w:p>
        </w:tc>
        <w:tc>
          <w:tcPr>
            <w:tcW w:w="1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2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right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2.3</w:t>
            </w:r>
          </w:p>
        </w:tc>
        <w:tc>
          <w:tcPr>
            <w:tcW w:w="1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2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right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96"/>
        </w:trPr>
        <w:tc>
          <w:tcPr>
            <w:tcW w:w="4460" w:type="dxa"/>
            <w:vAlign w:val="bottom"/>
            <w:gridSpan w:val="2"/>
          </w:tcPr>
          <w:p>
            <w:pPr>
              <w:spacing w:after="0"/>
              <w:rPr>
                <w:sz w:val="20"/>
                <w:szCs w:val="20"/>
                <w:color w:val="auto"/>
              </w:rPr>
            </w:pPr>
            <w:r>
              <w:rPr>
                <w:rFonts w:ascii="Arial" w:cs="Arial" w:eastAsia="Arial" w:hAnsi="Arial"/>
                <w:sz w:val="16"/>
                <w:szCs w:val="16"/>
                <w:color w:val="auto"/>
              </w:rPr>
              <w:t>Total Private Education Loans in repayment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22,089</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21,655</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22,037</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Total Private Education Loans, gross</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23,322</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22,990</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23,531</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60" w:type="dxa"/>
            <w:vAlign w:val="bottom"/>
            <w:gridSpan w:val="2"/>
          </w:tcPr>
          <w:p>
            <w:pPr>
              <w:spacing w:after="0"/>
              <w:rPr>
                <w:sz w:val="20"/>
                <w:szCs w:val="20"/>
                <w:color w:val="auto"/>
              </w:rPr>
            </w:pPr>
            <w:r>
              <w:rPr>
                <w:rFonts w:ascii="Arial" w:cs="Arial" w:eastAsia="Arial" w:hAnsi="Arial"/>
                <w:sz w:val="16"/>
                <w:szCs w:val="16"/>
                <w:color w:val="auto"/>
              </w:rPr>
              <w:t>Private Education Loan unamortized discount</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Total Private Education Loans</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22,705</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22,344</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22,772</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460" w:type="dxa"/>
            <w:vAlign w:val="bottom"/>
            <w:gridSpan w:val="2"/>
          </w:tcPr>
          <w:p>
            <w:pPr>
              <w:spacing w:after="0"/>
              <w:rPr>
                <w:sz w:val="20"/>
                <w:szCs w:val="20"/>
                <w:color w:val="auto"/>
              </w:rPr>
            </w:pPr>
            <w:r>
              <w:rPr>
                <w:rFonts w:ascii="Arial" w:cs="Arial" w:eastAsia="Arial" w:hAnsi="Arial"/>
                <w:sz w:val="16"/>
                <w:szCs w:val="16"/>
                <w:color w:val="auto"/>
              </w:rPr>
              <w:t>Private Education Loan receivable for partially charged-off</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440" w:type="dxa"/>
            <w:vAlign w:val="bottom"/>
          </w:tcPr>
          <w:p>
            <w:pPr>
              <w:ind w:left="140"/>
              <w:spacing w:after="0"/>
              <w:rPr>
                <w:sz w:val="20"/>
                <w:szCs w:val="20"/>
                <w:color w:val="auto"/>
              </w:rPr>
            </w:pPr>
            <w:r>
              <w:rPr>
                <w:rFonts w:ascii="Arial" w:cs="Arial" w:eastAsia="Arial" w:hAnsi="Arial"/>
                <w:sz w:val="16"/>
                <w:szCs w:val="16"/>
                <w:color w:val="auto"/>
              </w:rPr>
              <w:t>loans</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588</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603</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674</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Private Education Loan allowance for losses</w:t>
            </w:r>
          </w:p>
        </w:tc>
        <w:tc>
          <w:tcPr>
            <w:tcW w:w="1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(1,048)</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(1,101)</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(1,201)</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60" w:type="dxa"/>
            <w:vAlign w:val="bottom"/>
            <w:gridSpan w:val="2"/>
          </w:tcPr>
          <w:p>
            <w:pPr>
              <w:spacing w:after="0"/>
              <w:rPr>
                <w:sz w:val="20"/>
                <w:szCs w:val="20"/>
                <w:color w:val="auto"/>
              </w:rPr>
            </w:pPr>
            <w:r>
              <w:rPr>
                <w:rFonts w:ascii="Arial" w:cs="Arial" w:eastAsia="Arial" w:hAnsi="Arial"/>
                <w:sz w:val="16"/>
                <w:szCs w:val="16"/>
                <w:color w:val="auto"/>
              </w:rPr>
              <w:t>Private Education Loans, net</w:t>
            </w:r>
          </w:p>
        </w:tc>
        <w:tc>
          <w:tcPr>
            <w:tcW w:w="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22,245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21,846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22,245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Percentage of Private Education Loans in repayment</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94.7%</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93.7%</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6"/>
                <w:szCs w:val="16"/>
                <w:color w:val="auto"/>
              </w:rPr>
              <w:t>Delinquencies as a percentage of Private Education Loans in</w:t>
            </w: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4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440" w:type="dxa"/>
            <w:vAlign w:val="bottom"/>
          </w:tcPr>
          <w:p>
            <w:pPr>
              <w:ind w:left="140"/>
              <w:spacing w:after="0"/>
              <w:rPr>
                <w:sz w:val="20"/>
                <w:szCs w:val="20"/>
                <w:color w:val="auto"/>
              </w:rPr>
            </w:pPr>
            <w:r>
              <w:rPr>
                <w:rFonts w:ascii="Arial" w:cs="Arial" w:eastAsia="Arial" w:hAnsi="Arial"/>
                <w:sz w:val="16"/>
                <w:szCs w:val="16"/>
                <w:color w:val="auto"/>
              </w:rPr>
              <w:t>repayment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Loans in forbearance as a percentage of loans in repayment</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and forbearance</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line="223" w:lineRule="exact"/>
              <w:rPr>
                <w:sz w:val="20"/>
                <w:szCs w:val="20"/>
                <w:color w:val="auto"/>
              </w:rPr>
            </w:pPr>
            <w:r>
              <w:rPr>
                <w:rFonts w:ascii="Arial" w:cs="Arial" w:eastAsia="Arial" w:hAnsi="Arial"/>
                <w:sz w:val="15"/>
                <w:szCs w:val="15"/>
                <w:color w:val="auto"/>
              </w:rPr>
              <w:t>Cosigner rate</w:t>
            </w:r>
            <w:r>
              <w:rPr>
                <w:rFonts w:ascii="Arial" w:cs="Arial" w:eastAsia="Arial" w:hAnsi="Arial"/>
                <w:sz w:val="25"/>
                <w:szCs w:val="25"/>
                <w:color w:val="auto"/>
                <w:vertAlign w:val="superscript"/>
              </w:rPr>
              <w:t>(4)</w:t>
            </w: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9779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187" w:lineRule="exact"/>
        <w:rPr>
          <w:sz w:val="20"/>
          <w:szCs w:val="20"/>
          <w:color w:val="auto"/>
        </w:rPr>
      </w:pPr>
    </w:p>
    <w:p>
      <w:pPr>
        <w:ind w:left="320" w:right="160" w:hanging="316"/>
        <w:spacing w:after="0" w:line="183" w:lineRule="auto"/>
        <w:tabs>
          <w:tab w:leader="none" w:pos="320" w:val="left"/>
        </w:tabs>
        <w:numPr>
          <w:ilvl w:val="0"/>
          <w:numId w:val="29"/>
        </w:numPr>
        <w:rPr>
          <w:rFonts w:ascii="Arial" w:cs="Arial" w:eastAsia="Arial" w:hAnsi="Arial"/>
          <w:sz w:val="24"/>
          <w:szCs w:val="24"/>
          <w:color w:val="auto"/>
          <w:vertAlign w:val="superscript"/>
        </w:rPr>
      </w:pPr>
      <w:r>
        <w:rPr>
          <w:rFonts w:ascii="Arial" w:cs="Arial" w:eastAsia="Arial" w:hAnsi="Arial"/>
          <w:sz w:val="14"/>
          <w:szCs w:val="14"/>
          <w:color w:val="auto"/>
        </w:rPr>
        <w:t>Deferment includes customers who have returned to school or are engaged in other permitted educational activities and are not yet required to make payments on the loans, e.g., residency periods for medical students or a grace period for bar exam preparation.</w:t>
      </w:r>
    </w:p>
    <w:p>
      <w:pPr>
        <w:spacing w:after="0" w:line="58" w:lineRule="exact"/>
        <w:rPr>
          <w:rFonts w:ascii="Arial" w:cs="Arial" w:eastAsia="Arial" w:hAnsi="Arial"/>
          <w:sz w:val="24"/>
          <w:szCs w:val="24"/>
          <w:color w:val="auto"/>
          <w:vertAlign w:val="superscript"/>
        </w:rPr>
      </w:pPr>
    </w:p>
    <w:p>
      <w:pPr>
        <w:ind w:left="320" w:right="160" w:hanging="316"/>
        <w:spacing w:after="0" w:line="183" w:lineRule="auto"/>
        <w:tabs>
          <w:tab w:leader="none" w:pos="320" w:val="left"/>
        </w:tabs>
        <w:numPr>
          <w:ilvl w:val="0"/>
          <w:numId w:val="29"/>
        </w:numPr>
        <w:rPr>
          <w:rFonts w:ascii="Arial" w:cs="Arial" w:eastAsia="Arial" w:hAnsi="Arial"/>
          <w:sz w:val="24"/>
          <w:szCs w:val="24"/>
          <w:color w:val="auto"/>
          <w:vertAlign w:val="superscript"/>
        </w:rPr>
      </w:pPr>
      <w:r>
        <w:rPr>
          <w:rFonts w:ascii="Arial" w:cs="Arial" w:eastAsia="Arial" w:hAnsi="Arial"/>
          <w:sz w:val="14"/>
          <w:szCs w:val="14"/>
          <w:color w:val="auto"/>
        </w:rPr>
        <w:t>Loans for customers who have requested extension of grace period generally during employment transition or who have temporarily ceased making full payments due to hardship or other factors such as disaster relief, consistent with established loan program servicing policies and procedures.</w:t>
      </w:r>
    </w:p>
    <w:p>
      <w:pPr>
        <w:spacing w:after="0" w:line="1" w:lineRule="exact"/>
        <w:rPr>
          <w:rFonts w:ascii="Arial" w:cs="Arial" w:eastAsia="Arial" w:hAnsi="Arial"/>
          <w:sz w:val="24"/>
          <w:szCs w:val="24"/>
          <w:color w:val="auto"/>
          <w:vertAlign w:val="superscript"/>
        </w:rPr>
      </w:pPr>
    </w:p>
    <w:p>
      <w:pPr>
        <w:ind w:left="320" w:hanging="316"/>
        <w:spacing w:after="0" w:line="199" w:lineRule="auto"/>
        <w:tabs>
          <w:tab w:leader="none" w:pos="320" w:val="left"/>
        </w:tabs>
        <w:numPr>
          <w:ilvl w:val="0"/>
          <w:numId w:val="29"/>
        </w:numPr>
        <w:rPr>
          <w:rFonts w:ascii="Arial" w:cs="Arial" w:eastAsia="Arial" w:hAnsi="Arial"/>
          <w:sz w:val="24"/>
          <w:szCs w:val="24"/>
          <w:color w:val="auto"/>
          <w:vertAlign w:val="superscript"/>
        </w:rPr>
      </w:pPr>
      <w:r>
        <w:rPr>
          <w:rFonts w:ascii="Arial" w:cs="Arial" w:eastAsia="Arial" w:hAnsi="Arial"/>
          <w:sz w:val="14"/>
          <w:szCs w:val="14"/>
          <w:color w:val="auto"/>
        </w:rPr>
        <w:t>The period of delinquency is based on the number of days scheduled payments are contractually past due.</w:t>
      </w:r>
    </w:p>
    <w:p>
      <w:pPr>
        <w:spacing w:after="0" w:line="58" w:lineRule="exact"/>
        <w:rPr>
          <w:rFonts w:ascii="Arial" w:cs="Arial" w:eastAsia="Arial" w:hAnsi="Arial"/>
          <w:sz w:val="24"/>
          <w:szCs w:val="24"/>
          <w:color w:val="auto"/>
          <w:vertAlign w:val="superscript"/>
        </w:rPr>
      </w:pPr>
    </w:p>
    <w:p>
      <w:pPr>
        <w:ind w:left="320" w:right="400" w:hanging="316"/>
        <w:spacing w:after="0" w:line="183" w:lineRule="auto"/>
        <w:tabs>
          <w:tab w:leader="none" w:pos="320" w:val="left"/>
        </w:tabs>
        <w:numPr>
          <w:ilvl w:val="0"/>
          <w:numId w:val="29"/>
        </w:numPr>
        <w:rPr>
          <w:rFonts w:ascii="Arial" w:cs="Arial" w:eastAsia="Arial" w:hAnsi="Arial"/>
          <w:sz w:val="24"/>
          <w:szCs w:val="24"/>
          <w:color w:val="auto"/>
          <w:vertAlign w:val="superscript"/>
        </w:rPr>
      </w:pPr>
      <w:r>
        <w:rPr>
          <w:rFonts w:ascii="Arial" w:cs="Arial" w:eastAsia="Arial" w:hAnsi="Arial"/>
          <w:sz w:val="14"/>
          <w:szCs w:val="14"/>
          <w:color w:val="auto"/>
        </w:rPr>
        <w:t>Excluding Private Education Refinance Loans, which do not have a cosigner, the cosigner rate was 65% for the fourth-quarter 2019, third-quarter 2019 and fourth-quarter 2018.</w:t>
      </w:r>
    </w:p>
    <w:p>
      <w:pPr>
        <w:spacing w:after="0" w:line="128" w:lineRule="exact"/>
        <w:rPr>
          <w:sz w:val="20"/>
          <w:szCs w:val="20"/>
          <w:color w:val="auto"/>
        </w:rPr>
      </w:pPr>
    </w:p>
    <w:p>
      <w:pPr>
        <w:ind w:left="1078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040"/>
          </w:cols>
          <w:pgMar w:left="440" w:top="333" w:right="41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Allowance for Loan Losses</w:t>
      </w:r>
    </w:p>
    <w:p>
      <w:pPr>
        <w:spacing w:after="0" w:line="12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Our allowance for Private Education Loan losses does not include Purchased Credit Impaired (“PCI”) loans as those loans are separately reserved for, as needed. Related to the $2.8 billion of Purchased Non-Credit Impaired Loans acquired in 2017 at a discount, there is no allowance for loan losses established as of December 31, 2019, as the remaining purchased discount associated with the Private Education Loans of $268 million as of December 31, 2019 remains greater than the incurred losses. However, in accordance with our policy, there was $4 million, $3 million and $4 million of both charge-offs and provision recorded for Purchased Non-Credit Impaired Loans in the three months ended December 31, 2019, September 30, 2019 and December 31, 2018, respectively, and $14 million and $16 million in the years ended December 31, 2019 and 2018, respectively.</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9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QUARTERS ENDED</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40" w:type="dxa"/>
            <w:vAlign w:val="bottom"/>
            <w:gridSpan w:val="5"/>
          </w:tcPr>
          <w:p>
            <w:pPr>
              <w:ind w:left="740"/>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188"/>
        </w:trPr>
        <w:tc>
          <w:tcPr>
            <w:tcW w:w="3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6"/>
                <w:szCs w:val="16"/>
                <w:color w:val="auto"/>
              </w:rPr>
            </w:pPr>
          </w:p>
        </w:tc>
        <w:tc>
          <w:tcPr>
            <w:tcW w:w="1100" w:type="dxa"/>
            <w:vAlign w:val="bottom"/>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1100" w:type="dxa"/>
            <w:vAlign w:val="bottom"/>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31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center"/>
              <w:ind w:right="60"/>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380"/>
              <w:spacing w:after="0"/>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400"/>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Allowance at beginning of period</w:t>
            </w:r>
          </w:p>
        </w:tc>
        <w:tc>
          <w:tcPr>
            <w:tcW w:w="2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1,101</w:t>
            </w:r>
          </w:p>
        </w:tc>
        <w:tc>
          <w:tcPr>
            <w:tcW w:w="3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1,151</w:t>
            </w:r>
          </w:p>
        </w:tc>
        <w:tc>
          <w:tcPr>
            <w:tcW w:w="3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1,226</w:t>
            </w:r>
          </w:p>
        </w:tc>
        <w:tc>
          <w:tcPr>
            <w:tcW w:w="6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1,201</w:t>
            </w:r>
          </w:p>
        </w:tc>
        <w:tc>
          <w:tcPr>
            <w:tcW w:w="3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1,297</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140" w:type="dxa"/>
            <w:vAlign w:val="bottom"/>
            <w:gridSpan w:val="3"/>
          </w:tcPr>
          <w:p>
            <w:pPr>
              <w:spacing w:after="0"/>
              <w:rPr>
                <w:sz w:val="20"/>
                <w:szCs w:val="20"/>
                <w:color w:val="auto"/>
              </w:rPr>
            </w:pPr>
            <w:r>
              <w:rPr>
                <w:rFonts w:ascii="Arial" w:cs="Arial" w:eastAsia="Arial" w:hAnsi="Arial"/>
                <w:sz w:val="16"/>
                <w:szCs w:val="16"/>
                <w:color w:val="auto"/>
              </w:rPr>
              <w:t>Provision for Private Education Loan</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120" w:type="dxa"/>
            <w:vAlign w:val="bottom"/>
            <w:gridSpan w:val="2"/>
          </w:tcPr>
          <w:p>
            <w:pPr>
              <w:ind w:left="200"/>
              <w:spacing w:after="0"/>
              <w:rPr>
                <w:sz w:val="20"/>
                <w:szCs w:val="20"/>
                <w:color w:val="auto"/>
              </w:rPr>
            </w:pPr>
            <w:r>
              <w:rPr>
                <w:rFonts w:ascii="Arial" w:cs="Arial" w:eastAsia="Arial" w:hAnsi="Arial"/>
                <w:sz w:val="16"/>
                <w:szCs w:val="16"/>
                <w:color w:val="auto"/>
              </w:rPr>
              <w:t>losses:</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Purchased Non-Credit Impaired</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1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Loans, acquired at a discount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w:t>
            </w: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14</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20" w:type="dxa"/>
            <w:vAlign w:val="bottom"/>
            <w:gridSpan w:val="2"/>
          </w:tcPr>
          <w:p>
            <w:pPr>
              <w:ind w:left="140"/>
              <w:spacing w:after="0"/>
              <w:rPr>
                <w:sz w:val="20"/>
                <w:szCs w:val="20"/>
                <w:color w:val="auto"/>
              </w:rPr>
            </w:pPr>
            <w:r>
              <w:rPr>
                <w:rFonts w:ascii="Arial" w:cs="Arial" w:eastAsia="Arial" w:hAnsi="Arial"/>
                <w:sz w:val="16"/>
                <w:szCs w:val="16"/>
                <w:color w:val="auto"/>
              </w:rPr>
              <w:t>Remaining loans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38</w:t>
            </w: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53</w:t>
            </w: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71</w:t>
            </w:r>
          </w:p>
        </w:tc>
        <w:tc>
          <w:tcPr>
            <w:tcW w:w="6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212</w:t>
            </w: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283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provision</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42</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56</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75</w:t>
            </w: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226</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299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gridSpan w:val="3"/>
          </w:tcPr>
          <w:p>
            <w:pPr>
              <w:spacing w:after="0"/>
              <w:rPr>
                <w:sz w:val="20"/>
                <w:szCs w:val="20"/>
                <w:color w:val="auto"/>
              </w:rPr>
            </w:pPr>
            <w:r>
              <w:rPr>
                <w:rFonts w:ascii="Arial" w:cs="Arial" w:eastAsia="Arial" w:hAnsi="Arial"/>
                <w:sz w:val="16"/>
                <w:szCs w:val="16"/>
                <w:color w:val="auto"/>
              </w:rPr>
              <w:t>Charge-offs:</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Net adjustment resulting from the</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120" w:type="dxa"/>
            <w:vAlign w:val="bottom"/>
            <w:gridSpan w:val="2"/>
            <w:shd w:val="clear" w:color="auto" w:fill="CCEEFF"/>
          </w:tcPr>
          <w:p>
            <w:pPr>
              <w:ind w:left="480"/>
              <w:spacing w:after="0" w:line="192" w:lineRule="exact"/>
              <w:rPr>
                <w:sz w:val="20"/>
                <w:szCs w:val="20"/>
                <w:color w:val="auto"/>
              </w:rPr>
            </w:pPr>
            <w:r>
              <w:rPr>
                <w:rFonts w:ascii="Arial" w:cs="Arial" w:eastAsia="Arial" w:hAnsi="Arial"/>
                <w:sz w:val="14"/>
                <w:szCs w:val="14"/>
                <w:color w:val="auto"/>
              </w:rPr>
              <w:t>change in the charge-off rate</w:t>
            </w:r>
            <w:r>
              <w:rPr>
                <w:rFonts w:ascii="Arial" w:cs="Arial" w:eastAsia="Arial" w:hAnsi="Arial"/>
                <w:sz w:val="22"/>
                <w:szCs w:val="22"/>
                <w:color w:val="auto"/>
                <w:vertAlign w:val="superscript"/>
              </w:rPr>
              <w:t>(1)</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20" w:type="dxa"/>
            <w:vAlign w:val="bottom"/>
            <w:gridSpan w:val="2"/>
          </w:tcPr>
          <w:p>
            <w:pPr>
              <w:ind w:left="300"/>
              <w:spacing w:after="0" w:line="189" w:lineRule="exact"/>
              <w:rPr>
                <w:sz w:val="20"/>
                <w:szCs w:val="20"/>
                <w:color w:val="auto"/>
              </w:rPr>
            </w:pPr>
            <w:r>
              <w:rPr>
                <w:rFonts w:ascii="Arial" w:cs="Arial" w:eastAsia="Arial" w:hAnsi="Arial"/>
                <w:sz w:val="13"/>
                <w:szCs w:val="13"/>
                <w:color w:val="auto"/>
              </w:rPr>
              <w:t>Net charge-offs remaining</w:t>
            </w:r>
            <w:r>
              <w:rPr>
                <w:rFonts w:ascii="Arial" w:cs="Arial" w:eastAsia="Arial" w:hAnsi="Arial"/>
                <w:sz w:val="21"/>
                <w:szCs w:val="21"/>
                <w:color w:val="auto"/>
                <w:vertAlign w:val="superscript"/>
              </w:rPr>
              <w:t>(2)</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(97)</w:t>
            </w: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(87)</w:t>
            </w: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(102)</w:t>
            </w:r>
          </w:p>
        </w:tc>
        <w:tc>
          <w:tcPr>
            <w:tcW w:w="6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(364)</w:t>
            </w: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2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Total charge-offs</w:t>
            </w:r>
            <w:r>
              <w:rPr>
                <w:rFonts w:ascii="Arial" w:cs="Arial" w:eastAsia="Arial" w:hAnsi="Arial"/>
                <w:sz w:val="21"/>
                <w:szCs w:val="21"/>
                <w:color w:val="auto"/>
                <w:vertAlign w:val="superscript"/>
              </w:rPr>
              <w:t>(2)</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(97)</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(108)</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(102)</w:t>
            </w: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(385)</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20" w:type="dxa"/>
            <w:vAlign w:val="bottom"/>
            <w:gridSpan w:val="2"/>
          </w:tcPr>
          <w:p>
            <w:pPr>
              <w:spacing w:after="0" w:line="189" w:lineRule="exact"/>
              <w:rPr>
                <w:sz w:val="20"/>
                <w:szCs w:val="20"/>
                <w:color w:val="auto"/>
              </w:rPr>
            </w:pPr>
            <w:r>
              <w:rPr>
                <w:rFonts w:ascii="Arial" w:cs="Arial" w:eastAsia="Arial" w:hAnsi="Arial"/>
                <w:sz w:val="13"/>
                <w:szCs w:val="13"/>
                <w:color w:val="auto"/>
              </w:rPr>
              <w:t>Reclassification of interest reserve</w:t>
            </w:r>
            <w:r>
              <w:rPr>
                <w:rFonts w:ascii="Arial" w:cs="Arial" w:eastAsia="Arial" w:hAnsi="Arial"/>
                <w:sz w:val="21"/>
                <w:szCs w:val="21"/>
                <w:color w:val="auto"/>
                <w:vertAlign w:val="superscript"/>
              </w:rPr>
              <w:t>(3)</w:t>
            </w:r>
          </w:p>
        </w:tc>
        <w:tc>
          <w:tcPr>
            <w:tcW w:w="14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7</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Loan sales</w:t>
            </w: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3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40" w:type="dxa"/>
            <w:vAlign w:val="bottom"/>
            <w:gridSpan w:val="3"/>
          </w:tcPr>
          <w:p>
            <w:pPr>
              <w:spacing w:after="0"/>
              <w:rPr>
                <w:sz w:val="20"/>
                <w:szCs w:val="20"/>
                <w:color w:val="auto"/>
              </w:rPr>
            </w:pPr>
            <w:r>
              <w:rPr>
                <w:rFonts w:ascii="Arial" w:cs="Arial" w:eastAsia="Arial" w:hAnsi="Arial"/>
                <w:sz w:val="16"/>
                <w:szCs w:val="16"/>
                <w:color w:val="auto"/>
              </w:rPr>
              <w:t>Allowance at end of period</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1,048</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1,101</w:t>
            </w:r>
          </w:p>
        </w:tc>
        <w:tc>
          <w:tcPr>
            <w:tcW w:w="3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1,201</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1,048</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1,201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charge-offs as a percentage of</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average loans in repayment,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excluding the net adjustment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1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resulting from the change in the</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120" w:type="dxa"/>
            <w:vAlign w:val="bottom"/>
            <w:gridSpan w:val="2"/>
            <w:shd w:val="clear" w:color="auto" w:fill="CCEEFF"/>
          </w:tcPr>
          <w:p>
            <w:pPr>
              <w:ind w:left="200"/>
              <w:spacing w:after="0" w:line="192" w:lineRule="exact"/>
              <w:rPr>
                <w:sz w:val="20"/>
                <w:szCs w:val="20"/>
                <w:color w:val="auto"/>
              </w:rPr>
            </w:pPr>
            <w:r>
              <w:rPr>
                <w:rFonts w:ascii="Arial" w:cs="Arial" w:eastAsia="Arial" w:hAnsi="Arial"/>
                <w:sz w:val="14"/>
                <w:szCs w:val="14"/>
                <w:color w:val="auto"/>
              </w:rPr>
              <w:t>charge-off rate (annualized)</w:t>
            </w:r>
            <w:r>
              <w:rPr>
                <w:rFonts w:ascii="Arial" w:cs="Arial" w:eastAsia="Arial" w:hAnsi="Arial"/>
                <w:sz w:val="22"/>
                <w:szCs w:val="22"/>
                <w:color w:val="auto"/>
                <w:vertAlign w:val="superscript"/>
              </w:rPr>
              <w:t>(1)</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140" w:type="dxa"/>
            <w:vAlign w:val="bottom"/>
            <w:gridSpan w:val="3"/>
          </w:tcPr>
          <w:p>
            <w:pPr>
              <w:spacing w:after="0"/>
              <w:rPr>
                <w:sz w:val="20"/>
                <w:szCs w:val="20"/>
                <w:color w:val="auto"/>
              </w:rPr>
            </w:pPr>
            <w:r>
              <w:rPr>
                <w:rFonts w:ascii="Arial" w:cs="Arial" w:eastAsia="Arial" w:hAnsi="Arial"/>
                <w:sz w:val="16"/>
                <w:szCs w:val="16"/>
                <w:color w:val="auto"/>
              </w:rPr>
              <w:t>Net adjustment resulting from the</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20" w:type="dxa"/>
            <w:vAlign w:val="bottom"/>
            <w:gridSpan w:val="2"/>
          </w:tcPr>
          <w:p>
            <w:pPr>
              <w:ind w:left="200"/>
              <w:spacing w:after="0"/>
              <w:rPr>
                <w:sz w:val="20"/>
                <w:szCs w:val="20"/>
                <w:color w:val="auto"/>
              </w:rPr>
            </w:pPr>
            <w:r>
              <w:rPr>
                <w:rFonts w:ascii="Arial" w:cs="Arial" w:eastAsia="Arial" w:hAnsi="Arial"/>
                <w:sz w:val="16"/>
                <w:szCs w:val="16"/>
                <w:color w:val="auto"/>
              </w:rPr>
              <w:t>change in the charge-off rate as a</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120" w:type="dxa"/>
            <w:vAlign w:val="bottom"/>
            <w:gridSpan w:val="2"/>
          </w:tcPr>
          <w:p>
            <w:pPr>
              <w:ind w:left="200"/>
              <w:spacing w:after="0"/>
              <w:rPr>
                <w:sz w:val="20"/>
                <w:szCs w:val="20"/>
                <w:color w:val="auto"/>
              </w:rPr>
            </w:pPr>
            <w:r>
              <w:rPr>
                <w:rFonts w:ascii="Arial" w:cs="Arial" w:eastAsia="Arial" w:hAnsi="Arial"/>
                <w:sz w:val="16"/>
                <w:szCs w:val="16"/>
                <w:color w:val="auto"/>
              </w:rPr>
              <w:t>percentage of average loans in</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120" w:type="dxa"/>
            <w:vAlign w:val="bottom"/>
            <w:gridSpan w:val="2"/>
          </w:tcPr>
          <w:p>
            <w:pPr>
              <w:ind w:left="200"/>
              <w:spacing w:after="0" w:line="192" w:lineRule="exact"/>
              <w:rPr>
                <w:sz w:val="20"/>
                <w:szCs w:val="20"/>
                <w:color w:val="auto"/>
              </w:rPr>
            </w:pPr>
            <w:r>
              <w:rPr>
                <w:rFonts w:ascii="Arial" w:cs="Arial" w:eastAsia="Arial" w:hAnsi="Arial"/>
                <w:sz w:val="14"/>
                <w:szCs w:val="14"/>
                <w:color w:val="auto"/>
              </w:rPr>
              <w:t>repayment (annualized)</w:t>
            </w:r>
            <w:r>
              <w:rPr>
                <w:rFonts w:ascii="Arial" w:cs="Arial" w:eastAsia="Arial" w:hAnsi="Arial"/>
                <w:sz w:val="22"/>
                <w:szCs w:val="22"/>
                <w:color w:val="auto"/>
                <w:vertAlign w:val="superscript"/>
              </w:rPr>
              <w:t>(1)</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Allowance coverage of charge-offs</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1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(annualized)</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2.7</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2.6</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3.0</w:t>
            </w: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2.7</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140" w:type="dxa"/>
            <w:vAlign w:val="bottom"/>
            <w:gridSpan w:val="3"/>
          </w:tcPr>
          <w:p>
            <w:pPr>
              <w:spacing w:after="0"/>
              <w:rPr>
                <w:sz w:val="20"/>
                <w:szCs w:val="20"/>
                <w:color w:val="auto"/>
              </w:rPr>
            </w:pPr>
            <w:r>
              <w:rPr>
                <w:rFonts w:ascii="Arial" w:cs="Arial" w:eastAsia="Arial" w:hAnsi="Arial"/>
                <w:sz w:val="16"/>
                <w:szCs w:val="16"/>
                <w:color w:val="auto"/>
              </w:rPr>
              <w:t>Allowance as a percentage of the</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120" w:type="dxa"/>
            <w:vAlign w:val="bottom"/>
            <w:gridSpan w:val="2"/>
          </w:tcPr>
          <w:p>
            <w:pPr>
              <w:ind w:left="200"/>
              <w:spacing w:after="0"/>
              <w:rPr>
                <w:sz w:val="20"/>
                <w:szCs w:val="20"/>
                <w:color w:val="auto"/>
              </w:rPr>
            </w:pPr>
            <w:r>
              <w:rPr>
                <w:rFonts w:ascii="Arial" w:cs="Arial" w:eastAsia="Arial" w:hAnsi="Arial"/>
                <w:sz w:val="16"/>
                <w:szCs w:val="16"/>
                <w:color w:val="auto"/>
              </w:rPr>
              <w:t>ending total loan balance</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Allowance as a percentage of ending</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1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loans in repayment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20" w:type="dxa"/>
            <w:vAlign w:val="bottom"/>
            <w:gridSpan w:val="2"/>
          </w:tcPr>
          <w:p>
            <w:pPr>
              <w:spacing w:after="0" w:line="189" w:lineRule="exact"/>
              <w:rPr>
                <w:sz w:val="20"/>
                <w:szCs w:val="20"/>
                <w:color w:val="auto"/>
              </w:rPr>
            </w:pPr>
            <w:r>
              <w:rPr>
                <w:rFonts w:ascii="Arial" w:cs="Arial" w:eastAsia="Arial" w:hAnsi="Arial"/>
                <w:sz w:val="13"/>
                <w:szCs w:val="13"/>
                <w:color w:val="auto"/>
              </w:rPr>
              <w:t>Ending total loans</w:t>
            </w:r>
            <w:r>
              <w:rPr>
                <w:rFonts w:ascii="Arial" w:cs="Arial" w:eastAsia="Arial" w:hAnsi="Arial"/>
                <w:sz w:val="21"/>
                <w:szCs w:val="21"/>
                <w:color w:val="auto"/>
                <w:vertAlign w:val="superscript"/>
              </w:rPr>
              <w:t>(4)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23,910</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23,593</w:t>
            </w:r>
          </w:p>
        </w:tc>
        <w:tc>
          <w:tcPr>
            <w:tcW w:w="3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24,205</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23,910</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24,205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Average loans in repayment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21,977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21,549</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22,147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21,859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22,312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140" w:type="dxa"/>
            <w:vAlign w:val="bottom"/>
            <w:gridSpan w:val="3"/>
          </w:tcPr>
          <w:p>
            <w:pPr>
              <w:spacing w:after="0"/>
              <w:rPr>
                <w:sz w:val="20"/>
                <w:szCs w:val="20"/>
                <w:color w:val="auto"/>
              </w:rPr>
            </w:pPr>
            <w:r>
              <w:rPr>
                <w:rFonts w:ascii="Arial" w:cs="Arial" w:eastAsia="Arial" w:hAnsi="Arial"/>
                <w:sz w:val="16"/>
                <w:szCs w:val="16"/>
                <w:color w:val="auto"/>
              </w:rPr>
              <w:t>Ending loans in repayment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22,089</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21,655</w:t>
            </w:r>
          </w:p>
        </w:tc>
        <w:tc>
          <w:tcPr>
            <w:tcW w:w="3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22,037</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22,089</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22,037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9779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166" w:lineRule="exact"/>
        <w:rPr>
          <w:sz w:val="20"/>
          <w:szCs w:val="20"/>
          <w:color w:val="auto"/>
        </w:rPr>
      </w:pPr>
    </w:p>
    <w:p>
      <w:pPr>
        <w:ind w:left="320" w:right="120" w:hanging="316"/>
        <w:spacing w:after="0" w:line="199" w:lineRule="auto"/>
        <w:tabs>
          <w:tab w:leader="none" w:pos="320" w:val="left"/>
        </w:tabs>
        <w:numPr>
          <w:ilvl w:val="0"/>
          <w:numId w:val="30"/>
        </w:numPr>
        <w:rPr>
          <w:rFonts w:ascii="Arial" w:cs="Arial" w:eastAsia="Arial" w:hAnsi="Arial"/>
          <w:sz w:val="24"/>
          <w:szCs w:val="24"/>
          <w:color w:val="auto"/>
          <w:vertAlign w:val="superscript"/>
        </w:rPr>
      </w:pPr>
      <w:r>
        <w:rPr>
          <w:rFonts w:ascii="Arial" w:cs="Arial" w:eastAsia="Arial" w:hAnsi="Arial"/>
          <w:sz w:val="14"/>
          <w:szCs w:val="14"/>
          <w:color w:val="auto"/>
        </w:rPr>
        <w:t>In third-quarter 2018, the portion of the loan amount charged off at default on our Private Education Loans increased from 79% to 80.5% and in third-quarter 2019, it increased from 80.5% to 81%. These changes resulted in a $21 million and $32 million reduction to the balance of the receivable for partially charged-off loans in third-quarter 2019 and third-quarter 2018, respectively.</w:t>
      </w:r>
    </w:p>
    <w:p>
      <w:pPr>
        <w:spacing w:after="0" w:line="57" w:lineRule="exact"/>
        <w:rPr>
          <w:rFonts w:ascii="Arial" w:cs="Arial" w:eastAsia="Arial" w:hAnsi="Arial"/>
          <w:sz w:val="24"/>
          <w:szCs w:val="24"/>
          <w:color w:val="auto"/>
          <w:vertAlign w:val="superscript"/>
        </w:rPr>
      </w:pPr>
    </w:p>
    <w:p>
      <w:pPr>
        <w:jc w:val="both"/>
        <w:ind w:left="320" w:right="140" w:hanging="316"/>
        <w:spacing w:after="0" w:line="199" w:lineRule="auto"/>
        <w:tabs>
          <w:tab w:leader="none" w:pos="320" w:val="left"/>
        </w:tabs>
        <w:numPr>
          <w:ilvl w:val="0"/>
          <w:numId w:val="30"/>
        </w:numPr>
        <w:rPr>
          <w:rFonts w:ascii="Arial" w:cs="Arial" w:eastAsia="Arial" w:hAnsi="Arial"/>
          <w:sz w:val="24"/>
          <w:szCs w:val="24"/>
          <w:color w:val="auto"/>
          <w:vertAlign w:val="superscript"/>
        </w:rPr>
      </w:pPr>
      <w:r>
        <w:rPr>
          <w:rFonts w:ascii="Arial" w:cs="Arial" w:eastAsia="Arial" w:hAnsi="Arial"/>
          <w:sz w:val="14"/>
          <w:szCs w:val="14"/>
          <w:color w:val="auto"/>
        </w:rPr>
        <w:t>Charge-offs are reported net of expected recoveries. The expected recovery amount is transferred to the receivable for partially charged-off loan balance. Charge-offs include charge-offs against the receivable for partially charged-off loans which represents the difference between what was expected to be collected and any shortfalls in what was actually collected in the period. See “Receivable for Partially Charged-Off Private Education Loans” for further discussion.</w:t>
      </w:r>
    </w:p>
    <w:p>
      <w:pPr>
        <w:spacing w:after="0" w:line="57" w:lineRule="exact"/>
        <w:rPr>
          <w:rFonts w:ascii="Arial" w:cs="Arial" w:eastAsia="Arial" w:hAnsi="Arial"/>
          <w:sz w:val="24"/>
          <w:szCs w:val="24"/>
          <w:color w:val="auto"/>
          <w:vertAlign w:val="superscript"/>
        </w:rPr>
      </w:pPr>
    </w:p>
    <w:p>
      <w:pPr>
        <w:ind w:left="320" w:right="200" w:hanging="316"/>
        <w:spacing w:after="0" w:line="183" w:lineRule="auto"/>
        <w:tabs>
          <w:tab w:leader="none" w:pos="320" w:val="left"/>
        </w:tabs>
        <w:numPr>
          <w:ilvl w:val="0"/>
          <w:numId w:val="30"/>
        </w:numPr>
        <w:rPr>
          <w:rFonts w:ascii="Arial" w:cs="Arial" w:eastAsia="Arial" w:hAnsi="Arial"/>
          <w:sz w:val="24"/>
          <w:szCs w:val="24"/>
          <w:color w:val="auto"/>
          <w:vertAlign w:val="superscript"/>
        </w:rPr>
      </w:pPr>
      <w:r>
        <w:rPr>
          <w:rFonts w:ascii="Arial" w:cs="Arial" w:eastAsia="Arial" w:hAnsi="Arial"/>
          <w:sz w:val="14"/>
          <w:szCs w:val="14"/>
          <w:color w:val="auto"/>
        </w:rPr>
        <w:t>Represents the additional allowance related to the amount of uncollectible interest reserved within interest income that is transferred in the period to the allowance for loan losses when interest is capitalized to a loan’s principal balance.</w:t>
      </w:r>
    </w:p>
    <w:p>
      <w:pPr>
        <w:spacing w:after="0" w:line="1" w:lineRule="exact"/>
        <w:rPr>
          <w:rFonts w:ascii="Arial" w:cs="Arial" w:eastAsia="Arial" w:hAnsi="Arial"/>
          <w:sz w:val="24"/>
          <w:szCs w:val="24"/>
          <w:color w:val="auto"/>
          <w:vertAlign w:val="superscript"/>
        </w:rPr>
      </w:pPr>
    </w:p>
    <w:p>
      <w:pPr>
        <w:ind w:left="320" w:hanging="316"/>
        <w:spacing w:after="0" w:line="199" w:lineRule="auto"/>
        <w:tabs>
          <w:tab w:leader="none" w:pos="320" w:val="left"/>
        </w:tabs>
        <w:numPr>
          <w:ilvl w:val="0"/>
          <w:numId w:val="30"/>
        </w:numPr>
        <w:rPr>
          <w:rFonts w:ascii="Arial" w:cs="Arial" w:eastAsia="Arial" w:hAnsi="Arial"/>
          <w:sz w:val="24"/>
          <w:szCs w:val="24"/>
          <w:color w:val="auto"/>
          <w:vertAlign w:val="superscript"/>
        </w:rPr>
      </w:pPr>
      <w:r>
        <w:rPr>
          <w:rFonts w:ascii="Arial" w:cs="Arial" w:eastAsia="Arial" w:hAnsi="Arial"/>
          <w:sz w:val="14"/>
          <w:szCs w:val="14"/>
          <w:color w:val="auto"/>
        </w:rPr>
        <w:t>Ending total loans represents gross Private Education Loans, plus the receivable for partially charged-off loans.</w:t>
      </w:r>
    </w:p>
    <w:p>
      <w:pPr>
        <w:spacing w:after="0" w:line="128" w:lineRule="exact"/>
        <w:rPr>
          <w:sz w:val="20"/>
          <w:szCs w:val="20"/>
          <w:color w:val="auto"/>
        </w:rPr>
      </w:pPr>
    </w:p>
    <w:p>
      <w:pPr>
        <w:ind w:left="10780"/>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040"/>
          </w:cols>
          <w:pgMar w:left="440" w:top="269" w:right="419" w:bottom="1440" w:gutter="0" w:footer="0" w:header="0"/>
        </w:sectPr>
      </w:pPr>
    </w:p>
    <w:bookmarkStart w:id="29" w:name="page30"/>
    <w:bookmarkEnd w:id="29"/>
    <w:p>
      <w:pPr>
        <w:ind w:right="10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establishing the allowance for Private Education Loan losses as of December 31, 2019, we considered several factors with respect to our Private Education Loan portfolio. Loan delinquencies greater than 90 days decreased by $175 million and forbearances decreased by $72 million compared with the year-ago quarter. Outstanding non-Refinance Private Education Loans decreased $3.2 billion from the year-ago quarter. These factors primarily resulted in the $33 million decrease in provision from the year-ago quarter.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 for Partially Charged-Off Private Education Loans</w:t>
      </w:r>
    </w:p>
    <w:p>
      <w:pPr>
        <w:spacing w:after="0" w:line="12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At the end of each month, for loans that are 212 or more days past due, we charge off the estimated loss of a defaulted loan balance. Actual recoveries are applied against the remaining loan balance that was not charged off. We refer to this remaining loan balance as the “receivable for partially charged-off loans.” If actual periodic recoveries are less than expected, the difference is immediately charged off through the allowance for Private Education Loan losses with an offsetting reduction in the receivable for partially charged-off Private Education Loans. If actual periodic recoveries are greater than expected, they will be reflected as a recovery through the allowance for Private Education Loan losses once the cumulative recovery amount exceeds the cumulative amount originally expected to be recovered.</w:t>
      </w:r>
    </w:p>
    <w:p>
      <w:pPr>
        <w:spacing w:after="0" w:line="205"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The following table summarizes the activity in the receivable for partially charged-off Private Education Loans (GAAP-basis and Core Earnings-basis are the same).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80" w:type="dxa"/>
            <w:vAlign w:val="bottom"/>
            <w:gridSpan w:val="4"/>
          </w:tcPr>
          <w:p>
            <w:pPr>
              <w:jc w:val="center"/>
              <w:spacing w:after="0"/>
              <w:rPr>
                <w:sz w:val="20"/>
                <w:szCs w:val="20"/>
                <w:color w:val="auto"/>
              </w:rPr>
            </w:pPr>
            <w:r>
              <w:rPr>
                <w:rFonts w:ascii="Arial" w:cs="Arial" w:eastAsia="Arial" w:hAnsi="Arial"/>
                <w:sz w:val="14"/>
                <w:szCs w:val="14"/>
                <w:b w:val="1"/>
                <w:bCs w:val="1"/>
                <w:color w:val="auto"/>
              </w:rPr>
              <w:t>QUARTERS ENDED</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5"/>
          </w:tcPr>
          <w:p>
            <w:pPr>
              <w:ind w:left="640"/>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188"/>
        </w:trPr>
        <w:tc>
          <w:tcPr>
            <w:tcW w:w="3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6"/>
                <w:szCs w:val="16"/>
                <w:color w:val="auto"/>
              </w:rPr>
            </w:pPr>
          </w:p>
        </w:tc>
        <w:tc>
          <w:tcPr>
            <w:tcW w:w="1100" w:type="dxa"/>
            <w:vAlign w:val="bottom"/>
          </w:tcPr>
          <w:p>
            <w:pPr>
              <w:jc w:val="right"/>
              <w:ind w:right="75"/>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1100" w:type="dxa"/>
            <w:vAlign w:val="bottom"/>
          </w:tcPr>
          <w:p>
            <w:pPr>
              <w:jc w:val="right"/>
              <w:ind w:right="75"/>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77"/>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39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ind w:right="7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377"/>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Receivable at beginning of period</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603</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688</w:t>
            </w: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674</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00" w:type="dxa"/>
            <w:vAlign w:val="bottom"/>
            <w:gridSpan w:val="2"/>
          </w:tcPr>
          <w:p>
            <w:pPr>
              <w:spacing w:after="0" w:line="199" w:lineRule="exact"/>
              <w:rPr>
                <w:sz w:val="20"/>
                <w:szCs w:val="20"/>
                <w:color w:val="auto"/>
              </w:rPr>
            </w:pPr>
            <w:r>
              <w:rPr>
                <w:rFonts w:ascii="Arial" w:cs="Arial" w:eastAsia="Arial" w:hAnsi="Arial"/>
                <w:sz w:val="18"/>
                <w:szCs w:val="18"/>
                <w:color w:val="auto"/>
              </w:rPr>
              <w:t>Expected future recoveries of current period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900" w:type="dxa"/>
            <w:vAlign w:val="bottom"/>
            <w:gridSpan w:val="2"/>
          </w:tcPr>
          <w:p>
            <w:pPr>
              <w:ind w:left="200"/>
              <w:spacing w:after="0"/>
              <w:rPr>
                <w:sz w:val="20"/>
                <w:szCs w:val="20"/>
                <w:color w:val="auto"/>
              </w:rPr>
            </w:pPr>
            <w:r>
              <w:rPr>
                <w:rFonts w:ascii="Arial" w:cs="Arial" w:eastAsia="Arial" w:hAnsi="Arial"/>
                <w:sz w:val="18"/>
                <w:szCs w:val="18"/>
                <w:color w:val="auto"/>
              </w:rPr>
              <w:t>defaults</w:t>
            </w:r>
            <w:r>
              <w:rPr>
                <w:rFonts w:ascii="Arial" w:cs="Arial" w:eastAsia="Arial" w:hAnsi="Arial"/>
                <w:sz w:val="15"/>
                <w:szCs w:val="15"/>
                <w:color w:val="auto"/>
              </w:rPr>
              <w:t>(1)</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Recoveries</w:t>
            </w:r>
            <w:r>
              <w:rPr>
                <w:rFonts w:ascii="Arial" w:cs="Arial" w:eastAsia="Arial" w:hAnsi="Arial"/>
                <w:sz w:val="15"/>
                <w:szCs w:val="15"/>
                <w:color w:val="auto"/>
              </w:rPr>
              <w:t>(2)</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gridSpan w:val="2"/>
          </w:tcPr>
          <w:p>
            <w:pPr>
              <w:spacing w:after="0" w:line="202" w:lineRule="exact"/>
              <w:rPr>
                <w:sz w:val="20"/>
                <w:szCs w:val="20"/>
                <w:color w:val="auto"/>
              </w:rPr>
            </w:pPr>
            <w:r>
              <w:rPr>
                <w:rFonts w:ascii="Arial" w:cs="Arial" w:eastAsia="Arial" w:hAnsi="Arial"/>
                <w:sz w:val="18"/>
                <w:szCs w:val="18"/>
                <w:color w:val="auto"/>
              </w:rPr>
              <w:t>Charge-offs</w:t>
            </w:r>
            <w:r>
              <w:rPr>
                <w:rFonts w:ascii="Arial" w:cs="Arial" w:eastAsia="Arial" w:hAnsi="Arial"/>
                <w:sz w:val="15"/>
                <w:szCs w:val="15"/>
                <w:color w:val="auto"/>
              </w:rPr>
              <w:t>(3)</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Receivable at end of period</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588</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674</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588</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9779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84" w:lineRule="exact"/>
        <w:rPr>
          <w:sz w:val="20"/>
          <w:szCs w:val="20"/>
          <w:color w:val="auto"/>
        </w:rPr>
      </w:pPr>
    </w:p>
    <w:p>
      <w:pPr>
        <w:ind w:left="320" w:hanging="316"/>
        <w:spacing w:after="0"/>
        <w:tabs>
          <w:tab w:leader="none" w:pos="320" w:val="left"/>
        </w:tabs>
        <w:numPr>
          <w:ilvl w:val="0"/>
          <w:numId w:val="31"/>
        </w:numPr>
        <w:rPr>
          <w:rFonts w:ascii="Arial" w:cs="Arial" w:eastAsia="Arial" w:hAnsi="Arial"/>
          <w:sz w:val="24"/>
          <w:szCs w:val="24"/>
          <w:color w:val="auto"/>
          <w:vertAlign w:val="superscript"/>
        </w:rPr>
      </w:pPr>
      <w:r>
        <w:rPr>
          <w:rFonts w:ascii="Arial" w:cs="Arial" w:eastAsia="Arial" w:hAnsi="Arial"/>
          <w:sz w:val="14"/>
          <w:szCs w:val="14"/>
          <w:color w:val="auto"/>
        </w:rPr>
        <w:t>Represents our estimate of the amount to be collected in the future.</w:t>
      </w:r>
    </w:p>
    <w:p>
      <w:pPr>
        <w:spacing w:after="0" w:line="57" w:lineRule="exact"/>
        <w:rPr>
          <w:rFonts w:ascii="Arial" w:cs="Arial" w:eastAsia="Arial" w:hAnsi="Arial"/>
          <w:sz w:val="24"/>
          <w:szCs w:val="24"/>
          <w:color w:val="auto"/>
          <w:vertAlign w:val="superscript"/>
        </w:rPr>
      </w:pPr>
    </w:p>
    <w:p>
      <w:pPr>
        <w:ind w:left="320" w:hanging="316"/>
        <w:spacing w:after="0" w:line="189" w:lineRule="auto"/>
        <w:tabs>
          <w:tab w:leader="none" w:pos="320" w:val="left"/>
        </w:tabs>
        <w:numPr>
          <w:ilvl w:val="0"/>
          <w:numId w:val="31"/>
        </w:numPr>
        <w:rPr>
          <w:rFonts w:ascii="Arial" w:cs="Arial" w:eastAsia="Arial" w:hAnsi="Arial"/>
          <w:sz w:val="19"/>
          <w:szCs w:val="19"/>
          <w:color w:val="auto"/>
          <w:vertAlign w:val="superscript"/>
        </w:rPr>
      </w:pPr>
      <w:r>
        <w:rPr>
          <w:rFonts w:ascii="Arial" w:cs="Arial" w:eastAsia="Arial" w:hAnsi="Arial"/>
          <w:sz w:val="12"/>
          <w:szCs w:val="12"/>
          <w:color w:val="auto"/>
        </w:rPr>
        <w:t>Current period cash collections.</w:t>
      </w:r>
    </w:p>
    <w:p>
      <w:pPr>
        <w:spacing w:after="0" w:line="57" w:lineRule="exact"/>
        <w:rPr>
          <w:rFonts w:ascii="Arial" w:cs="Arial" w:eastAsia="Arial" w:hAnsi="Arial"/>
          <w:sz w:val="19"/>
          <w:szCs w:val="19"/>
          <w:color w:val="auto"/>
          <w:vertAlign w:val="superscript"/>
        </w:rPr>
      </w:pPr>
    </w:p>
    <w:p>
      <w:pPr>
        <w:ind w:left="320" w:right="200" w:hanging="316"/>
        <w:spacing w:after="0" w:line="208" w:lineRule="auto"/>
        <w:tabs>
          <w:tab w:leader="none" w:pos="320" w:val="left"/>
        </w:tabs>
        <w:numPr>
          <w:ilvl w:val="0"/>
          <w:numId w:val="31"/>
        </w:numPr>
        <w:rPr>
          <w:rFonts w:ascii="Arial" w:cs="Arial" w:eastAsia="Arial" w:hAnsi="Arial"/>
          <w:sz w:val="24"/>
          <w:szCs w:val="24"/>
          <w:color w:val="auto"/>
          <w:vertAlign w:val="superscript"/>
        </w:rPr>
      </w:pPr>
      <w:r>
        <w:rPr>
          <w:rFonts w:ascii="Arial" w:cs="Arial" w:eastAsia="Arial" w:hAnsi="Arial"/>
          <w:sz w:val="14"/>
          <w:szCs w:val="14"/>
          <w:color w:val="auto"/>
        </w:rPr>
        <w:t>Represents the current period recovery shortfall — the difference between what was expected to be collected and what was actually collected. In addition, in third-quarter 2018 the portion of the loan amount charged off at default increased from 79% to 80.5% and in third-quarter 2019 it increased from 80.5% to 81%. These changes resulted in a $21 million and $32 million reduction to the balance of the receivable for partially charged-off loans in third-quarter 2019 and third-quarter 2018, respectively. These amounts are included in total charge-offs as reported in the “Allowance for Private Education Loan Losses” table.</w:t>
      </w:r>
    </w:p>
    <w:p>
      <w:pPr>
        <w:spacing w:after="0" w:line="39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6997700"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7700" cy="163195"/>
                    </a:xfrm>
                    <a:prstGeom prst="rect">
                      <a:avLst/>
                    </a:prstGeom>
                    <a:noFill/>
                  </pic:spPr>
                </pic:pic>
              </a:graphicData>
            </a:graphic>
          </wp:anchor>
        </w:drawing>
      </w:r>
    </w:p>
    <w:p>
      <w:pPr>
        <w:spacing w:after="0" w:line="160"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We expect to fund our ongoing liquidity needs, including the repayment of $1.1 billion of senior unsecured notes that mature in the next twelve months, primarily through our current cash, investments and unencumbered FFELP Loan and Private Education Refinance Loan portfolios, the predictable operating cash flows provided by operating activities, the repayment of principal on unencumbered education loan assets, and the distribution of overcollateralization from our securitization trusts. We may also, depending on market conditions and availability, draw down on our secured FFELP Loan and Private Education Loan facilities, issue term asset-backed securities (“ABS”), enter into additional Private Education Loan ABS repurchase facilities, or issue additional unsecured debt.</w:t>
      </w:r>
    </w:p>
    <w:p>
      <w:pPr>
        <w:spacing w:after="0" w:line="205"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We originate Private Education Loans. We also have purchased and may purchase, in future periods, Private Education Loan and FFELP Loan portfolios from third parties. Those originations and purchases are a part of our ongoing liquidity needs. We repurchased 5.8 million shares of common stock for $77 million in the fourth quarter of 2019 and have $1.0 billion of remaining share repurchase authority as of December 31, 2019.</w:t>
      </w:r>
    </w:p>
    <w:p>
      <w:pPr>
        <w:spacing w:after="0" w:line="129" w:lineRule="exact"/>
        <w:rPr>
          <w:sz w:val="20"/>
          <w:szCs w:val="20"/>
          <w:color w:val="auto"/>
        </w:rPr>
      </w:pPr>
    </w:p>
    <w:p>
      <w:pPr>
        <w:jc w:val="right"/>
        <w:ind w:right="20"/>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040"/>
          </w:cols>
          <w:pgMar w:left="440" w:top="287" w:right="419" w:bottom="1440" w:gutter="0" w:footer="0" w:header="0"/>
        </w:sectPr>
      </w:pPr>
    </w:p>
    <w:bookmarkStart w:id="30" w:name="page31"/>
    <w:bookmarkEnd w:id="30"/>
    <w:p>
      <w:pPr>
        <w:ind w:left="10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6997700" cy="2317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7700" cy="231775"/>
                    </a:xfrm>
                    <a:prstGeom prst="rect">
                      <a:avLst/>
                    </a:prstGeom>
                    <a:noFill/>
                  </pic:spPr>
                </pic:pic>
              </a:graphicData>
            </a:graphic>
          </wp:anchor>
        </w:drawing>
        <w:t>SOURCES OF LIQUIDITY AND AVAILABLE CAPACITY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Ending Balances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76"/>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3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56"/>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416"/>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Sources of primary liquidity:</w:t>
            </w: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line="202" w:lineRule="exact"/>
              <w:rPr>
                <w:sz w:val="20"/>
                <w:szCs w:val="20"/>
                <w:color w:val="auto"/>
              </w:rPr>
            </w:pPr>
            <w:r>
              <w:rPr>
                <w:rFonts w:ascii="Arial" w:cs="Arial" w:eastAsia="Arial" w:hAnsi="Arial"/>
                <w:sz w:val="18"/>
                <w:szCs w:val="18"/>
                <w:color w:val="auto"/>
              </w:rPr>
              <w:t>Total unrestricted cash and liquid investments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1,233</w:t>
            </w:r>
          </w:p>
        </w:tc>
        <w:tc>
          <w:tcPr>
            <w:tcW w:w="3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1,583</w:t>
            </w:r>
          </w:p>
        </w:tc>
        <w:tc>
          <w:tcPr>
            <w:tcW w:w="16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Unencumbered FFELP Loans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319</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gridSpan w:val="3"/>
          </w:tcPr>
          <w:p>
            <w:pPr>
              <w:spacing w:after="0" w:line="202" w:lineRule="exact"/>
              <w:rPr>
                <w:sz w:val="20"/>
                <w:szCs w:val="20"/>
                <w:color w:val="auto"/>
              </w:rPr>
            </w:pPr>
            <w:r>
              <w:rPr>
                <w:rFonts w:ascii="Arial" w:cs="Arial" w:eastAsia="Arial" w:hAnsi="Arial"/>
                <w:sz w:val="18"/>
                <w:szCs w:val="18"/>
                <w:color w:val="auto"/>
              </w:rPr>
              <w:t>Unencumbered Private Education Refinance Loans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330</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GAAP and Core Earnings basis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1,966</w:t>
            </w:r>
          </w:p>
        </w:tc>
        <w:tc>
          <w:tcPr>
            <w:tcW w:w="3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2,119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Average Balances</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9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0" w:type="dxa"/>
            <w:vAlign w:val="bottom"/>
            <w:gridSpan w:val="5"/>
          </w:tcPr>
          <w:p>
            <w:pPr>
              <w:ind w:left="120"/>
              <w:spacing w:after="0"/>
              <w:rPr>
                <w:sz w:val="20"/>
                <w:szCs w:val="20"/>
                <w:color w:val="auto"/>
              </w:rPr>
            </w:pPr>
            <w:r>
              <w:rPr>
                <w:rFonts w:ascii="Arial" w:cs="Arial" w:eastAsia="Arial" w:hAnsi="Arial"/>
                <w:sz w:val="14"/>
                <w:szCs w:val="14"/>
                <w:b w:val="1"/>
                <w:bCs w:val="1"/>
                <w:color w:val="auto"/>
              </w:rPr>
              <w:t>QUARTERS ENDED</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6"/>
          </w:tcPr>
          <w:p>
            <w:pPr>
              <w:ind w:left="600"/>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188"/>
        </w:trPr>
        <w:tc>
          <w:tcPr>
            <w:tcW w:w="3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76"/>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1100" w:type="dxa"/>
            <w:vAlign w:val="bottom"/>
          </w:tcPr>
          <w:p>
            <w:pPr>
              <w:jc w:val="center"/>
              <w:ind w:right="36"/>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3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ind w:right="416"/>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56"/>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236"/>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15"/>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Sources of primary liquidity:</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line="202" w:lineRule="exact"/>
              <w:rPr>
                <w:sz w:val="20"/>
                <w:szCs w:val="20"/>
                <w:color w:val="auto"/>
              </w:rPr>
            </w:pPr>
            <w:r>
              <w:rPr>
                <w:rFonts w:ascii="Arial" w:cs="Arial" w:eastAsia="Arial" w:hAnsi="Arial"/>
                <w:sz w:val="18"/>
                <w:szCs w:val="18"/>
                <w:color w:val="auto"/>
              </w:rPr>
              <w:t>Total unrestricted cash and liquid investments</w:t>
            </w:r>
          </w:p>
        </w:tc>
        <w:tc>
          <w:tcPr>
            <w:tcW w:w="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1,463</w:t>
            </w:r>
          </w:p>
        </w:tc>
        <w:tc>
          <w:tcPr>
            <w:tcW w:w="28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1,409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1,933</w:t>
            </w:r>
          </w:p>
        </w:tc>
        <w:tc>
          <w:tcPr>
            <w:tcW w:w="48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1,261</w:t>
            </w:r>
          </w:p>
        </w:tc>
        <w:tc>
          <w:tcPr>
            <w:tcW w:w="14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1,672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Unencumbered FFELP Loans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433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tcPr>
          <w:p>
            <w:pPr>
              <w:spacing w:after="0" w:line="201" w:lineRule="exact"/>
              <w:rPr>
                <w:sz w:val="20"/>
                <w:szCs w:val="20"/>
                <w:color w:val="auto"/>
              </w:rPr>
            </w:pPr>
            <w:r>
              <w:rPr>
                <w:rFonts w:ascii="Arial" w:cs="Arial" w:eastAsia="Arial" w:hAnsi="Arial"/>
                <w:sz w:val="18"/>
                <w:szCs w:val="18"/>
                <w:color w:val="auto"/>
              </w:rPr>
              <w:t>Unencumbered Private Education Refinance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Pr>
          <w:p>
            <w:pPr>
              <w:ind w:left="200"/>
              <w:spacing w:after="0" w:line="203" w:lineRule="exact"/>
              <w:rPr>
                <w:sz w:val="20"/>
                <w:szCs w:val="20"/>
                <w:color w:val="auto"/>
              </w:rPr>
            </w:pPr>
            <w:r>
              <w:rPr>
                <w:rFonts w:ascii="Arial" w:cs="Arial" w:eastAsia="Arial" w:hAnsi="Arial"/>
                <w:sz w:val="18"/>
                <w:szCs w:val="18"/>
                <w:color w:val="auto"/>
              </w:rPr>
              <w:t>Loans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587</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473</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60"/>
              <w:spacing w:after="0" w:line="203" w:lineRule="exact"/>
              <w:rPr>
                <w:sz w:val="20"/>
                <w:szCs w:val="20"/>
                <w:color w:val="auto"/>
              </w:rPr>
            </w:pPr>
            <w:r>
              <w:rPr>
                <w:rFonts w:ascii="Arial" w:cs="Arial" w:eastAsia="Arial" w:hAnsi="Arial"/>
                <w:sz w:val="18"/>
                <w:szCs w:val="18"/>
                <w:color w:val="auto"/>
              </w:rPr>
              <w:t>670</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GAAP and Core Earnings basis</w:t>
            </w:r>
          </w:p>
        </w:tc>
        <w:tc>
          <w:tcPr>
            <w:tcW w:w="2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2,361</w:t>
            </w:r>
          </w:p>
        </w:tc>
        <w:tc>
          <w:tcPr>
            <w:tcW w:w="28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2,303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3,053</w:t>
            </w:r>
          </w:p>
        </w:tc>
        <w:tc>
          <w:tcPr>
            <w:tcW w:w="48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2,364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2,667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Liquidity may also be available under secured credit facilities to the extent we have eligible collateral and capacity available. Maximum borrowing capacity under the FFELP Loan asset-backed commercial paper (“ABCP”) facilities will vary and be subject to each agreement’s borrowing conditions, including, among others, facility size, current usage and availability of qualifying collateral from unencumbered FFELP Loans. As of December 31, 2019, September 30, 2019, and December 31, 2018, the maximum additional capacity under these facilities was $867 million, $1.4 billion and $752 million, respectively. For the three months ended December 31, 2019, September 30, 2019 and December 31, 2018, the average maximum additional capacity under these facilities was $1.5 billion, $1.2 billion and $2.1 billion, respectively. For the years ended December 31, 2019 and 2018, the average maximum additional capacity under these facilities was $1.3 billion and $2.0 billion, respectively. As of December 31, 2019, the maturity dates of the FFELP Loan-other facilities ranged from November 2020 to April 2021.</w:t>
      </w:r>
    </w:p>
    <w:p>
      <w:pPr>
        <w:spacing w:after="0" w:line="99"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Liquidity may also be available from our Private Education Loan ABCP facilities. Maximum borrowing capacity under these facilities will vary and be subject to each agreement’s borrowing conditions, including, among others, facility size, current usage and availability of qualifying collateral from unencumbered Private Education Loans. As of December 31, 2019, September 30, 2019 and December 31, 2018, the maximum additional capacity under these facilities was $384 million, $306 million and $635 million, respectively. For the three months ended December 31, 2019, September 30, 2019 and December 31, 2018, the average maximum additional capacity under these facilities was $514 million, $1.2 billion and $642 million, respectively. For the years ended December 31, 2019 and 2018, the average maximum additional capacity under these facilities was $1.0 billion and $714 million, respectively. As of December 31, 2019, the maturity dates of the Private Education Loan facilities ranged from June 2020 to December 2021.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we had a total of $5.6 billion of unencumbered tangible assets inclusive of those listed in the table above as</w:t>
      </w:r>
    </w:p>
    <w:p>
      <w:pPr>
        <w:spacing w:after="0" w:line="234" w:lineRule="auto"/>
        <w:rPr>
          <w:sz w:val="20"/>
          <w:szCs w:val="20"/>
          <w:color w:val="auto"/>
        </w:rPr>
      </w:pPr>
      <w:r>
        <w:rPr>
          <w:rFonts w:ascii="Arial" w:cs="Arial" w:eastAsia="Arial" w:hAnsi="Arial"/>
          <w:sz w:val="18"/>
          <w:szCs w:val="18"/>
          <w:color w:val="auto"/>
        </w:rPr>
        <w:t>sources of primary liquidity. Total unencumbered education loans comprised $3.0 billion of our unencumbered tangible assets of which</w:t>
      </w:r>
    </w:p>
    <w:p>
      <w:pPr>
        <w:spacing w:after="0" w:line="235" w:lineRule="auto"/>
        <w:rPr>
          <w:sz w:val="20"/>
          <w:szCs w:val="20"/>
          <w:color w:val="auto"/>
        </w:rPr>
      </w:pPr>
      <w:r>
        <w:rPr>
          <w:rFonts w:ascii="Arial" w:cs="Arial" w:eastAsia="Arial" w:hAnsi="Arial"/>
          <w:sz w:val="18"/>
          <w:szCs w:val="18"/>
          <w:color w:val="auto"/>
        </w:rPr>
        <w:t>$2.6 billion and $319 million related to Private Education Loans and FFELP Loans, respectively. In addition, as of December 31, 2019, we</w:t>
      </w:r>
    </w:p>
    <w:p>
      <w:pPr>
        <w:spacing w:after="0" w:line="235" w:lineRule="auto"/>
        <w:rPr>
          <w:sz w:val="20"/>
          <w:szCs w:val="20"/>
          <w:color w:val="auto"/>
        </w:rPr>
      </w:pPr>
      <w:r>
        <w:rPr>
          <w:rFonts w:ascii="Arial" w:cs="Arial" w:eastAsia="Arial" w:hAnsi="Arial"/>
          <w:sz w:val="18"/>
          <w:szCs w:val="18"/>
          <w:color w:val="auto"/>
        </w:rPr>
        <w:t>had $7.5 billion of encumbered net assets (i.e., overcollateralization) in our various financing facilities (consolidated variable interest</w:t>
      </w:r>
    </w:p>
    <w:p>
      <w:pPr>
        <w:spacing w:after="0" w:line="235" w:lineRule="auto"/>
        <w:rPr>
          <w:sz w:val="20"/>
          <w:szCs w:val="20"/>
          <w:color w:val="auto"/>
        </w:rPr>
      </w:pPr>
      <w:r>
        <w:rPr>
          <w:rFonts w:ascii="Arial" w:cs="Arial" w:eastAsia="Arial" w:hAnsi="Arial"/>
          <w:sz w:val="18"/>
          <w:szCs w:val="18"/>
          <w:color w:val="auto"/>
        </w:rPr>
        <w:t>entities). Since the fourth quarter of 2015, we have closed on $4.2 billion of Private Education Loan ABS Repurchase Facilities. These</w:t>
      </w:r>
    </w:p>
    <w:p>
      <w:pPr>
        <w:spacing w:after="0" w:line="235" w:lineRule="auto"/>
        <w:rPr>
          <w:sz w:val="20"/>
          <w:szCs w:val="20"/>
          <w:color w:val="auto"/>
        </w:rPr>
      </w:pPr>
      <w:r>
        <w:rPr>
          <w:rFonts w:ascii="Arial" w:cs="Arial" w:eastAsia="Arial" w:hAnsi="Arial"/>
          <w:sz w:val="18"/>
          <w:szCs w:val="18"/>
          <w:color w:val="auto"/>
        </w:rPr>
        <w:t>repurchase facilities are collateralized by Residual Interests in previously issued Private Education Loan ABS trusts. These are examples</w:t>
      </w:r>
    </w:p>
    <w:p>
      <w:pPr>
        <w:spacing w:after="0" w:line="235" w:lineRule="auto"/>
        <w:rPr>
          <w:sz w:val="20"/>
          <w:szCs w:val="20"/>
          <w:color w:val="auto"/>
        </w:rPr>
      </w:pPr>
      <w:r>
        <w:rPr>
          <w:rFonts w:ascii="Arial" w:cs="Arial" w:eastAsia="Arial" w:hAnsi="Arial"/>
          <w:sz w:val="18"/>
          <w:szCs w:val="18"/>
          <w:color w:val="auto"/>
        </w:rPr>
        <w:t>of how we can effectively finance previously encumbered assets to generate additional liquidity in addition to the unencumbered assets we</w:t>
      </w:r>
    </w:p>
    <w:p>
      <w:pPr>
        <w:spacing w:after="0" w:line="235" w:lineRule="auto"/>
        <w:rPr>
          <w:sz w:val="20"/>
          <w:szCs w:val="20"/>
          <w:color w:val="auto"/>
        </w:rPr>
      </w:pPr>
      <w:r>
        <w:rPr>
          <w:rFonts w:ascii="Arial" w:cs="Arial" w:eastAsia="Arial" w:hAnsi="Arial"/>
          <w:sz w:val="18"/>
          <w:szCs w:val="18"/>
          <w:color w:val="auto"/>
        </w:rPr>
        <w:t>traditionally have encumbered in the past. Additionally, these repurchase facilities had a cost of funds lower than that of a new unsecured</w:t>
      </w:r>
    </w:p>
    <w:p>
      <w:pPr>
        <w:spacing w:after="0"/>
        <w:rPr>
          <w:sz w:val="20"/>
          <w:szCs w:val="20"/>
          <w:color w:val="auto"/>
        </w:rPr>
      </w:pPr>
      <w:r>
        <w:rPr>
          <w:rFonts w:ascii="Arial" w:cs="Arial" w:eastAsia="Arial" w:hAnsi="Arial"/>
          <w:sz w:val="18"/>
          <w:szCs w:val="18"/>
          <w:color w:val="auto"/>
        </w:rPr>
        <w:t>debt issuance.</w:t>
      </w:r>
    </w:p>
    <w:p>
      <w:pPr>
        <w:spacing w:after="0" w:line="139" w:lineRule="exact"/>
        <w:rPr>
          <w:sz w:val="20"/>
          <w:szCs w:val="20"/>
          <w:color w:val="auto"/>
        </w:rPr>
      </w:pPr>
    </w:p>
    <w:p>
      <w:pPr>
        <w:ind w:left="10780"/>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040"/>
          </w:cols>
          <w:pgMar w:left="440" w:top="333" w:right="419" w:bottom="1440" w:gutter="0" w:footer="0" w:header="0"/>
        </w:sectPr>
      </w:pPr>
    </w:p>
    <w:bookmarkStart w:id="31" w:name="page32"/>
    <w:bookmarkEnd w:id="31"/>
    <w:p>
      <w:pPr>
        <w:jc w:val="both"/>
        <w:ind w:right="5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further discussion of our various sources of liquidity, our access to the ABS market, our asset-backed financing facilities, and our issuance of unsecured debt, see “Note 6 — Borrowings” in our Annual Report on Form 10-K for the year ended December 31, 2018.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encumbered and unencumbered assets and their net impact on GAAP total tangible equity.</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billions)</w:t>
            </w:r>
          </w:p>
        </w:tc>
        <w:tc>
          <w:tcPr>
            <w:tcW w:w="160" w:type="dxa"/>
            <w:vAlign w:val="bottom"/>
          </w:tcPr>
          <w:p>
            <w:pPr>
              <w:spacing w:after="0"/>
              <w:rPr>
                <w:sz w:val="14"/>
                <w:szCs w:val="14"/>
                <w:color w:val="auto"/>
              </w:rPr>
            </w:pPr>
          </w:p>
        </w:tc>
        <w:tc>
          <w:tcPr>
            <w:tcW w:w="1100" w:type="dxa"/>
            <w:vAlign w:val="bottom"/>
          </w:tcPr>
          <w:p>
            <w:pPr>
              <w:jc w:val="right"/>
              <w:ind w:right="74"/>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ind w:right="94"/>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55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Net assets of consolidated variable interest entities</w:t>
            </w:r>
          </w:p>
        </w:tc>
        <w:tc>
          <w:tcPr>
            <w:tcW w:w="7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shd w:val="clear" w:color="auto" w:fill="CCEEFF"/>
          </w:tcPr>
          <w:p>
            <w:pPr>
              <w:ind w:left="200"/>
              <w:spacing w:after="0" w:line="203" w:lineRule="exact"/>
              <w:rPr>
                <w:sz w:val="20"/>
                <w:szCs w:val="20"/>
                <w:color w:val="auto"/>
              </w:rPr>
            </w:pPr>
            <w:r>
              <w:rPr>
                <w:rFonts w:ascii="Arial" w:cs="Arial" w:eastAsia="Arial" w:hAnsi="Arial"/>
                <w:sz w:val="18"/>
                <w:szCs w:val="18"/>
                <w:color w:val="auto"/>
              </w:rPr>
              <w:t>(encumbered assets) — FFELP Loans</w:t>
            </w:r>
          </w:p>
        </w:tc>
        <w:tc>
          <w:tcPr>
            <w:tcW w:w="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4.3</w:t>
            </w:r>
          </w:p>
        </w:tc>
        <w:tc>
          <w:tcPr>
            <w:tcW w:w="9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4.5</w:t>
            </w:r>
          </w:p>
        </w:tc>
        <w:tc>
          <w:tcPr>
            <w:tcW w:w="9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gridSpan w:val="2"/>
          </w:tcPr>
          <w:p>
            <w:pPr>
              <w:spacing w:after="0" w:line="201" w:lineRule="exact"/>
              <w:rPr>
                <w:sz w:val="20"/>
                <w:szCs w:val="20"/>
                <w:color w:val="auto"/>
              </w:rPr>
            </w:pPr>
            <w:r>
              <w:rPr>
                <w:rFonts w:ascii="Arial" w:cs="Arial" w:eastAsia="Arial" w:hAnsi="Arial"/>
                <w:sz w:val="18"/>
                <w:szCs w:val="18"/>
                <w:color w:val="auto"/>
              </w:rPr>
              <w:t>Net assets of consolidated variable interest entities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tcPr>
          <w:p>
            <w:pPr>
              <w:ind w:left="200"/>
              <w:spacing w:after="0" w:line="203" w:lineRule="exact"/>
              <w:rPr>
                <w:sz w:val="20"/>
                <w:szCs w:val="20"/>
                <w:color w:val="auto"/>
              </w:rPr>
            </w:pPr>
            <w:r>
              <w:rPr>
                <w:rFonts w:ascii="Arial" w:cs="Arial" w:eastAsia="Arial" w:hAnsi="Arial"/>
                <w:sz w:val="18"/>
                <w:szCs w:val="18"/>
                <w:color w:val="auto"/>
              </w:rPr>
              <w:t>(encumbered assets) — Private Education Loans</w:t>
            </w: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3.2</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3.8</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4.8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Tangible unencumbered assets</w:t>
            </w:r>
            <w:r>
              <w:rPr>
                <w:rFonts w:ascii="Arial" w:cs="Arial" w:eastAsia="Arial" w:hAnsi="Arial"/>
                <w:sz w:val="15"/>
                <w:szCs w:val="15"/>
                <w:color w:val="auto"/>
              </w:rPr>
              <w:t>(1)</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tcPr>
          <w:p>
            <w:pPr>
              <w:spacing w:after="0" w:line="202" w:lineRule="exact"/>
              <w:rPr>
                <w:sz w:val="20"/>
                <w:szCs w:val="20"/>
                <w:color w:val="auto"/>
              </w:rPr>
            </w:pPr>
            <w:r>
              <w:rPr>
                <w:rFonts w:ascii="Arial" w:cs="Arial" w:eastAsia="Arial" w:hAnsi="Arial"/>
                <w:sz w:val="18"/>
                <w:szCs w:val="18"/>
                <w:color w:val="auto"/>
              </w:rPr>
              <w:t>Senior unsecured debt</w:t>
            </w: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(9.5)</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(10.5)</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Mark-to-market on unsecured hedged debt</w:t>
            </w:r>
            <w:r>
              <w:rPr>
                <w:rFonts w:ascii="Arial" w:cs="Arial" w:eastAsia="Arial" w:hAnsi="Arial"/>
                <w:sz w:val="15"/>
                <w:szCs w:val="15"/>
                <w:color w:val="auto"/>
              </w:rPr>
              <w:t>(2)</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gridSpan w:val="2"/>
          </w:tcPr>
          <w:p>
            <w:pPr>
              <w:spacing w:after="0" w:line="202" w:lineRule="exact"/>
              <w:rPr>
                <w:sz w:val="20"/>
                <w:szCs w:val="20"/>
                <w:color w:val="auto"/>
              </w:rPr>
            </w:pPr>
            <w:r>
              <w:rPr>
                <w:rFonts w:ascii="Arial" w:cs="Arial" w:eastAsia="Arial" w:hAnsi="Arial"/>
                <w:sz w:val="18"/>
                <w:szCs w:val="18"/>
                <w:color w:val="auto"/>
              </w:rPr>
              <w:t>Other liabilities, net</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7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tangible equity — GAAP Basis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9779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187" w:lineRule="exact"/>
        <w:rPr>
          <w:sz w:val="20"/>
          <w:szCs w:val="20"/>
          <w:color w:val="auto"/>
        </w:rPr>
      </w:pPr>
    </w:p>
    <w:p>
      <w:pPr>
        <w:ind w:left="320" w:right="700" w:hanging="316"/>
        <w:spacing w:after="0" w:line="183" w:lineRule="auto"/>
        <w:tabs>
          <w:tab w:leader="none" w:pos="320" w:val="left"/>
        </w:tabs>
        <w:numPr>
          <w:ilvl w:val="0"/>
          <w:numId w:val="32"/>
        </w:numPr>
        <w:rPr>
          <w:rFonts w:ascii="Arial" w:cs="Arial" w:eastAsia="Arial" w:hAnsi="Arial"/>
          <w:sz w:val="24"/>
          <w:szCs w:val="24"/>
          <w:color w:val="auto"/>
          <w:vertAlign w:val="superscript"/>
        </w:rPr>
      </w:pPr>
      <w:r>
        <w:rPr>
          <w:rFonts w:ascii="Arial" w:cs="Arial" w:eastAsia="Arial" w:hAnsi="Arial"/>
          <w:sz w:val="14"/>
          <w:szCs w:val="14"/>
          <w:color w:val="auto"/>
        </w:rPr>
        <w:t>At December 31, 2019, September 30, 2019 and December 31, 2018, excludes goodwill and acquired intangible assets, net, of $757 million, $763 million and $786 million, respectively.</w:t>
      </w:r>
    </w:p>
    <w:p>
      <w:pPr>
        <w:spacing w:after="0" w:line="58" w:lineRule="exact"/>
        <w:rPr>
          <w:rFonts w:ascii="Arial" w:cs="Arial" w:eastAsia="Arial" w:hAnsi="Arial"/>
          <w:sz w:val="24"/>
          <w:szCs w:val="24"/>
          <w:color w:val="auto"/>
          <w:vertAlign w:val="superscript"/>
        </w:rPr>
      </w:pPr>
    </w:p>
    <w:p>
      <w:pPr>
        <w:ind w:left="320" w:right="480" w:hanging="316"/>
        <w:spacing w:after="0" w:line="183" w:lineRule="auto"/>
        <w:tabs>
          <w:tab w:leader="none" w:pos="320" w:val="left"/>
        </w:tabs>
        <w:numPr>
          <w:ilvl w:val="0"/>
          <w:numId w:val="32"/>
        </w:numPr>
        <w:rPr>
          <w:rFonts w:ascii="Arial" w:cs="Arial" w:eastAsia="Arial" w:hAnsi="Arial"/>
          <w:sz w:val="24"/>
          <w:szCs w:val="24"/>
          <w:color w:val="auto"/>
          <w:vertAlign w:val="superscript"/>
        </w:rPr>
      </w:pPr>
      <w:r>
        <w:rPr>
          <w:rFonts w:ascii="Arial" w:cs="Arial" w:eastAsia="Arial" w:hAnsi="Arial"/>
          <w:sz w:val="14"/>
          <w:szCs w:val="14"/>
          <w:color w:val="auto"/>
        </w:rPr>
        <w:t>At December 31, 2019, September 30, 2019 and December 31, 2018, there were $332 million, $425 million and $51 million, respectively, of net gains (losses) on derivatives hedging this debt in unencumbered assets, which partially offset these gains (losses).</w:t>
      </w:r>
    </w:p>
    <w:p>
      <w:pPr>
        <w:spacing w:after="0" w:line="128" w:lineRule="exact"/>
        <w:rPr>
          <w:sz w:val="20"/>
          <w:szCs w:val="20"/>
          <w:color w:val="auto"/>
        </w:rPr>
      </w:pPr>
    </w:p>
    <w:p>
      <w:pPr>
        <w:ind w:left="10780"/>
        <w:spacing w:after="0"/>
        <w:rPr>
          <w:sz w:val="20"/>
          <w:szCs w:val="20"/>
          <w:color w:val="auto"/>
        </w:rPr>
      </w:pPr>
      <w:r>
        <w:rPr>
          <w:rFonts w:ascii="Arial" w:cs="Arial" w:eastAsia="Arial" w:hAnsi="Arial"/>
          <w:sz w:val="22"/>
          <w:szCs w:val="22"/>
          <w:color w:val="auto"/>
        </w:rPr>
        <w:t>28</w:t>
      </w:r>
    </w:p>
    <w:sectPr>
      <w:pgSz w:w="11900" w:h="16838" w:orient="portrait"/>
      <w:cols w:equalWidth="0" w:num="1">
        <w:col w:w="11040"/>
      </w:cols>
      <w:pgMar w:left="440" w:top="287"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lowerLetter"/>
      <w:start w:val="4"/>
    </w:lvl>
  </w:abstractNum>
  <w:abstractNum w:abstractNumId="2">
    <w:nsid w:val="519B500D"/>
    <w:multiLevelType w:val="hybridMultilevel"/>
    <w:lvl w:ilvl="0">
      <w:lvlJc w:val="left"/>
      <w:lvlText w:val="*"/>
      <w:numFmt w:val="bullet"/>
      <w:start w:val="1"/>
    </w:lvl>
    <w:lvl w:ilvl="1">
      <w:lvlJc w:val="left"/>
      <w:lvlText w:val="%2"/>
      <w:numFmt w:val="decimal"/>
      <w:start w:val="104"/>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
      <w:numFmt w:val="bullet"/>
      <w:start w:val="1"/>
    </w:lvl>
    <w:lvl w:ilvl="1">
      <w:lvlJc w:val="left"/>
      <w:lvlText w:val="○"/>
      <w:numFmt w:val="bullet"/>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
      <w:numFmt w:val="bullet"/>
      <w:start w:val="1"/>
    </w:lvl>
    <w:lvl w:ilvl="1">
      <w:lvlJc w:val="left"/>
      <w:lvlText w:val="○"/>
      <w:numFmt w:val="bullet"/>
      <w:start w:val="1"/>
    </w:lvl>
  </w:abstractNum>
  <w:abstractNum w:abstractNumId="12">
    <w:nsid w:val="2443A858"/>
    <w:multiLevelType w:val="hybridMultilevel"/>
    <w:lvl w:ilvl="0">
      <w:lvlJc w:val="left"/>
      <w:lvlText w:val="•"/>
      <w:numFmt w:val="bullet"/>
      <w:start w:val="1"/>
    </w:lvl>
    <w:lvl w:ilvl="1">
      <w:lvlJc w:val="left"/>
      <w:lvlText w:val="○"/>
      <w:numFmt w:val="bullet"/>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1)"/>
      <w:numFmt w:val="decimal"/>
      <w:start w:val="2"/>
    </w:lvl>
  </w:abstractNum>
  <w:abstractNum w:abstractNumId="15">
    <w:nsid w:val="75A2A8D4"/>
    <w:multiLevelType w:val="hybridMultilevel"/>
    <w:lvl w:ilvl="0">
      <w:lvlJc w:val="left"/>
      <w:lvlText w:val="(%1)"/>
      <w:numFmt w:val="decimal"/>
      <w:start w:val="2"/>
    </w:lvl>
  </w:abstractNum>
  <w:abstractNum w:abstractNumId="16">
    <w:nsid w:val="8EDBDAB"/>
    <w:multiLevelType w:val="hybridMultilevel"/>
    <w:lvl w:ilvl="0">
      <w:lvlJc w:val="left"/>
      <w:lvlText w:val="(%1)"/>
      <w:numFmt w:val="decimal"/>
      <w:start w:val="2"/>
    </w:lvl>
  </w:abstractNum>
  <w:abstractNum w:abstractNumId="17">
    <w:nsid w:val="79838CB2"/>
    <w:multiLevelType w:val="hybridMultilevel"/>
    <w:lvl w:ilvl="0">
      <w:lvlJc w:val="left"/>
      <w:lvlText w:val="(%1)"/>
      <w:numFmt w:val="decimal"/>
      <w:start w:val="2"/>
    </w:lvl>
  </w:abstractNum>
  <w:abstractNum w:abstractNumId="18">
    <w:nsid w:val="4353D0CD"/>
    <w:multiLevelType w:val="hybridMultilevel"/>
    <w:lvl w:ilvl="0">
      <w:lvlJc w:val="left"/>
      <w:lvlText w:val="(%1)"/>
      <w:numFmt w:val="decimal"/>
      <w:start w:val="2"/>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decimal"/>
      <w:start w:val="2"/>
    </w:lvl>
  </w:abstractNum>
  <w:abstractNum w:abstractNumId="22">
    <w:nsid w:val="71F32454"/>
    <w:multiLevelType w:val="hybridMultilevel"/>
    <w:lvl w:ilvl="0">
      <w:lvlJc w:val="left"/>
      <w:lvlText w:val="(%1)"/>
      <w:numFmt w:val="decimal"/>
      <w:start w:val="3"/>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lowerLetter"/>
      <w:start w:val="1"/>
    </w:lvl>
  </w:abstractNum>
  <w:abstractNum w:abstractNumId="25">
    <w:nsid w:val="2901D82"/>
    <w:multiLevelType w:val="hybridMultilevel"/>
    <w:lvl w:ilvl="0">
      <w:lvlJc w:val="left"/>
      <w:lvlText w:val="%1"/>
      <w:numFmt w:val="decimal"/>
      <w:start w:val="1"/>
    </w:lvl>
    <w:lvl w:ilvl="1">
      <w:lvlJc w:val="left"/>
      <w:lvlText w:val="(%2)"/>
      <w:numFmt w:val="decimal"/>
      <w:start w:val="1"/>
    </w:lvl>
  </w:abstractNum>
  <w:abstractNum w:abstractNumId="26">
    <w:nsid w:val="3A95F874"/>
    <w:multiLevelType w:val="hybridMultilevel"/>
    <w:lvl w:ilvl="0">
      <w:lvlJc w:val="left"/>
      <w:lvlText w:val="(%1)"/>
      <w:numFmt w:val="decimal"/>
      <w:start w:val="2"/>
    </w:lvl>
    <w:lvl w:ilvl="1">
      <w:lvlJc w:val="left"/>
      <w:lvlText w:val="%2"/>
      <w:numFmt w:val="decimal"/>
      <w:start w:val="1"/>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1)"/>
      <w:numFmt w:val="decimal"/>
      <w:start w:val="1"/>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2020-01-21T15:14:12Z</dcterms:created>
  <dcterms:modified xsi:type="dcterms:W3CDTF">2020-01-21T15:14:12Z</dcterms:modified>
</cp:coreProperties>
</file>