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Navient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001-36228</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Herndon, Virginia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302 283-8000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258445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NAVI</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29, 2026, Navient Corporation (the “Company”) issued an informational press release announcing its financial results for the quarter ended March 31, 2026 were available on the “Investor” page of its website located at https://www.Navient.com/investors. Additionally, on April 29, 2026, the Company posted its financial results for the quarter ended March 31, 2026 to its above-referenced web location. A copy of each press release is furnished as Exhibit 99.1 and Exhibit 99.2 hereto.</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ind w:left="440"/>
        <w:spacing w:after="0"/>
        <w:tabs>
          <w:tab w:leader="none" w:pos="7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354" w:lineRule="exact"/>
        <w:rPr>
          <w:sz w:val="20"/>
          <w:szCs w:val="20"/>
          <w:color w:val="auto"/>
        </w:rPr>
      </w:pPr>
    </w:p>
    <w:p>
      <w:pPr>
        <w:ind w:left="140"/>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April 29,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-7620</wp:posOffset>
            </wp:positionV>
            <wp:extent cx="16275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7505" cy="8890"/>
                    </a:xfrm>
                    <a:prstGeom prst="rect">
                      <a:avLst/>
                    </a:prstGeom>
                    <a:noFill/>
                  </pic:spPr>
                </pic:pic>
              </a:graphicData>
            </a:graphic>
          </wp:anchor>
        </w:drawing>
      </w:r>
    </w:p>
    <w:p>
      <w:pPr>
        <w:spacing w:after="0" w:line="205" w:lineRule="exact"/>
        <w:rPr>
          <w:sz w:val="20"/>
          <w:szCs w:val="20"/>
          <w:color w:val="auto"/>
        </w:rPr>
      </w:pPr>
    </w:p>
    <w:p>
      <w:pPr>
        <w:ind w:left="140"/>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FF"/>
        </w:rPr>
        <w:t>Financial Press Release, dated April 29, 2026</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-7620</wp:posOffset>
            </wp:positionV>
            <wp:extent cx="208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43" w:lineRule="exact"/>
        <w:rPr>
          <w:sz w:val="20"/>
          <w:szCs w:val="20"/>
          <w:color w:val="auto"/>
        </w:rPr>
      </w:pPr>
    </w:p>
    <w:p>
      <w:pPr>
        <w:ind w:right="2980" w:firstLine="152"/>
        <w:spacing w:after="0" w:line="642" w:lineRule="auto"/>
        <w:tabs>
          <w:tab w:leader="none" w:pos="868" w:val="left"/>
        </w:tabs>
        <w:numPr>
          <w:ilvl w:val="1"/>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401320</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765" w:right="11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30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NAVIENT CORPORATION</w:t>
            </w:r>
          </w:p>
        </w:tc>
      </w:tr>
      <w:tr>
        <w:trPr>
          <w:trHeight w:val="432"/>
        </w:trPr>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April 29, 2026</w:t>
            </w:r>
          </w:p>
        </w:tc>
        <w:tc>
          <w:tcPr>
            <w:tcW w:w="73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By:   /s/ STEVE HAUBER</w:t>
            </w:r>
          </w:p>
        </w:tc>
      </w:tr>
      <w:tr>
        <w:trPr>
          <w:trHeight w:val="191"/>
        </w:trPr>
        <w:tc>
          <w:tcPr>
            <w:tcW w:w="37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62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Steve Hauber</w:t>
            </w:r>
          </w:p>
        </w:tc>
        <w:tc>
          <w:tcPr>
            <w:tcW w:w="660" w:type="dxa"/>
            <w:vAlign w:val="bottom"/>
          </w:tcPr>
          <w:p>
            <w:pPr>
              <w:spacing w:after="0"/>
              <w:rPr>
                <w:sz w:val="16"/>
                <w:szCs w:val="16"/>
                <w:color w:val="auto"/>
              </w:rPr>
            </w:pPr>
          </w:p>
        </w:tc>
      </w:tr>
      <w:tr>
        <w:trPr>
          <w:trHeight w:val="234"/>
        </w:trPr>
        <w:tc>
          <w:tcPr>
            <w:tcW w:w="3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37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03"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292100</wp:posOffset>
            </wp:positionV>
            <wp:extent cx="178308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9"/>
          <w:szCs w:val="29"/>
          <w:color w:val="470A68"/>
        </w:rPr>
        <w:t>NEWS RELEASE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470A68"/>
        </w:rPr>
        <w:t>For immediate release</w:t>
      </w: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i w:val="1"/>
          <w:iCs w:val="1"/>
          <w:color w:val="auto"/>
        </w:rPr>
        <w:t>Navient posts first quarter 2026 financial results</w:t>
      </w:r>
    </w:p>
    <w:p>
      <w:pPr>
        <w:spacing w:after="0" w:line="236" w:lineRule="exact"/>
        <w:rPr>
          <w:sz w:val="20"/>
          <w:szCs w:val="20"/>
          <w:color w:val="auto"/>
        </w:rPr>
      </w:pPr>
    </w:p>
    <w:p>
      <w:pPr>
        <w:jc w:val="both"/>
        <w:ind w:right="80"/>
        <w:spacing w:after="0" w:line="242" w:lineRule="auto"/>
        <w:rPr>
          <w:sz w:val="20"/>
          <w:szCs w:val="20"/>
          <w:color w:val="auto"/>
        </w:rPr>
      </w:pPr>
      <w:r>
        <w:rPr>
          <w:rFonts w:ascii="Arial" w:cs="Arial" w:eastAsia="Arial" w:hAnsi="Arial"/>
          <w:sz w:val="20"/>
          <w:szCs w:val="20"/>
          <w:b w:val="1"/>
          <w:bCs w:val="1"/>
          <w:color w:val="auto"/>
        </w:rPr>
        <w:t>HERNDON, Va., April 29, 2026</w:t>
      </w:r>
      <w:r>
        <w:rPr>
          <w:rFonts w:ascii="Arial" w:cs="Arial" w:eastAsia="Arial" w:hAnsi="Arial"/>
          <w:sz w:val="20"/>
          <w:szCs w:val="20"/>
          <w:color w:val="auto"/>
        </w:rPr>
        <w:t>— Navient (Nasdaq: NAVI) today posted its 2026 first quarter financial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Complete financial results are available on the company’s website at </w:t>
      </w:r>
      <w:r>
        <w:rPr>
          <w:rFonts w:ascii="Arial" w:cs="Arial" w:eastAsia="Arial" w:hAnsi="Arial"/>
          <w:sz w:val="20"/>
          <w:szCs w:val="20"/>
          <w:u w:val="single" w:color="auto"/>
          <w:color w:val="0000FF"/>
        </w:rPr>
        <w:t>Navient.com/investors.</w:t>
      </w:r>
      <w:r>
        <w:rPr>
          <w:rFonts w:ascii="Arial" w:cs="Arial" w:eastAsia="Arial" w:hAnsi="Arial"/>
          <w:sz w:val="20"/>
          <w:szCs w:val="20"/>
          <w:color w:val="auto"/>
        </w:rPr>
        <w:t xml:space="preserve"> The materials will also be available on a Form 8-K on the SEC’s website at </w:t>
      </w:r>
      <w:r>
        <w:rPr>
          <w:rFonts w:ascii="Arial" w:cs="Arial" w:eastAsia="Arial" w:hAnsi="Arial"/>
          <w:sz w:val="20"/>
          <w:szCs w:val="20"/>
          <w:u w:val="single" w:color="auto"/>
          <w:color w:val="0000FF"/>
        </w:rPr>
        <w:t>www.sec.gov</w:t>
      </w:r>
      <w:r>
        <w:rPr>
          <w:rFonts w:ascii="Arial" w:cs="Arial" w:eastAsia="Arial" w:hAnsi="Arial"/>
          <w:sz w:val="20"/>
          <w:szCs w:val="20"/>
          <w:color w:val="auto"/>
        </w:rPr>
        <w:t>.</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Navient will hold a live audio webcast today, April 29, 2026, at 8 a.m. ET, hosted by David Yowan, president and CEO, and Steve Hauber, CFO.</w:t>
      </w:r>
    </w:p>
    <w:p>
      <w:pPr>
        <w:spacing w:after="0" w:line="155"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xml:space="preserve">The webcast will be available on </w:t>
      </w:r>
      <w:r>
        <w:rPr>
          <w:rFonts w:ascii="Arial" w:cs="Arial" w:eastAsia="Arial" w:hAnsi="Arial"/>
          <w:sz w:val="20"/>
          <w:szCs w:val="20"/>
          <w:u w:val="single" w:color="auto"/>
          <w:color w:val="0000FF"/>
        </w:rPr>
        <w:t>Navient.com/investors</w:t>
      </w:r>
      <w:r>
        <w:rPr>
          <w:rFonts w:ascii="Arial" w:cs="Arial" w:eastAsia="Arial" w:hAnsi="Arial"/>
          <w:sz w:val="20"/>
          <w:szCs w:val="20"/>
          <w:color w:val="auto"/>
        </w:rPr>
        <w:t>. Supplemental financial information and presentation slides used during the call will be available no later than the start time. A replay of the webcast will be available shortly after the event's conclusion.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Navient</w:t>
      </w:r>
    </w:p>
    <w:p>
      <w:pPr>
        <w:spacing w:after="0" w:line="1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Navient (Nasdaq: NAVI) creates long-term value for customers and investors with responsible lending, flexible refinancing, trusted servicing oversight, and decades of education finance and portfolio management expertise. Through our Earnest business, we help customers confidently achieve financial success through digital financial services. Our employees thrive in a culture of belonging, where they are supported and proud to deliver meaningful outcomes. Learn more on </w:t>
      </w:r>
      <w:r>
        <w:rPr>
          <w:rFonts w:ascii="Arial" w:cs="Arial" w:eastAsia="Arial" w:hAnsi="Arial"/>
          <w:sz w:val="18"/>
          <w:szCs w:val="18"/>
          <w:u w:val="single" w:color="auto"/>
          <w:color w:val="0000FF"/>
        </w:rPr>
        <w:t>Navient.com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Cate Fitzgerald, 703-831-6347, </w:t>
      </w:r>
      <w:r>
        <w:rPr>
          <w:rFonts w:ascii="Arial" w:cs="Arial" w:eastAsia="Arial" w:hAnsi="Arial"/>
          <w:sz w:val="18"/>
          <w:szCs w:val="18"/>
          <w:u w:val="single" w:color="auto"/>
          <w:color w:val="0000FF"/>
        </w:rPr>
        <w:t>catherine.fitzgerald@navient.com</w:t>
      </w:r>
    </w:p>
    <w:p>
      <w:pPr>
        <w:spacing w:after="0"/>
        <w:rPr>
          <w:sz w:val="20"/>
          <w:szCs w:val="20"/>
          <w:color w:val="auto"/>
        </w:rPr>
      </w:pPr>
      <w:r>
        <w:rPr>
          <w:rFonts w:ascii="Arial" w:cs="Arial" w:eastAsia="Arial" w:hAnsi="Arial"/>
          <w:sz w:val="18"/>
          <w:szCs w:val="18"/>
          <w:color w:val="auto"/>
        </w:rPr>
        <w:t xml:space="preserve">Investors: Jen Earyes, 571-592-8582, </w:t>
      </w:r>
      <w:r>
        <w:rPr>
          <w:rFonts w:ascii="Arial" w:cs="Arial" w:eastAsia="Arial" w:hAnsi="Arial"/>
          <w:sz w:val="18"/>
          <w:szCs w:val="18"/>
          <w:u w:val="single" w:color="auto"/>
          <w:color w:val="0000FF"/>
        </w:rPr>
        <w:t>jen.earyes@navient.com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767715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355" w:lineRule="exact"/>
        <w:rPr>
          <w:sz w:val="20"/>
          <w:szCs w:val="20"/>
          <w:color w:val="auto"/>
        </w:rPr>
      </w:pPr>
    </w:p>
    <w:p>
      <w:pPr>
        <w:jc w:val="both"/>
        <w:ind w:left="7180" w:hanging="1010"/>
        <w:spacing w:after="0" w:line="297" w:lineRule="auto"/>
        <w:rPr>
          <w:sz w:val="20"/>
          <w:szCs w:val="20"/>
          <w:color w:val="auto"/>
        </w:rPr>
      </w:pPr>
      <w:r>
        <w:rPr>
          <w:rFonts w:ascii="Arial" w:cs="Arial" w:eastAsia="Arial" w:hAnsi="Arial"/>
          <w:sz w:val="19"/>
          <w:szCs w:val="19"/>
          <w:b w:val="1"/>
          <w:bCs w:val="1"/>
          <w:color w:val="482366"/>
        </w:rPr>
        <w:t>NAVIENT REPORTS FIRST-QUARTER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78308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2914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617220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4318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HERNDON, Va., April 29, 2026 </w:t>
      </w:r>
      <w:r>
        <w:rPr>
          <w:rFonts w:ascii="Arial" w:cs="Arial" w:eastAsia="Arial" w:hAnsi="Arial"/>
          <w:sz w:val="18"/>
          <w:szCs w:val="18"/>
          <w:color w:val="auto"/>
        </w:rPr>
        <w:t>— Navient (Nasdaq: NAVI) today released its first-quarter 2026 financial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shd w:val="clear" w:color="auto" w:fill="D9CFE3"/>
          </w:tcPr>
          <w:p>
            <w:pPr>
              <w:ind w:left="100"/>
              <w:spacing w:after="0"/>
              <w:rPr>
                <w:sz w:val="20"/>
                <w:szCs w:val="20"/>
                <w:color w:val="auto"/>
              </w:rPr>
            </w:pPr>
            <w:r>
              <w:rPr>
                <w:rFonts w:ascii="Arial" w:cs="Arial" w:eastAsia="Arial" w:hAnsi="Arial"/>
                <w:sz w:val="18"/>
                <w:szCs w:val="18"/>
                <w:b w:val="1"/>
                <w:bCs w:val="1"/>
                <w:color w:val="auto"/>
              </w:rPr>
              <w:t>OVERALL</w:t>
            </w:r>
          </w:p>
        </w:tc>
        <w:tc>
          <w:tcPr>
            <w:tcW w:w="720" w:type="dxa"/>
            <w:vAlign w:val="bottom"/>
            <w:shd w:val="clear" w:color="auto" w:fill="D9CFE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500" w:type="dxa"/>
            <w:vAlign w:val="bottom"/>
            <w:shd w:val="clear" w:color="auto" w:fill="D9CFE3"/>
          </w:tcPr>
          <w:p>
            <w:pPr>
              <w:ind w:left="120"/>
              <w:spacing w:after="0"/>
              <w:rPr>
                <w:sz w:val="20"/>
                <w:szCs w:val="20"/>
                <w:color w:val="auto"/>
              </w:rPr>
            </w:pPr>
            <w:r>
              <w:rPr>
                <w:rFonts w:ascii="Arial" w:cs="Arial" w:eastAsia="Arial" w:hAnsi="Arial"/>
                <w:sz w:val="16"/>
                <w:szCs w:val="16"/>
                <w:color w:val="auto"/>
              </w:rPr>
              <w:t>GAAP net income of $17 million ($0.17 diluted earnings per share).</w:t>
            </w:r>
          </w:p>
        </w:tc>
      </w:tr>
      <w:tr>
        <w:trPr>
          <w:trHeight w:val="376"/>
        </w:trPr>
        <w:tc>
          <w:tcPr>
            <w:tcW w:w="1500" w:type="dxa"/>
            <w:vAlign w:val="bottom"/>
            <w:shd w:val="clear" w:color="auto" w:fill="D9CFE3"/>
          </w:tcPr>
          <w:p>
            <w:pPr>
              <w:ind w:left="100"/>
              <w:spacing w:after="0"/>
              <w:rPr>
                <w:sz w:val="20"/>
                <w:szCs w:val="20"/>
                <w:color w:val="auto"/>
              </w:rPr>
            </w:pPr>
            <w:r>
              <w:rPr>
                <w:rFonts w:ascii="Arial" w:cs="Arial" w:eastAsia="Arial" w:hAnsi="Arial"/>
                <w:sz w:val="18"/>
                <w:szCs w:val="18"/>
                <w:b w:val="1"/>
                <w:bCs w:val="1"/>
                <w:color w:val="auto"/>
              </w:rPr>
              <w:t>RESULTS</w:t>
            </w:r>
          </w:p>
        </w:tc>
        <w:tc>
          <w:tcPr>
            <w:tcW w:w="720" w:type="dxa"/>
            <w:vAlign w:val="bottom"/>
            <w:shd w:val="clear" w:color="auto" w:fill="D9CFE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500" w:type="dxa"/>
            <w:vAlign w:val="bottom"/>
            <w:shd w:val="clear" w:color="auto" w:fill="D9CFE3"/>
          </w:tcPr>
          <w:p>
            <w:pPr>
              <w:ind w:left="120"/>
              <w:spacing w:after="0"/>
              <w:rPr>
                <w:sz w:val="20"/>
                <w:szCs w:val="20"/>
                <w:color w:val="auto"/>
              </w:rPr>
            </w:pPr>
            <w:r>
              <w:rPr>
                <w:rFonts w:ascii="Arial" w:cs="Arial" w:eastAsia="Arial" w:hAnsi="Arial"/>
                <w:sz w:val="16"/>
                <w:szCs w:val="16"/>
                <w:color w:val="auto"/>
              </w:rPr>
              <w:t>Core Earnings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net income of $19 million ($0.20 diluted earnings per share).</w:t>
            </w:r>
          </w:p>
        </w:tc>
      </w:tr>
      <w:tr>
        <w:trPr>
          <w:trHeight w:val="62"/>
        </w:trPr>
        <w:tc>
          <w:tcPr>
            <w:tcW w:w="1500" w:type="dxa"/>
            <w:vAlign w:val="bottom"/>
            <w:shd w:val="clear" w:color="auto" w:fill="D9CFE3"/>
          </w:tcPr>
          <w:p>
            <w:pPr>
              <w:spacing w:after="0"/>
              <w:rPr>
                <w:sz w:val="5"/>
                <w:szCs w:val="5"/>
                <w:color w:val="auto"/>
              </w:rPr>
            </w:pPr>
          </w:p>
        </w:tc>
        <w:tc>
          <w:tcPr>
            <w:tcW w:w="720" w:type="dxa"/>
            <w:vAlign w:val="bottom"/>
            <w:shd w:val="clear" w:color="auto" w:fill="D9CFE3"/>
          </w:tcPr>
          <w:p>
            <w:pPr>
              <w:spacing w:after="0"/>
              <w:rPr>
                <w:sz w:val="5"/>
                <w:szCs w:val="5"/>
                <w:color w:val="auto"/>
              </w:rPr>
            </w:pPr>
          </w:p>
        </w:tc>
        <w:tc>
          <w:tcPr>
            <w:tcW w:w="7500" w:type="dxa"/>
            <w:vAlign w:val="bottom"/>
            <w:shd w:val="clear" w:color="auto" w:fill="D9CFE3"/>
          </w:tcPr>
          <w:p>
            <w:pPr>
              <w:spacing w:after="0"/>
              <w:rPr>
                <w:sz w:val="5"/>
                <w:szCs w:val="5"/>
                <w:color w:val="auto"/>
              </w:rPr>
            </w:pPr>
          </w:p>
        </w:tc>
      </w:tr>
    </w:tbl>
    <w:p>
      <w:pPr>
        <w:spacing w:after="0" w:line="85" w:lineRule="exact"/>
        <w:rPr>
          <w:sz w:val="20"/>
          <w:szCs w:val="20"/>
          <w:color w:val="auto"/>
        </w:rPr>
      </w:pPr>
    </w:p>
    <w:p>
      <w:pPr>
        <w:ind w:right="120"/>
        <w:spacing w:after="0" w:line="204" w:lineRule="exact"/>
        <w:rPr>
          <w:sz w:val="20"/>
          <w:szCs w:val="20"/>
          <w:color w:val="auto"/>
        </w:rPr>
      </w:pPr>
      <w:r>
        <w:rPr>
          <w:rFonts w:ascii="Arial" w:cs="Arial" w:eastAsia="Arial" w:hAnsi="Arial"/>
          <w:sz w:val="17"/>
          <w:szCs w:val="17"/>
          <w:b w:val="1"/>
          <w:bCs w:val="1"/>
          <w:color w:val="auto"/>
        </w:rPr>
        <w:t xml:space="preserve">CEO COMMENTARY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6"/>
          <w:szCs w:val="16"/>
          <w:color w:val="auto"/>
        </w:rPr>
        <w:t>"Our first</w:t>
      </w:r>
      <w:r>
        <w:rPr>
          <w:rFonts w:ascii="MS PGothic" w:cs="MS PGothic" w:eastAsia="MS PGothic" w:hAnsi="MS PGothic"/>
          <w:sz w:val="16"/>
          <w:szCs w:val="16"/>
          <w:color w:val="auto"/>
        </w:rPr>
        <w:t>‑</w:t>
      </w:r>
      <w:r>
        <w:rPr>
          <w:rFonts w:ascii="Arial" w:cs="Arial" w:eastAsia="Arial" w:hAnsi="Arial"/>
          <w:sz w:val="16"/>
          <w:szCs w:val="16"/>
          <w:color w:val="auto"/>
        </w:rPr>
        <w:t>quarter results reflect strong momentum in high</w:t>
      </w:r>
      <w:r>
        <w:rPr>
          <w:rFonts w:ascii="MS PGothic" w:cs="MS PGothic" w:eastAsia="MS PGothic" w:hAnsi="MS PGothic"/>
          <w:sz w:val="16"/>
          <w:szCs w:val="16"/>
          <w:color w:val="auto"/>
        </w:rPr>
        <w:t>‑</w:t>
      </w:r>
      <w:r>
        <w:rPr>
          <w:rFonts w:ascii="Arial" w:cs="Arial" w:eastAsia="Arial" w:hAnsi="Arial"/>
          <w:sz w:val="16"/>
          <w:szCs w:val="16"/>
          <w:color w:val="auto"/>
        </w:rPr>
        <w:t>quality loan growth, with originations more than</w:t>
      </w:r>
      <w:r>
        <w:rPr>
          <w:rFonts w:ascii="Arial" w:cs="Arial" w:eastAsia="Arial" w:hAnsi="Arial"/>
          <w:sz w:val="17"/>
          <w:szCs w:val="17"/>
          <w:b w:val="1"/>
          <w:bCs w:val="1"/>
          <w:color w:val="auto"/>
        </w:rPr>
        <w:t xml:space="preserve"> </w:t>
      </w:r>
      <w:r>
        <w:rPr>
          <w:rFonts w:ascii="Arial" w:cs="Arial" w:eastAsia="Arial" w:hAnsi="Arial"/>
          <w:sz w:val="16"/>
          <w:szCs w:val="16"/>
          <w:color w:val="auto"/>
        </w:rPr>
        <w:t>60% higher than the year ago period," said David Yowan, President and CEO of Navient. "The successful completion of our multi-year initiatives creates a foundation of a more strategically focused, flexible and efficient organization to support future growth. Our planned CEO leadership transition is underway and provides strategic continuity."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FIRST-QUARTER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617220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shd w:val="clear" w:color="auto" w:fill="E7E6E6"/>
          </w:tcPr>
          <w:p>
            <w:pPr>
              <w:ind w:left="120"/>
              <w:spacing w:after="0"/>
              <w:rPr>
                <w:sz w:val="20"/>
                <w:szCs w:val="20"/>
                <w:color w:val="auto"/>
              </w:rPr>
            </w:pPr>
            <w:r>
              <w:rPr>
                <w:rFonts w:ascii="Arial" w:cs="Arial" w:eastAsia="Arial" w:hAnsi="Arial"/>
                <w:sz w:val="17"/>
                <w:szCs w:val="17"/>
                <w:b w:val="1"/>
                <w:bCs w:val="1"/>
                <w:color w:val="auto"/>
              </w:rPr>
              <w:t>CONSUMER</w:t>
            </w:r>
          </w:p>
        </w:tc>
        <w:tc>
          <w:tcPr>
            <w:tcW w:w="400" w:type="dxa"/>
            <w:vAlign w:val="bottom"/>
            <w:shd w:val="clear" w:color="auto" w:fill="E7E6E6"/>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shd w:val="clear" w:color="auto" w:fill="E7E6E6"/>
          </w:tcPr>
          <w:p>
            <w:pPr>
              <w:ind w:left="140"/>
              <w:spacing w:after="0"/>
              <w:rPr>
                <w:sz w:val="20"/>
                <w:szCs w:val="20"/>
                <w:color w:val="auto"/>
              </w:rPr>
            </w:pPr>
            <w:r>
              <w:rPr>
                <w:rFonts w:ascii="Arial" w:cs="Arial" w:eastAsia="Arial" w:hAnsi="Arial"/>
                <w:sz w:val="16"/>
                <w:szCs w:val="16"/>
                <w:color w:val="auto"/>
              </w:rPr>
              <w:t>Net income of $35 million.</w:t>
            </w:r>
          </w:p>
        </w:tc>
        <w:tc>
          <w:tcPr>
            <w:tcW w:w="0" w:type="dxa"/>
            <w:vAlign w:val="bottom"/>
          </w:tcPr>
          <w:p>
            <w:pPr>
              <w:spacing w:after="0"/>
              <w:rPr>
                <w:sz w:val="1"/>
                <w:szCs w:val="1"/>
                <w:color w:val="auto"/>
              </w:rPr>
            </w:pPr>
          </w:p>
        </w:tc>
      </w:tr>
      <w:tr>
        <w:trPr>
          <w:trHeight w:val="189"/>
        </w:trPr>
        <w:tc>
          <w:tcPr>
            <w:tcW w:w="1800" w:type="dxa"/>
            <w:vAlign w:val="bottom"/>
            <w:shd w:val="clear" w:color="auto" w:fill="E7E6E6"/>
          </w:tcPr>
          <w:p>
            <w:pPr>
              <w:ind w:left="120"/>
              <w:spacing w:after="0" w:line="189" w:lineRule="exact"/>
              <w:rPr>
                <w:sz w:val="20"/>
                <w:szCs w:val="20"/>
                <w:color w:val="auto"/>
              </w:rPr>
            </w:pPr>
            <w:r>
              <w:rPr>
                <w:rFonts w:ascii="Arial" w:cs="Arial" w:eastAsia="Arial" w:hAnsi="Arial"/>
                <w:sz w:val="17"/>
                <w:szCs w:val="17"/>
                <w:b w:val="1"/>
                <w:bCs w:val="1"/>
                <w:color w:val="auto"/>
              </w:rPr>
              <w:t>LENDING</w:t>
            </w:r>
          </w:p>
        </w:tc>
        <w:tc>
          <w:tcPr>
            <w:tcW w:w="400" w:type="dxa"/>
            <w:vAlign w:val="bottom"/>
            <w:vMerge w:val="restart"/>
            <w:shd w:val="clear" w:color="auto" w:fill="E7E6E6"/>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vMerge w:val="restart"/>
            <w:shd w:val="clear" w:color="auto" w:fill="E7E6E6"/>
          </w:tcPr>
          <w:p>
            <w:pPr>
              <w:ind w:left="140"/>
              <w:spacing w:after="0"/>
              <w:rPr>
                <w:sz w:val="20"/>
                <w:szCs w:val="20"/>
                <w:color w:val="auto"/>
              </w:rPr>
            </w:pPr>
            <w:r>
              <w:rPr>
                <w:rFonts w:ascii="Arial" w:cs="Arial" w:eastAsia="Arial" w:hAnsi="Arial"/>
                <w:sz w:val="16"/>
                <w:szCs w:val="16"/>
                <w:color w:val="auto"/>
              </w:rPr>
              <w:t>Net interest margin of 2.48%.</w:t>
            </w:r>
          </w:p>
        </w:tc>
        <w:tc>
          <w:tcPr>
            <w:tcW w:w="0" w:type="dxa"/>
            <w:vAlign w:val="bottom"/>
          </w:tcPr>
          <w:p>
            <w:pPr>
              <w:spacing w:after="0"/>
              <w:rPr>
                <w:sz w:val="1"/>
                <w:szCs w:val="1"/>
                <w:color w:val="auto"/>
              </w:rPr>
            </w:pPr>
          </w:p>
        </w:tc>
      </w:tr>
      <w:tr>
        <w:trPr>
          <w:trHeight w:val="155"/>
        </w:trPr>
        <w:tc>
          <w:tcPr>
            <w:tcW w:w="1800" w:type="dxa"/>
            <w:vAlign w:val="bottom"/>
            <w:vMerge w:val="restart"/>
            <w:shd w:val="clear" w:color="auto" w:fill="E7E6E6"/>
          </w:tcPr>
          <w:p>
            <w:pPr>
              <w:ind w:left="120"/>
              <w:spacing w:after="0"/>
              <w:rPr>
                <w:sz w:val="20"/>
                <w:szCs w:val="20"/>
                <w:color w:val="auto"/>
              </w:rPr>
            </w:pPr>
            <w:r>
              <w:rPr>
                <w:rFonts w:ascii="Arial" w:cs="Arial" w:eastAsia="Arial" w:hAnsi="Arial"/>
                <w:sz w:val="17"/>
                <w:szCs w:val="17"/>
                <w:b w:val="1"/>
                <w:bCs w:val="1"/>
                <w:color w:val="auto"/>
              </w:rPr>
              <w:t>SEGMENT</w:t>
            </w:r>
          </w:p>
        </w:tc>
        <w:tc>
          <w:tcPr>
            <w:tcW w:w="400" w:type="dxa"/>
            <w:vAlign w:val="bottom"/>
            <w:vMerge w:val="continue"/>
            <w:shd w:val="clear" w:color="auto" w:fill="E7E6E6"/>
          </w:tcPr>
          <w:p>
            <w:pPr>
              <w:spacing w:after="0"/>
              <w:rPr>
                <w:sz w:val="13"/>
                <w:szCs w:val="13"/>
                <w:color w:val="auto"/>
              </w:rPr>
            </w:pPr>
          </w:p>
        </w:tc>
        <w:tc>
          <w:tcPr>
            <w:tcW w:w="7520" w:type="dxa"/>
            <w:vAlign w:val="bottom"/>
            <w:vMerge w:val="continue"/>
            <w:shd w:val="clear" w:color="auto" w:fill="E7E6E6"/>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800" w:type="dxa"/>
            <w:vAlign w:val="bottom"/>
            <w:vMerge w:val="continue"/>
            <w:shd w:val="clear" w:color="auto" w:fill="E7E6E6"/>
          </w:tcPr>
          <w:p>
            <w:pPr>
              <w:spacing w:after="0"/>
              <w:rPr>
                <w:sz w:val="6"/>
                <w:szCs w:val="6"/>
                <w:color w:val="auto"/>
              </w:rPr>
            </w:pPr>
          </w:p>
        </w:tc>
        <w:tc>
          <w:tcPr>
            <w:tcW w:w="400" w:type="dxa"/>
            <w:vAlign w:val="bottom"/>
            <w:shd w:val="clear" w:color="auto" w:fill="E7E6E6"/>
          </w:tcPr>
          <w:p>
            <w:pPr>
              <w:spacing w:after="0"/>
              <w:rPr>
                <w:sz w:val="6"/>
                <w:szCs w:val="6"/>
                <w:color w:val="auto"/>
              </w:rPr>
            </w:pPr>
          </w:p>
        </w:tc>
        <w:tc>
          <w:tcPr>
            <w:tcW w:w="7520" w:type="dxa"/>
            <w:vAlign w:val="bottom"/>
            <w:shd w:val="clear" w:color="auto" w:fill="E7E6E6"/>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800" w:type="dxa"/>
            <w:vAlign w:val="bottom"/>
            <w:shd w:val="clear" w:color="auto" w:fill="E7E6E6"/>
          </w:tcPr>
          <w:p>
            <w:pPr>
              <w:spacing w:after="0"/>
              <w:rPr>
                <w:sz w:val="20"/>
                <w:szCs w:val="20"/>
                <w:color w:val="auto"/>
              </w:rPr>
            </w:pPr>
          </w:p>
        </w:tc>
        <w:tc>
          <w:tcPr>
            <w:tcW w:w="7920" w:type="dxa"/>
            <w:vAlign w:val="bottom"/>
            <w:gridSpan w:val="2"/>
            <w:shd w:val="clear" w:color="auto" w:fill="E7E6E6"/>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Originated $818 million of Private Education Loans, a 61% increase from a year ago.</w:t>
            </w:r>
          </w:p>
        </w:tc>
        <w:tc>
          <w:tcPr>
            <w:tcW w:w="0" w:type="dxa"/>
            <w:vAlign w:val="bottom"/>
          </w:tcPr>
          <w:p>
            <w:pPr>
              <w:spacing w:after="0"/>
              <w:rPr>
                <w:sz w:val="1"/>
                <w:szCs w:val="1"/>
                <w:color w:val="auto"/>
              </w:rPr>
            </w:pPr>
          </w:p>
        </w:tc>
      </w:tr>
      <w:tr>
        <w:trPr>
          <w:trHeight w:val="326"/>
        </w:trPr>
        <w:tc>
          <w:tcPr>
            <w:tcW w:w="1800" w:type="dxa"/>
            <w:vAlign w:val="bottom"/>
            <w:shd w:val="clear" w:color="auto" w:fill="E7E6E6"/>
          </w:tcPr>
          <w:p>
            <w:pPr>
              <w:spacing w:after="0"/>
              <w:rPr>
                <w:sz w:val="24"/>
                <w:szCs w:val="24"/>
                <w:color w:val="auto"/>
              </w:rPr>
            </w:pPr>
          </w:p>
        </w:tc>
        <w:tc>
          <w:tcPr>
            <w:tcW w:w="400" w:type="dxa"/>
            <w:vAlign w:val="bottom"/>
            <w:shd w:val="clear" w:color="auto" w:fill="E7E6E6"/>
          </w:tcPr>
          <w:p>
            <w:pPr>
              <w:spacing w:after="0"/>
              <w:rPr>
                <w:sz w:val="24"/>
                <w:szCs w:val="24"/>
                <w:color w:val="auto"/>
              </w:rPr>
            </w:pPr>
          </w:p>
        </w:tc>
        <w:tc>
          <w:tcPr>
            <w:tcW w:w="7520" w:type="dxa"/>
            <w:vAlign w:val="bottom"/>
            <w:shd w:val="clear" w:color="auto" w:fill="E7E6E6"/>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20"/>
              <w:spacing w:after="0" w:line="167" w:lineRule="exact"/>
              <w:rPr>
                <w:sz w:val="20"/>
                <w:szCs w:val="20"/>
                <w:color w:val="auto"/>
              </w:rPr>
            </w:pPr>
            <w:r>
              <w:rPr>
                <w:rFonts w:ascii="Arial" w:cs="Arial" w:eastAsia="Arial" w:hAnsi="Arial"/>
                <w:sz w:val="17"/>
                <w:szCs w:val="17"/>
                <w:b w:val="1"/>
                <w:bCs w:val="1"/>
                <w:color w:val="auto"/>
              </w:rPr>
              <w:t>FEDERAL</w:t>
            </w:r>
          </w:p>
        </w:tc>
        <w:tc>
          <w:tcPr>
            <w:tcW w:w="400" w:type="dxa"/>
            <w:vAlign w:val="bottom"/>
          </w:tcPr>
          <w:p>
            <w:pPr>
              <w:ind w:left="220"/>
              <w:spacing w:after="0" w:line="167" w:lineRule="exact"/>
              <w:rPr>
                <w:sz w:val="20"/>
                <w:szCs w:val="20"/>
                <w:color w:val="auto"/>
              </w:rPr>
            </w:pPr>
            <w:r>
              <w:rPr>
                <w:rFonts w:ascii="Times New Roman" w:cs="Times New Roman" w:eastAsia="Times New Roman" w:hAnsi="Times New Roman"/>
                <w:sz w:val="16"/>
                <w:szCs w:val="16"/>
                <w:color w:val="auto"/>
              </w:rPr>
              <w:t>•</w:t>
            </w:r>
          </w:p>
        </w:tc>
        <w:tc>
          <w:tcPr>
            <w:tcW w:w="7520" w:type="dxa"/>
            <w:vAlign w:val="bottom"/>
          </w:tcPr>
          <w:p>
            <w:pPr>
              <w:ind w:left="140"/>
              <w:spacing w:after="0" w:line="167" w:lineRule="exact"/>
              <w:rPr>
                <w:sz w:val="20"/>
                <w:szCs w:val="20"/>
                <w:color w:val="auto"/>
              </w:rPr>
            </w:pPr>
            <w:r>
              <w:rPr>
                <w:rFonts w:ascii="Arial" w:cs="Arial" w:eastAsia="Arial" w:hAnsi="Arial"/>
                <w:sz w:val="16"/>
                <w:szCs w:val="16"/>
                <w:color w:val="auto"/>
              </w:rPr>
              <w:t>Net income of $22 million.</w:t>
            </w:r>
          </w:p>
        </w:tc>
        <w:tc>
          <w:tcPr>
            <w:tcW w:w="0" w:type="dxa"/>
            <w:vAlign w:val="bottom"/>
          </w:tcPr>
          <w:p>
            <w:pPr>
              <w:spacing w:after="0"/>
              <w:rPr>
                <w:sz w:val="1"/>
                <w:szCs w:val="1"/>
                <w:color w:val="auto"/>
              </w:rPr>
            </w:pPr>
          </w:p>
        </w:tc>
      </w:tr>
      <w:tr>
        <w:trPr>
          <w:trHeight w:val="189"/>
        </w:trPr>
        <w:tc>
          <w:tcPr>
            <w:tcW w:w="180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EDUCATION</w:t>
            </w:r>
          </w:p>
        </w:tc>
        <w:tc>
          <w:tcPr>
            <w:tcW w:w="4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Net interest margin of 0.65%.</w:t>
            </w:r>
          </w:p>
        </w:tc>
        <w:tc>
          <w:tcPr>
            <w:tcW w:w="0" w:type="dxa"/>
            <w:vAlign w:val="bottom"/>
          </w:tcPr>
          <w:p>
            <w:pPr>
              <w:spacing w:after="0"/>
              <w:rPr>
                <w:sz w:val="1"/>
                <w:szCs w:val="1"/>
                <w:color w:val="auto"/>
              </w:rPr>
            </w:pPr>
          </w:p>
        </w:tc>
      </w:tr>
      <w:tr>
        <w:trPr>
          <w:trHeight w:val="115"/>
        </w:trPr>
        <w:tc>
          <w:tcPr>
            <w:tcW w:w="180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LOANS SEGMENT</w:t>
            </w:r>
          </w:p>
        </w:tc>
        <w:tc>
          <w:tcPr>
            <w:tcW w:w="400" w:type="dxa"/>
            <w:vAlign w:val="bottom"/>
            <w:vMerge w:val="continue"/>
          </w:tcPr>
          <w:p>
            <w:pPr>
              <w:spacing w:after="0"/>
              <w:rPr>
                <w:sz w:val="9"/>
                <w:szCs w:val="9"/>
                <w:color w:val="auto"/>
              </w:rPr>
            </w:pPr>
          </w:p>
        </w:tc>
        <w:tc>
          <w:tcPr>
            <w:tcW w:w="7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800" w:type="dxa"/>
            <w:vAlign w:val="bottom"/>
            <w:vMerge w:val="continue"/>
          </w:tcPr>
          <w:p>
            <w:pPr>
              <w:spacing w:after="0"/>
              <w:rPr>
                <w:sz w:val="10"/>
                <w:szCs w:val="10"/>
                <w:color w:val="auto"/>
              </w:rPr>
            </w:pPr>
          </w:p>
        </w:tc>
        <w:tc>
          <w:tcPr>
            <w:tcW w:w="7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FFELP Loan prepayments of $208 million compared to $256 million in first-quarter 2025.</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7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1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1800" w:type="dxa"/>
            <w:vAlign w:val="bottom"/>
            <w:shd w:val="clear" w:color="auto" w:fill="E5E5E5"/>
          </w:tcPr>
          <w:p>
            <w:pPr>
              <w:ind w:left="120"/>
              <w:spacing w:after="0"/>
              <w:rPr>
                <w:sz w:val="20"/>
                <w:szCs w:val="20"/>
                <w:color w:val="auto"/>
              </w:rPr>
            </w:pPr>
            <w:r>
              <w:rPr>
                <w:rFonts w:ascii="Arial" w:cs="Arial" w:eastAsia="Arial" w:hAnsi="Arial"/>
                <w:sz w:val="17"/>
                <w:szCs w:val="17"/>
                <w:b w:val="1"/>
                <w:bCs w:val="1"/>
                <w:color w:val="auto"/>
              </w:rPr>
              <w:t>CAPITAL &amp;</w:t>
            </w:r>
          </w:p>
        </w:tc>
        <w:tc>
          <w:tcPr>
            <w:tcW w:w="40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GAAP equity-to-asset ratio of 4.9% and adjusted tangible equity ratio</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8.9</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1800" w:type="dxa"/>
            <w:vAlign w:val="bottom"/>
            <w:shd w:val="clear" w:color="auto" w:fill="E5E5E5"/>
          </w:tcPr>
          <w:p>
            <w:pPr>
              <w:ind w:left="120"/>
              <w:spacing w:after="0"/>
              <w:rPr>
                <w:sz w:val="20"/>
                <w:szCs w:val="20"/>
                <w:color w:val="auto"/>
              </w:rPr>
            </w:pPr>
            <w:r>
              <w:rPr>
                <w:rFonts w:ascii="Arial" w:cs="Arial" w:eastAsia="Arial" w:hAnsi="Arial"/>
                <w:sz w:val="17"/>
                <w:szCs w:val="17"/>
                <w:b w:val="1"/>
                <w:bCs w:val="1"/>
                <w:color w:val="auto"/>
              </w:rPr>
              <w:t>FUNDING</w:t>
            </w:r>
          </w:p>
        </w:tc>
        <w:tc>
          <w:tcPr>
            <w:tcW w:w="40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Repurchased $23 million of common shares.</w:t>
            </w:r>
          </w:p>
        </w:tc>
        <w:tc>
          <w:tcPr>
            <w:tcW w:w="0" w:type="dxa"/>
            <w:vAlign w:val="bottom"/>
          </w:tcPr>
          <w:p>
            <w:pPr>
              <w:spacing w:after="0"/>
              <w:rPr>
                <w:sz w:val="1"/>
                <w:szCs w:val="1"/>
                <w:color w:val="auto"/>
              </w:rPr>
            </w:pPr>
          </w:p>
        </w:tc>
      </w:tr>
      <w:tr>
        <w:trPr>
          <w:trHeight w:val="330"/>
        </w:trPr>
        <w:tc>
          <w:tcPr>
            <w:tcW w:w="1800" w:type="dxa"/>
            <w:vAlign w:val="bottom"/>
            <w:shd w:val="clear" w:color="auto" w:fill="E5E5E5"/>
          </w:tcPr>
          <w:p>
            <w:pPr>
              <w:spacing w:after="0"/>
              <w:rPr>
                <w:sz w:val="24"/>
                <w:szCs w:val="24"/>
                <w:color w:val="auto"/>
              </w:rPr>
            </w:pPr>
          </w:p>
        </w:tc>
        <w:tc>
          <w:tcPr>
            <w:tcW w:w="7920" w:type="dxa"/>
            <w:vAlign w:val="bottom"/>
            <w:gridSpan w:val="2"/>
            <w:shd w:val="clear" w:color="auto" w:fill="E5E5E5"/>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Paid $15 million in common stock dividends</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1"/>
        </w:trPr>
        <w:tc>
          <w:tcPr>
            <w:tcW w:w="1800" w:type="dxa"/>
            <w:vAlign w:val="bottom"/>
            <w:tcBorders>
              <w:bottom w:val="single" w:sz="8" w:color="E5E5E5"/>
            </w:tcBorders>
            <w:shd w:val="clear" w:color="auto" w:fill="E5E5E5"/>
          </w:tcPr>
          <w:p>
            <w:pPr>
              <w:spacing w:after="0"/>
              <w:rPr>
                <w:sz w:val="24"/>
                <w:szCs w:val="24"/>
                <w:color w:val="auto"/>
              </w:rPr>
            </w:pPr>
          </w:p>
        </w:tc>
        <w:tc>
          <w:tcPr>
            <w:tcW w:w="7920" w:type="dxa"/>
            <w:vAlign w:val="bottom"/>
            <w:tcBorders>
              <w:bottom w:val="single" w:sz="8" w:color="E5E5E5"/>
            </w:tcBorders>
            <w:gridSpan w:val="2"/>
            <w:shd w:val="clear" w:color="auto" w:fill="E5E5E5"/>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Issued $683 million of asset-backed securities</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1800" w:type="dxa"/>
            <w:vAlign w:val="bottom"/>
          </w:tcPr>
          <w:p>
            <w:pPr>
              <w:ind w:left="120"/>
              <w:spacing w:after="0"/>
              <w:rPr>
                <w:sz w:val="20"/>
                <w:szCs w:val="20"/>
                <w:color w:val="auto"/>
              </w:rPr>
            </w:pPr>
            <w:r>
              <w:rPr>
                <w:rFonts w:ascii="Arial" w:cs="Arial" w:eastAsia="Arial" w:hAnsi="Arial"/>
                <w:sz w:val="17"/>
                <w:szCs w:val="17"/>
                <w:b w:val="1"/>
                <w:bCs w:val="1"/>
                <w:color w:val="auto"/>
              </w:rPr>
              <w:t>OPERATING</w:t>
            </w:r>
          </w:p>
        </w:tc>
        <w:tc>
          <w:tcPr>
            <w:tcW w:w="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520" w:type="dxa"/>
            <w:vAlign w:val="bottom"/>
          </w:tcPr>
          <w:p>
            <w:pPr>
              <w:ind w:left="140"/>
              <w:spacing w:after="0"/>
              <w:rPr>
                <w:sz w:val="20"/>
                <w:szCs w:val="20"/>
                <w:color w:val="auto"/>
              </w:rPr>
            </w:pPr>
            <w:r>
              <w:rPr>
                <w:rFonts w:ascii="Arial" w:cs="Arial" w:eastAsia="Arial" w:hAnsi="Arial"/>
                <w:sz w:val="16"/>
                <w:szCs w:val="16"/>
                <w:color w:val="auto"/>
              </w:rPr>
              <w:t>Incurred operating expenses of $89 million.</w:t>
            </w:r>
          </w:p>
        </w:tc>
        <w:tc>
          <w:tcPr>
            <w:tcW w:w="0" w:type="dxa"/>
            <w:vAlign w:val="bottom"/>
          </w:tcPr>
          <w:p>
            <w:pPr>
              <w:spacing w:after="0"/>
              <w:rPr>
                <w:sz w:val="1"/>
                <w:szCs w:val="1"/>
                <w:color w:val="auto"/>
              </w:rPr>
            </w:pPr>
          </w:p>
        </w:tc>
      </w:tr>
      <w:tr>
        <w:trPr>
          <w:trHeight w:val="235"/>
        </w:trPr>
        <w:tc>
          <w:tcPr>
            <w:tcW w:w="1800" w:type="dxa"/>
            <w:vAlign w:val="bottom"/>
          </w:tcPr>
          <w:p>
            <w:pPr>
              <w:ind w:left="120"/>
              <w:spacing w:after="0"/>
              <w:rPr>
                <w:sz w:val="20"/>
                <w:szCs w:val="20"/>
                <w:color w:val="auto"/>
              </w:rPr>
            </w:pPr>
            <w:r>
              <w:rPr>
                <w:rFonts w:ascii="Arial" w:cs="Arial" w:eastAsia="Arial" w:hAnsi="Arial"/>
                <w:sz w:val="17"/>
                <w:szCs w:val="17"/>
                <w:b w:val="1"/>
                <w:bCs w:val="1"/>
                <w:color w:val="auto"/>
              </w:rPr>
              <w:t>EXPENSES</w:t>
            </w:r>
          </w:p>
        </w:tc>
        <w:tc>
          <w:tcPr>
            <w:tcW w:w="40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20" w:hanging="216"/>
        <w:spacing w:after="0"/>
        <w:tabs>
          <w:tab w:leader="none" w:pos="22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Item is a non-GAAP financial measure. For a description and reconciliation, see “Non-GAAP Financial Measures” on pages 15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592455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1" w:right="1099" w:bottom="1440" w:gutter="0" w:footer="0" w:header="0"/>
        </w:sectPr>
      </w:pPr>
    </w:p>
    <w:bookmarkStart w:id="5" w:name="page6"/>
    <w:bookmarkEnd w:id="5"/>
    <w:p>
      <w:pPr>
        <w:ind w:left="1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808990</wp:posOffset>
            </wp:positionV>
            <wp:extent cx="617220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171450"/>
                    </a:xfrm>
                    <a:prstGeom prst="rect">
                      <a:avLst/>
                    </a:prstGeom>
                    <a:noFill/>
                  </pic:spPr>
                </pic:pic>
              </a:graphicData>
            </a:graphic>
          </wp:anchor>
        </w:drawing>
        <w:t>SEGMENT RESULTS — CORE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196850"/>
                    </a:xfrm>
                    <a:prstGeom prst="rect">
                      <a:avLst/>
                    </a:prstGeom>
                    <a:noFill/>
                  </pic:spPr>
                </pic:pic>
              </a:graphicData>
            </a:graphic>
          </wp:anchor>
        </w:drawing>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CONSUMER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617220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308610"/>
                    </a:xfrm>
                    <a:prstGeom prst="rect">
                      <a:avLst/>
                    </a:prstGeom>
                    <a:noFill/>
                  </pic:spPr>
                </pic:pic>
              </a:graphicData>
            </a:graphic>
          </wp:anchor>
        </w:drawing>
      </w:r>
    </w:p>
    <w:p>
      <w:pPr>
        <w:spacing w:after="0" w:line="88" w:lineRule="exact"/>
        <w:rPr>
          <w:sz w:val="20"/>
          <w:szCs w:val="20"/>
          <w:color w:val="auto"/>
        </w:rPr>
      </w:pPr>
    </w:p>
    <w:p>
      <w:pPr>
        <w:ind w:left="100" w:right="300"/>
        <w:spacing w:after="0" w:line="286" w:lineRule="auto"/>
        <w:rPr>
          <w:sz w:val="20"/>
          <w:szCs w:val="20"/>
          <w:color w:val="auto"/>
        </w:rPr>
      </w:pPr>
      <w:r>
        <w:rPr>
          <w:rFonts w:ascii="Arial" w:cs="Arial" w:eastAsia="Arial" w:hAnsi="Arial"/>
          <w:sz w:val="16"/>
          <w:szCs w:val="16"/>
          <w:color w:val="auto"/>
        </w:rPr>
        <w:t>In this segment, Navient owns and manages a portfolio of Private Education Loans. Through our Earnest brand, we also refinance and originate Private Education Loans.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RESULTS AND KEY PERFORMANCE METRICS</w:t>
      </w:r>
    </w:p>
    <w:p>
      <w:pPr>
        <w:spacing w:after="0" w:line="25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1Q26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4Q25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1Q25</w:t>
            </w:r>
          </w:p>
        </w:tc>
        <w:tc>
          <w:tcPr>
            <w:tcW w:w="180" w:type="dxa"/>
            <w:vAlign w:val="bottom"/>
          </w:tcPr>
          <w:p>
            <w:pPr>
              <w:spacing w:after="0"/>
              <w:rPr>
                <w:sz w:val="14"/>
                <w:szCs w:val="14"/>
                <w:color w:val="auto"/>
              </w:rPr>
            </w:pPr>
          </w:p>
        </w:tc>
      </w:tr>
      <w:tr>
        <w:trPr>
          <w:trHeight w:val="183"/>
        </w:trPr>
        <w:tc>
          <w:tcPr>
            <w:tcW w:w="37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Net interest income</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w:t>
            </w:r>
          </w:p>
        </w:tc>
        <w:tc>
          <w:tcPr>
            <w:tcW w:w="2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w:t>
            </w:r>
          </w:p>
        </w:tc>
        <w:tc>
          <w:tcPr>
            <w:tcW w:w="2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113</w:t>
            </w:r>
          </w:p>
        </w:tc>
        <w:tc>
          <w:tcPr>
            <w:tcW w:w="180" w:type="dxa"/>
            <w:vAlign w:val="bottom"/>
            <w:shd w:val="clear" w:color="auto" w:fill="CFF0FC"/>
          </w:tcPr>
          <w:p>
            <w:pPr>
              <w:spacing w:after="0"/>
              <w:rPr>
                <w:sz w:val="15"/>
                <w:szCs w:val="15"/>
                <w:color w:val="auto"/>
              </w:rPr>
            </w:pPr>
          </w:p>
        </w:tc>
      </w:tr>
      <w:tr>
        <w:trPr>
          <w:trHeight w:val="189"/>
        </w:trPr>
        <w:tc>
          <w:tcPr>
            <w:tcW w:w="3740" w:type="dxa"/>
            <w:vAlign w:val="bottom"/>
            <w:gridSpan w:val="2"/>
          </w:tcPr>
          <w:p>
            <w:pPr>
              <w:spacing w:after="0"/>
              <w:rPr>
                <w:sz w:val="20"/>
                <w:szCs w:val="20"/>
                <w:color w:val="auto"/>
              </w:rPr>
            </w:pPr>
            <w:r>
              <w:rPr>
                <w:rFonts w:ascii="Arial" w:cs="Arial" w:eastAsia="Arial" w:hAnsi="Arial"/>
                <w:sz w:val="16"/>
                <w:szCs w:val="16"/>
                <w:color w:val="auto"/>
              </w:rPr>
              <w:t>Provision for loan losses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6"/>
                <w:szCs w:val="16"/>
                <w:color w:val="auto"/>
              </w:rPr>
            </w:pPr>
          </w:p>
        </w:tc>
      </w:tr>
      <w:tr>
        <w:trPr>
          <w:trHeight w:val="189"/>
        </w:trPr>
        <w:tc>
          <w:tcPr>
            <w:tcW w:w="3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CFF0FC"/>
            </w:tcBorders>
            <w:shd w:val="clear" w:color="auto" w:fill="CFF0FC"/>
          </w:tcPr>
          <w:p>
            <w:pPr>
              <w:spacing w:after="0"/>
              <w:rPr>
                <w:sz w:val="16"/>
                <w:szCs w:val="16"/>
                <w:color w:val="auto"/>
              </w:rPr>
            </w:pPr>
          </w:p>
        </w:tc>
      </w:tr>
      <w:tr>
        <w:trPr>
          <w:trHeight w:val="183"/>
        </w:trPr>
        <w:tc>
          <w:tcPr>
            <w:tcW w:w="374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85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64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180" w:type="dxa"/>
            <w:vAlign w:val="bottom"/>
          </w:tcPr>
          <w:p>
            <w:pPr>
              <w:spacing w:after="0"/>
              <w:rPr>
                <w:sz w:val="15"/>
                <w:szCs w:val="15"/>
                <w:color w:val="auto"/>
              </w:rPr>
            </w:pPr>
          </w:p>
        </w:tc>
      </w:tr>
      <w:tr>
        <w:trPr>
          <w:trHeight w:val="189"/>
        </w:trPr>
        <w:tc>
          <w:tcPr>
            <w:tcW w:w="3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bottom w:val="single" w:sz="8" w:color="CFF0FC"/>
            </w:tcBorders>
            <w:shd w:val="clear" w:color="auto" w:fill="CFF0FC"/>
          </w:tcPr>
          <w:p>
            <w:pPr>
              <w:spacing w:after="0"/>
              <w:rPr>
                <w:sz w:val="16"/>
                <w:szCs w:val="16"/>
                <w:color w:val="auto"/>
              </w:rPr>
            </w:pPr>
          </w:p>
        </w:tc>
      </w:tr>
      <w:tr>
        <w:trPr>
          <w:trHeight w:val="183"/>
        </w:trPr>
        <w:tc>
          <w:tcPr>
            <w:tcW w:w="3740" w:type="dxa"/>
            <w:vAlign w:val="bottom"/>
            <w:gridSpan w:val="2"/>
          </w:tcPr>
          <w:p>
            <w:pPr>
              <w:spacing w:after="0" w:line="183" w:lineRule="exact"/>
              <w:rPr>
                <w:sz w:val="20"/>
                <w:szCs w:val="20"/>
                <w:color w:val="auto"/>
              </w:rPr>
            </w:pPr>
            <w:r>
              <w:rPr>
                <w:rFonts w:ascii="Arial" w:cs="Arial" w:eastAsia="Arial" w:hAnsi="Arial"/>
                <w:sz w:val="16"/>
                <w:szCs w:val="16"/>
                <w:color w:val="auto"/>
              </w:rPr>
              <w:t>Pre-tax income</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w:t>
            </w:r>
          </w:p>
        </w:tc>
        <w:tc>
          <w:tcPr>
            <w:tcW w:w="180" w:type="dxa"/>
            <w:vAlign w:val="bottom"/>
          </w:tcPr>
          <w:p>
            <w:pPr>
              <w:spacing w:after="0"/>
              <w:rPr>
                <w:sz w:val="15"/>
                <w:szCs w:val="15"/>
                <w:color w:val="auto"/>
              </w:rPr>
            </w:pPr>
          </w:p>
        </w:tc>
      </w:tr>
      <w:tr>
        <w:trPr>
          <w:trHeight w:val="223"/>
        </w:trPr>
        <w:tc>
          <w:tcPr>
            <w:tcW w:w="37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w:t>
            </w:r>
          </w:p>
        </w:tc>
        <w:tc>
          <w:tcPr>
            <w:tcW w:w="180" w:type="dxa"/>
            <w:vAlign w:val="bottom"/>
            <w:shd w:val="clear" w:color="auto" w:fill="CFF0FC"/>
          </w:tcPr>
          <w:p>
            <w:pPr>
              <w:spacing w:after="0"/>
              <w:rPr>
                <w:sz w:val="19"/>
                <w:szCs w:val="19"/>
                <w:color w:val="auto"/>
              </w:rPr>
            </w:pPr>
          </w:p>
        </w:tc>
      </w:tr>
      <w:tr>
        <w:trPr>
          <w:trHeight w:val="143"/>
        </w:trPr>
        <w:tc>
          <w:tcPr>
            <w:tcW w:w="1340" w:type="dxa"/>
            <w:vAlign w:val="bottom"/>
            <w:tcBorders>
              <w:top w:val="single" w:sz="8" w:color="CFF0FC"/>
            </w:tcBorders>
          </w:tcPr>
          <w:p>
            <w:pPr>
              <w:spacing w:after="0"/>
              <w:rPr>
                <w:sz w:val="12"/>
                <w:szCs w:val="12"/>
                <w:color w:val="auto"/>
              </w:rPr>
            </w:pPr>
          </w:p>
        </w:tc>
        <w:tc>
          <w:tcPr>
            <w:tcW w:w="24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r>
      <w:tr>
        <w:trPr>
          <w:trHeight w:val="189"/>
        </w:trPr>
        <w:tc>
          <w:tcPr>
            <w:tcW w:w="3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Segment net interest margin</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2.76%</w:t>
            </w:r>
          </w:p>
        </w:tc>
      </w:tr>
      <w:tr>
        <w:trPr>
          <w:trHeight w:val="175"/>
        </w:trPr>
        <w:tc>
          <w:tcPr>
            <w:tcW w:w="3740" w:type="dxa"/>
            <w:vAlign w:val="bottom"/>
            <w:gridSpan w:val="2"/>
          </w:tcPr>
          <w:p>
            <w:pPr>
              <w:spacing w:after="0" w:line="175" w:lineRule="exact"/>
              <w:rPr>
                <w:sz w:val="20"/>
                <w:szCs w:val="20"/>
                <w:color w:val="auto"/>
              </w:rPr>
            </w:pPr>
            <w:r>
              <w:rPr>
                <w:rFonts w:ascii="Arial" w:cs="Arial" w:eastAsia="Arial" w:hAnsi="Arial"/>
                <w:sz w:val="16"/>
                <w:szCs w:val="16"/>
                <w:color w:val="auto"/>
              </w:rPr>
              <w:t>Private Education Loans (including</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3"/>
        </w:trPr>
        <w:tc>
          <w:tcPr>
            <w:tcW w:w="3740" w:type="dxa"/>
            <w:vAlign w:val="bottom"/>
            <w:gridSpan w:val="2"/>
          </w:tcPr>
          <w:p>
            <w:pPr>
              <w:ind w:left="140"/>
              <w:spacing w:after="0"/>
              <w:rPr>
                <w:sz w:val="20"/>
                <w:szCs w:val="20"/>
                <w:color w:val="auto"/>
              </w:rPr>
            </w:pPr>
            <w:r>
              <w:rPr>
                <w:rFonts w:ascii="Arial" w:cs="Arial" w:eastAsia="Arial" w:hAnsi="Arial"/>
                <w:sz w:val="16"/>
                <w:szCs w:val="16"/>
                <w:color w:val="auto"/>
              </w:rPr>
              <w:t>Refinance Loans):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Private Education Loan spread</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2.87%</w:t>
            </w: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Provision for loan losses</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6"/>
                <w:szCs w:val="16"/>
                <w:color w:val="auto"/>
              </w:rPr>
            </w:pP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Net charge-offs</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80" w:type="dxa"/>
            <w:vAlign w:val="bottom"/>
            <w:shd w:val="clear" w:color="auto" w:fill="CFF0FC"/>
          </w:tcPr>
          <w:p>
            <w:pPr>
              <w:spacing w:after="0"/>
              <w:rPr>
                <w:sz w:val="16"/>
                <w:szCs w:val="16"/>
                <w:color w:val="auto"/>
              </w:rPr>
            </w:pP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Net charge-off rate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1.89%</w:t>
            </w: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Greater than 30-days delinquency rate</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5.5%</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w:t>
            </w: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Greater than 90-days delinquency rate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Forbearance rate</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Average Private Education Loans</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15,958</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15,907</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16,159</w:t>
            </w:r>
          </w:p>
        </w:tc>
        <w:tc>
          <w:tcPr>
            <w:tcW w:w="180" w:type="dxa"/>
            <w:vAlign w:val="bottom"/>
          </w:tcPr>
          <w:p>
            <w:pPr>
              <w:spacing w:after="0"/>
              <w:rPr>
                <w:sz w:val="16"/>
                <w:szCs w:val="16"/>
                <w:color w:val="auto"/>
              </w:rPr>
            </w:pP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Ending Private Education Loans, net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15,649</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15,451</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15,690</w:t>
            </w:r>
          </w:p>
        </w:tc>
        <w:tc>
          <w:tcPr>
            <w:tcW w:w="180" w:type="dxa"/>
            <w:vAlign w:val="bottom"/>
            <w:shd w:val="clear" w:color="auto" w:fill="CFF0FC"/>
          </w:tcPr>
          <w:p>
            <w:pPr>
              <w:spacing w:after="0"/>
              <w:rPr>
                <w:sz w:val="16"/>
                <w:szCs w:val="16"/>
                <w:color w:val="auto"/>
              </w:rPr>
            </w:pPr>
          </w:p>
        </w:tc>
      </w:tr>
      <w:tr>
        <w:trPr>
          <w:trHeight w:val="189"/>
        </w:trPr>
        <w:tc>
          <w:tcPr>
            <w:tcW w:w="3740" w:type="dxa"/>
            <w:vAlign w:val="bottom"/>
            <w:gridSpan w:val="2"/>
          </w:tcPr>
          <w:p>
            <w:pPr>
              <w:spacing w:after="0"/>
              <w:rPr>
                <w:sz w:val="20"/>
                <w:szCs w:val="20"/>
                <w:color w:val="auto"/>
              </w:rPr>
            </w:pPr>
            <w:r>
              <w:rPr>
                <w:rFonts w:ascii="Arial" w:cs="Arial" w:eastAsia="Arial" w:hAnsi="Arial"/>
                <w:sz w:val="16"/>
                <w:szCs w:val="16"/>
                <w:color w:val="auto"/>
              </w:rPr>
              <w:t>Private Education Refinance Loans: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Net charge-offs</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FF0FC"/>
          </w:tcPr>
          <w:p>
            <w:pPr>
              <w:spacing w:after="0"/>
              <w:rPr>
                <w:sz w:val="16"/>
                <w:szCs w:val="16"/>
                <w:color w:val="auto"/>
              </w:rPr>
            </w:pP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Greater than 90-day delinquency rate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Average Private Education Refinance Loans</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9,017</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8,838</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8,464</w:t>
            </w:r>
          </w:p>
        </w:tc>
        <w:tc>
          <w:tcPr>
            <w:tcW w:w="180" w:type="dxa"/>
            <w:vAlign w:val="bottom"/>
            <w:shd w:val="clear" w:color="auto" w:fill="CFF0FC"/>
          </w:tcPr>
          <w:p>
            <w:pPr>
              <w:spacing w:after="0"/>
              <w:rPr>
                <w:sz w:val="16"/>
                <w:szCs w:val="16"/>
                <w:color w:val="auto"/>
              </w:rPr>
            </w:pPr>
          </w:p>
        </w:tc>
      </w:tr>
      <w:tr>
        <w:trPr>
          <w:trHeight w:val="189"/>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Ending Private Education Refinance Loans, net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9,029</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8,755</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8,413</w:t>
            </w:r>
          </w:p>
        </w:tc>
        <w:tc>
          <w:tcPr>
            <w:tcW w:w="180" w:type="dxa"/>
            <w:vAlign w:val="bottom"/>
          </w:tcPr>
          <w:p>
            <w:pPr>
              <w:spacing w:after="0"/>
              <w:rPr>
                <w:sz w:val="16"/>
                <w:szCs w:val="16"/>
                <w:color w:val="auto"/>
              </w:rPr>
            </w:pPr>
          </w:p>
        </w:tc>
      </w:tr>
      <w:tr>
        <w:trPr>
          <w:trHeight w:val="189"/>
        </w:trPr>
        <w:tc>
          <w:tcPr>
            <w:tcW w:w="37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Private Education Refinance Loan originations</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w:t>
            </w:r>
          </w:p>
        </w:tc>
        <w:tc>
          <w:tcPr>
            <w:tcW w:w="2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w:t>
            </w:r>
          </w:p>
        </w:tc>
        <w:tc>
          <w:tcPr>
            <w:tcW w:w="18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-2794000</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-2794000</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-2794000</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-2545080</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-2545080</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-2545080</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-2287905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-2271395</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-2287905</wp:posOffset>
            </wp:positionV>
            <wp:extent cx="102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-2271395</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-2287905</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-2271395</wp:posOffset>
            </wp:positionV>
            <wp:extent cx="102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DISCUSSION OF RESULTS — 1Q26 vs. 1Q25</w:t>
      </w:r>
    </w:p>
    <w:p>
      <w:pPr>
        <w:spacing w:after="0" w:line="181" w:lineRule="exact"/>
        <w:rPr>
          <w:sz w:val="20"/>
          <w:szCs w:val="20"/>
          <w:color w:val="auto"/>
        </w:rPr>
      </w:pPr>
    </w:p>
    <w:p>
      <w:pPr>
        <w:jc w:val="center"/>
        <w:ind w:left="920" w:right="2640" w:hanging="916"/>
        <w:spacing w:after="0" w:line="310" w:lineRule="auto"/>
        <w:tabs>
          <w:tab w:leader="none" w:pos="337" w:val="left"/>
        </w:tabs>
        <w:numPr>
          <w:ilvl w:val="0"/>
          <w:numId w:val="4"/>
        </w:numPr>
        <w:rPr>
          <w:rFonts w:ascii="Times New Roman" w:cs="Times New Roman" w:eastAsia="Times New Roman" w:hAnsi="Times New Roman"/>
          <w:sz w:val="18"/>
          <w:szCs w:val="18"/>
          <w:color w:val="auto"/>
        </w:rPr>
      </w:pPr>
      <w:r>
        <w:rPr>
          <w:rFonts w:ascii="Arial" w:cs="Arial" w:eastAsia="Arial" w:hAnsi="Arial"/>
          <w:sz w:val="16"/>
          <w:szCs w:val="16"/>
          <w:color w:val="auto"/>
        </w:rPr>
        <w:t xml:space="preserve">Originated $818 million of Private Education Loans, a 61% increase compared to $508 million. </w:t>
      </w:r>
      <w:r>
        <w:rPr>
          <w:rFonts w:ascii="Times New Roman" w:cs="Times New Roman" w:eastAsia="Times New Roman" w:hAnsi="Times New Roman"/>
          <w:sz w:val="17"/>
          <w:szCs w:val="17"/>
          <w:color w:val="auto"/>
        </w:rPr>
        <w:t xml:space="preserve">o   </w:t>
      </w:r>
      <w:r>
        <w:rPr>
          <w:rFonts w:ascii="Arial" w:cs="Arial" w:eastAsia="Arial" w:hAnsi="Arial"/>
          <w:sz w:val="16"/>
          <w:szCs w:val="16"/>
          <w:color w:val="auto"/>
        </w:rPr>
        <w:t>Refinance Loan originations were $778 million compared to $470 million.</w:t>
      </w:r>
    </w:p>
    <w:p>
      <w:pPr>
        <w:spacing w:after="0" w:line="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6"/>
          <w:szCs w:val="16"/>
          <w:color w:val="auto"/>
        </w:rPr>
        <w:t>In-school loan originations were $40 million compared to $38 million.</w:t>
      </w:r>
    </w:p>
    <w:p>
      <w:pPr>
        <w:spacing w:after="0" w:line="80"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6"/>
          <w:szCs w:val="16"/>
          <w:color w:val="auto"/>
        </w:rPr>
        <w:t>Net income was $35 million compared to $46 million.</w:t>
      </w:r>
    </w:p>
    <w:p>
      <w:pPr>
        <w:spacing w:after="0" w:line="63" w:lineRule="exact"/>
        <w:rPr>
          <w:rFonts w:ascii="Times New Roman" w:cs="Times New Roman" w:eastAsia="Times New Roman" w:hAnsi="Times New Roman"/>
          <w:sz w:val="18"/>
          <w:szCs w:val="18"/>
          <w:color w:val="auto"/>
        </w:rPr>
      </w:pPr>
    </w:p>
    <w:p>
      <w:pPr>
        <w:ind w:left="320" w:right="220" w:hanging="316"/>
        <w:spacing w:after="0" w:line="250" w:lineRule="auto"/>
        <w:tabs>
          <w:tab w:leader="none" w:pos="3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6"/>
          <w:szCs w:val="16"/>
          <w:color w:val="auto"/>
        </w:rPr>
        <w:t>Net interest income decreased $13 million, primarily due to the changing product mix of the loan portfolio (Refinance Loans increased as a percentage of the portfolio), as well as the impact of decreasing interest rates on the different index resets for the segment assets and debt.</w:t>
      </w:r>
    </w:p>
    <w:p>
      <w:pPr>
        <w:spacing w:after="0" w:line="35" w:lineRule="exact"/>
        <w:rPr>
          <w:rFonts w:ascii="Times New Roman" w:cs="Times New Roman" w:eastAsia="Times New Roman" w:hAnsi="Times New Roman"/>
          <w:sz w:val="18"/>
          <w:szCs w:val="18"/>
          <w:color w:val="auto"/>
        </w:rPr>
      </w:pPr>
    </w:p>
    <w:p>
      <w:pPr>
        <w:jc w:val="both"/>
        <w:ind w:left="320" w:right="160" w:hanging="316"/>
        <w:spacing w:after="0" w:line="250" w:lineRule="auto"/>
        <w:tabs>
          <w:tab w:leader="none" w:pos="3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6"/>
          <w:szCs w:val="16"/>
          <w:color w:val="auto"/>
        </w:rPr>
        <w:t>Provision for loan losses decreased $4 million. The provision of $18 million in the current quarter included $11 million associated with loan originations. The provision for loan losses of $22 million in the year-ago quarter included $7 million associated with loan originations and $15 million related to a general reserve build (primarily as a result of an increase in delinquency balances).</w:t>
      </w:r>
    </w:p>
    <w:p>
      <w:pPr>
        <w:spacing w:after="0" w:line="36" w:lineRule="exact"/>
        <w:rPr>
          <w:sz w:val="20"/>
          <w:szCs w:val="20"/>
          <w:color w:val="auto"/>
        </w:rPr>
      </w:pPr>
    </w:p>
    <w:p>
      <w:pPr>
        <w:ind w:left="1240" w:hanging="329"/>
        <w:spacing w:after="0"/>
        <w:tabs>
          <w:tab w:leader="none" w:pos="12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6"/>
          <w:szCs w:val="16"/>
          <w:color w:val="auto"/>
        </w:rPr>
        <w:t>Net charge-offs remained unchanged at $72 million compared to the year-ago quarter.</w:t>
      </w:r>
    </w:p>
    <w:p>
      <w:pPr>
        <w:spacing w:after="0" w:line="63" w:lineRule="exact"/>
        <w:rPr>
          <w:rFonts w:ascii="Times New Roman" w:cs="Times New Roman" w:eastAsia="Times New Roman" w:hAnsi="Times New Roman"/>
          <w:sz w:val="18"/>
          <w:szCs w:val="18"/>
          <w:color w:val="auto"/>
        </w:rPr>
      </w:pPr>
    </w:p>
    <w:p>
      <w:pPr>
        <w:ind w:left="1240" w:hanging="329"/>
        <w:spacing w:after="0"/>
        <w:tabs>
          <w:tab w:leader="none" w:pos="12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6"/>
          <w:szCs w:val="16"/>
          <w:color w:val="auto"/>
        </w:rPr>
        <w:t>Private Education Loan delinquencies greater than 90 days: $386 million, down $9 million from $395 million.</w:t>
      </w:r>
    </w:p>
    <w:p>
      <w:pPr>
        <w:spacing w:after="0" w:line="63" w:lineRule="exact"/>
        <w:rPr>
          <w:rFonts w:ascii="Times New Roman" w:cs="Times New Roman" w:eastAsia="Times New Roman" w:hAnsi="Times New Roman"/>
          <w:sz w:val="18"/>
          <w:szCs w:val="18"/>
          <w:color w:val="auto"/>
        </w:rPr>
      </w:pPr>
    </w:p>
    <w:p>
      <w:pPr>
        <w:ind w:left="1240" w:hanging="329"/>
        <w:spacing w:after="0"/>
        <w:tabs>
          <w:tab w:leader="none" w:pos="12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6"/>
          <w:szCs w:val="16"/>
          <w:color w:val="auto"/>
        </w:rPr>
        <w:t>Private Education Loan forbearances: $235 million, down $48 million from $283 million.</w:t>
      </w:r>
    </w:p>
    <w:p>
      <w:pPr>
        <w:spacing w:after="0" w:line="63" w:lineRule="exact"/>
        <w:rPr>
          <w:rFonts w:ascii="Times New Roman" w:cs="Times New Roman" w:eastAsia="Times New Roman" w:hAnsi="Times New Roman"/>
          <w:sz w:val="18"/>
          <w:szCs w:val="18"/>
          <w:color w:val="auto"/>
        </w:rPr>
      </w:pPr>
    </w:p>
    <w:p>
      <w:pPr>
        <w:ind w:left="320" w:right="460" w:hanging="316"/>
        <w:spacing w:after="0" w:line="256" w:lineRule="auto"/>
        <w:tabs>
          <w:tab w:leader="none" w:pos="3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6"/>
          <w:szCs w:val="16"/>
          <w:color w:val="auto"/>
        </w:rPr>
        <w:t>Operating expenses increased $4 million primarily reflecting marketing and other expenses associated with the growth of our consumer lending businesses.</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22" w:right="1099" w:bottom="1440" w:gutter="0" w:footer="0" w:header="0"/>
        </w:sectPr>
      </w:pPr>
    </w:p>
    <w:bookmarkStart w:id="6" w:name="page7"/>
    <w:bookmarkEnd w:id="6"/>
    <w:p>
      <w:pPr>
        <w:ind w:lef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645795</wp:posOffset>
            </wp:positionV>
            <wp:extent cx="617220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0" cy="205740"/>
                    </a:xfrm>
                    <a:prstGeom prst="rect">
                      <a:avLst/>
                    </a:prstGeom>
                    <a:noFill/>
                  </pic:spPr>
                </pic:pic>
              </a:graphicData>
            </a:graphic>
          </wp:anchor>
        </w:drawing>
        <w:t>FEDERAL EDUCATION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6172200" cy="248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248920"/>
                    </a:xfrm>
                    <a:prstGeom prst="rect">
                      <a:avLst/>
                    </a:prstGeom>
                    <a:noFill/>
                  </pic:spPr>
                </pic:pic>
              </a:graphicData>
            </a:graphic>
          </wp:anchor>
        </w:drawing>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this segment, Navient owns and manages a portfolio of FFELP federally guaranteed student loans.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RESULTS AND KEY PERFORMANCE METRICS</w:t>
      </w:r>
    </w:p>
    <w:p>
      <w:pPr>
        <w:spacing w:after="0" w:line="226"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2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1Q26</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4Q25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1Q25</w:t>
            </w:r>
          </w:p>
        </w:tc>
        <w:tc>
          <w:tcPr>
            <w:tcW w:w="180" w:type="dxa"/>
            <w:vAlign w:val="bottom"/>
          </w:tcPr>
          <w:p>
            <w:pPr>
              <w:spacing w:after="0"/>
              <w:rPr>
                <w:sz w:val="14"/>
                <w:szCs w:val="14"/>
                <w:color w:val="auto"/>
              </w:rPr>
            </w:pPr>
          </w:p>
        </w:tc>
      </w:tr>
      <w:tr>
        <w:trPr>
          <w:trHeight w:val="183"/>
        </w:trPr>
        <w:tc>
          <w:tcPr>
            <w:tcW w:w="3860" w:type="dxa"/>
            <w:vAlign w:val="bottom"/>
            <w:gridSpan w:val="2"/>
            <w:shd w:val="clear" w:color="auto" w:fill="CFF2FC"/>
          </w:tcPr>
          <w:p>
            <w:pPr>
              <w:spacing w:after="0" w:line="183" w:lineRule="exact"/>
              <w:rPr>
                <w:sz w:val="20"/>
                <w:szCs w:val="20"/>
                <w:color w:val="auto"/>
              </w:rPr>
            </w:pPr>
            <w:r>
              <w:rPr>
                <w:rFonts w:ascii="Arial" w:cs="Arial" w:eastAsia="Arial" w:hAnsi="Arial"/>
                <w:sz w:val="16"/>
                <w:szCs w:val="16"/>
                <w:color w:val="auto"/>
              </w:rPr>
              <w:t>Net interest income</w:t>
            </w:r>
          </w:p>
        </w:tc>
        <w:tc>
          <w:tcPr>
            <w:tcW w:w="200" w:type="dxa"/>
            <w:vAlign w:val="bottom"/>
            <w:shd w:val="clear" w:color="auto" w:fill="CFF2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46</w:t>
            </w:r>
          </w:p>
        </w:tc>
        <w:tc>
          <w:tcPr>
            <w:tcW w:w="320" w:type="dxa"/>
            <w:vAlign w:val="bottom"/>
            <w:shd w:val="clear" w:color="auto" w:fill="CFF2FC"/>
          </w:tcPr>
          <w:p>
            <w:pPr>
              <w:spacing w:after="0"/>
              <w:rPr>
                <w:sz w:val="15"/>
                <w:szCs w:val="15"/>
                <w:color w:val="auto"/>
              </w:rPr>
            </w:pPr>
          </w:p>
        </w:tc>
        <w:tc>
          <w:tcPr>
            <w:tcW w:w="220" w:type="dxa"/>
            <w:vAlign w:val="bottom"/>
            <w:shd w:val="clear" w:color="auto" w:fill="CFF2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44</w:t>
            </w:r>
          </w:p>
        </w:tc>
        <w:tc>
          <w:tcPr>
            <w:tcW w:w="240" w:type="dxa"/>
            <w:vAlign w:val="bottom"/>
            <w:shd w:val="clear" w:color="auto" w:fill="CFF2FC"/>
          </w:tcPr>
          <w:p>
            <w:pPr>
              <w:spacing w:after="0"/>
              <w:rPr>
                <w:sz w:val="15"/>
                <w:szCs w:val="15"/>
                <w:color w:val="auto"/>
              </w:rPr>
            </w:pPr>
          </w:p>
        </w:tc>
        <w:tc>
          <w:tcPr>
            <w:tcW w:w="300" w:type="dxa"/>
            <w:vAlign w:val="bottom"/>
            <w:gridSpan w:val="2"/>
            <w:shd w:val="clear" w:color="auto" w:fill="CFF2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49</w:t>
            </w:r>
          </w:p>
        </w:tc>
        <w:tc>
          <w:tcPr>
            <w:tcW w:w="180" w:type="dxa"/>
            <w:vAlign w:val="bottom"/>
            <w:shd w:val="clear" w:color="auto" w:fill="CFF2FC"/>
          </w:tcPr>
          <w:p>
            <w:pPr>
              <w:spacing w:after="0"/>
              <w:rPr>
                <w:sz w:val="15"/>
                <w:szCs w:val="15"/>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Provision for loan losses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6"/>
                <w:szCs w:val="16"/>
                <w:color w:val="auto"/>
              </w:rPr>
            </w:pPr>
          </w:p>
        </w:tc>
      </w:tr>
      <w:tr>
        <w:trPr>
          <w:trHeight w:val="189"/>
        </w:trPr>
        <w:tc>
          <w:tcPr>
            <w:tcW w:w="3860" w:type="dxa"/>
            <w:vAlign w:val="bottom"/>
            <w:tcBorders>
              <w:bottom w:val="single" w:sz="8" w:color="CFF2FC"/>
            </w:tcBorders>
            <w:gridSpan w:val="2"/>
            <w:shd w:val="clear" w:color="auto" w:fill="CFF2FC"/>
          </w:tcPr>
          <w:p>
            <w:pPr>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CFF2FC"/>
            </w:tcBorders>
            <w:shd w:val="clear" w:color="auto" w:fill="CFF2FC"/>
          </w:tcPr>
          <w:p>
            <w:pPr>
              <w:spacing w:after="0"/>
              <w:rPr>
                <w:sz w:val="16"/>
                <w:szCs w:val="16"/>
                <w:color w:val="auto"/>
              </w:rPr>
            </w:pPr>
          </w:p>
        </w:tc>
        <w:tc>
          <w:tcPr>
            <w:tcW w:w="22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FF2FC"/>
            </w:tcBorders>
            <w:shd w:val="clear" w:color="auto" w:fill="CFF2FC"/>
          </w:tcPr>
          <w:p>
            <w:pPr>
              <w:spacing w:after="0"/>
              <w:rPr>
                <w:sz w:val="16"/>
                <w:szCs w:val="16"/>
                <w:color w:val="auto"/>
              </w:rPr>
            </w:pPr>
          </w:p>
        </w:tc>
        <w:tc>
          <w:tcPr>
            <w:tcW w:w="100" w:type="dxa"/>
            <w:vAlign w:val="bottom"/>
            <w:tcBorders>
              <w:bottom w:val="single" w:sz="8" w:color="CFF2FC"/>
            </w:tcBorders>
            <w:shd w:val="clear" w:color="auto" w:fill="CFF2FC"/>
          </w:tcPr>
          <w:p>
            <w:pPr>
              <w:spacing w:after="0"/>
              <w:rPr>
                <w:sz w:val="16"/>
                <w:szCs w:val="16"/>
                <w:color w:val="auto"/>
              </w:rPr>
            </w:pPr>
          </w:p>
        </w:tc>
        <w:tc>
          <w:tcPr>
            <w:tcW w:w="20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CFF2FC"/>
            </w:tcBorders>
            <w:shd w:val="clear" w:color="auto" w:fill="CFF2FC"/>
          </w:tcPr>
          <w:p>
            <w:pPr>
              <w:spacing w:after="0"/>
              <w:rPr>
                <w:sz w:val="16"/>
                <w:szCs w:val="16"/>
                <w:color w:val="auto"/>
              </w:rPr>
            </w:pPr>
          </w:p>
        </w:tc>
      </w:tr>
      <w:tr>
        <w:trPr>
          <w:trHeight w:val="183"/>
        </w:trPr>
        <w:tc>
          <w:tcPr>
            <w:tcW w:w="386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c>
          <w:tcPr>
            <w:tcW w:w="180" w:type="dxa"/>
            <w:vAlign w:val="bottom"/>
          </w:tcPr>
          <w:p>
            <w:pPr>
              <w:spacing w:after="0"/>
              <w:rPr>
                <w:sz w:val="15"/>
                <w:szCs w:val="15"/>
                <w:color w:val="auto"/>
              </w:rPr>
            </w:pPr>
          </w:p>
        </w:tc>
      </w:tr>
      <w:tr>
        <w:trPr>
          <w:trHeight w:val="189"/>
        </w:trPr>
        <w:tc>
          <w:tcPr>
            <w:tcW w:w="3860" w:type="dxa"/>
            <w:vAlign w:val="bottom"/>
            <w:tcBorders>
              <w:bottom w:val="single" w:sz="8" w:color="CFF2FC"/>
            </w:tcBorders>
            <w:gridSpan w:val="2"/>
            <w:shd w:val="clear" w:color="auto" w:fill="CFF2FC"/>
          </w:tcPr>
          <w:p>
            <w:pPr>
              <w:spacing w:after="0"/>
              <w:rPr>
                <w:sz w:val="20"/>
                <w:szCs w:val="20"/>
                <w:color w:val="auto"/>
              </w:rPr>
            </w:pPr>
            <w:r>
              <w:rPr>
                <w:rFonts w:ascii="Arial" w:cs="Arial" w:eastAsia="Arial" w:hAnsi="Arial"/>
                <w:sz w:val="16"/>
                <w:szCs w:val="16"/>
                <w:color w:val="auto"/>
              </w:rPr>
              <w:t>Expenses</w:t>
            </w:r>
          </w:p>
        </w:tc>
        <w:tc>
          <w:tcPr>
            <w:tcW w:w="20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CFF2FC"/>
            </w:tcBorders>
            <w:shd w:val="clear" w:color="auto" w:fill="CFF2FC"/>
          </w:tcPr>
          <w:p>
            <w:pPr>
              <w:spacing w:after="0"/>
              <w:rPr>
                <w:sz w:val="16"/>
                <w:szCs w:val="16"/>
                <w:color w:val="auto"/>
              </w:rPr>
            </w:pPr>
          </w:p>
        </w:tc>
        <w:tc>
          <w:tcPr>
            <w:tcW w:w="22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FF2FC"/>
            </w:tcBorders>
            <w:shd w:val="clear" w:color="auto" w:fill="CFF2FC"/>
          </w:tcPr>
          <w:p>
            <w:pPr>
              <w:spacing w:after="0"/>
              <w:rPr>
                <w:sz w:val="16"/>
                <w:szCs w:val="16"/>
                <w:color w:val="auto"/>
              </w:rPr>
            </w:pPr>
          </w:p>
        </w:tc>
        <w:tc>
          <w:tcPr>
            <w:tcW w:w="100" w:type="dxa"/>
            <w:vAlign w:val="bottom"/>
            <w:tcBorders>
              <w:bottom w:val="single" w:sz="8" w:color="CFF2FC"/>
            </w:tcBorders>
            <w:shd w:val="clear" w:color="auto" w:fill="CFF2FC"/>
          </w:tcPr>
          <w:p>
            <w:pPr>
              <w:spacing w:after="0"/>
              <w:rPr>
                <w:sz w:val="16"/>
                <w:szCs w:val="16"/>
                <w:color w:val="auto"/>
              </w:rPr>
            </w:pPr>
          </w:p>
        </w:tc>
        <w:tc>
          <w:tcPr>
            <w:tcW w:w="200" w:type="dxa"/>
            <w:vAlign w:val="bottom"/>
            <w:tcBorders>
              <w:bottom w:val="single" w:sz="8" w:color="auto"/>
            </w:tcBorders>
            <w:shd w:val="clear" w:color="auto" w:fill="CFF2FC"/>
          </w:tcPr>
          <w:p>
            <w:pPr>
              <w:spacing w:after="0"/>
              <w:rPr>
                <w:sz w:val="16"/>
                <w:szCs w:val="16"/>
                <w:color w:val="auto"/>
              </w:rPr>
            </w:pPr>
          </w:p>
        </w:tc>
        <w:tc>
          <w:tcPr>
            <w:tcW w:w="8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FF2FC"/>
            </w:tcBorders>
            <w:shd w:val="clear" w:color="auto" w:fill="CFF2FC"/>
          </w:tcPr>
          <w:p>
            <w:pPr>
              <w:spacing w:after="0"/>
              <w:rPr>
                <w:sz w:val="16"/>
                <w:szCs w:val="16"/>
                <w:color w:val="auto"/>
              </w:rPr>
            </w:pPr>
          </w:p>
        </w:tc>
      </w:tr>
      <w:tr>
        <w:trPr>
          <w:trHeight w:val="183"/>
        </w:trPr>
        <w:tc>
          <w:tcPr>
            <w:tcW w:w="3860" w:type="dxa"/>
            <w:vAlign w:val="bottom"/>
            <w:gridSpan w:val="2"/>
          </w:tcPr>
          <w:p>
            <w:pPr>
              <w:spacing w:after="0" w:line="183" w:lineRule="exact"/>
              <w:rPr>
                <w:sz w:val="20"/>
                <w:szCs w:val="20"/>
                <w:color w:val="auto"/>
              </w:rPr>
            </w:pPr>
            <w:r>
              <w:rPr>
                <w:rFonts w:ascii="Arial" w:cs="Arial" w:eastAsia="Arial" w:hAnsi="Arial"/>
                <w:sz w:val="16"/>
                <w:szCs w:val="16"/>
                <w:color w:val="auto"/>
              </w:rPr>
              <w:t>Pre-tax income</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w:t>
            </w:r>
          </w:p>
        </w:tc>
        <w:tc>
          <w:tcPr>
            <w:tcW w:w="180" w:type="dxa"/>
            <w:vAlign w:val="bottom"/>
          </w:tcPr>
          <w:p>
            <w:pPr>
              <w:spacing w:after="0"/>
              <w:rPr>
                <w:sz w:val="15"/>
                <w:szCs w:val="15"/>
                <w:color w:val="auto"/>
              </w:rPr>
            </w:pPr>
          </w:p>
        </w:tc>
      </w:tr>
      <w:tr>
        <w:trPr>
          <w:trHeight w:val="223"/>
        </w:trPr>
        <w:tc>
          <w:tcPr>
            <w:tcW w:w="3860" w:type="dxa"/>
            <w:vAlign w:val="bottom"/>
            <w:gridSpan w:val="2"/>
            <w:shd w:val="clear" w:color="auto" w:fill="CFF2FC"/>
          </w:tcPr>
          <w:p>
            <w:pPr>
              <w:spacing w:after="0" w:line="183" w:lineRule="exact"/>
              <w:rPr>
                <w:sz w:val="20"/>
                <w:szCs w:val="20"/>
                <w:color w:val="auto"/>
              </w:rPr>
            </w:pPr>
            <w:r>
              <w:rPr>
                <w:rFonts w:ascii="Arial" w:cs="Arial" w:eastAsia="Arial" w:hAnsi="Arial"/>
                <w:sz w:val="16"/>
                <w:szCs w:val="16"/>
                <w:color w:val="auto"/>
              </w:rPr>
              <w:t>Net income</w:t>
            </w:r>
          </w:p>
        </w:tc>
        <w:tc>
          <w:tcPr>
            <w:tcW w:w="200" w:type="dxa"/>
            <w:vAlign w:val="bottom"/>
            <w:shd w:val="clear" w:color="auto" w:fill="CFF2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22</w:t>
            </w:r>
          </w:p>
        </w:tc>
        <w:tc>
          <w:tcPr>
            <w:tcW w:w="320" w:type="dxa"/>
            <w:vAlign w:val="bottom"/>
            <w:shd w:val="clear" w:color="auto" w:fill="CFF2FC"/>
          </w:tcPr>
          <w:p>
            <w:pPr>
              <w:spacing w:after="0"/>
              <w:rPr>
                <w:sz w:val="19"/>
                <w:szCs w:val="19"/>
                <w:color w:val="auto"/>
              </w:rPr>
            </w:pPr>
          </w:p>
        </w:tc>
        <w:tc>
          <w:tcPr>
            <w:tcW w:w="220" w:type="dxa"/>
            <w:vAlign w:val="bottom"/>
            <w:shd w:val="clear" w:color="auto" w:fill="CFF2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27</w:t>
            </w:r>
          </w:p>
        </w:tc>
        <w:tc>
          <w:tcPr>
            <w:tcW w:w="240" w:type="dxa"/>
            <w:vAlign w:val="bottom"/>
            <w:shd w:val="clear" w:color="auto" w:fill="CFF2FC"/>
          </w:tcPr>
          <w:p>
            <w:pPr>
              <w:spacing w:after="0"/>
              <w:rPr>
                <w:sz w:val="19"/>
                <w:szCs w:val="19"/>
                <w:color w:val="auto"/>
              </w:rPr>
            </w:pPr>
          </w:p>
        </w:tc>
        <w:tc>
          <w:tcPr>
            <w:tcW w:w="300" w:type="dxa"/>
            <w:vAlign w:val="bottom"/>
            <w:gridSpan w:val="2"/>
            <w:shd w:val="clear" w:color="auto" w:fill="CFF2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24</w:t>
            </w:r>
          </w:p>
        </w:tc>
        <w:tc>
          <w:tcPr>
            <w:tcW w:w="180" w:type="dxa"/>
            <w:vAlign w:val="bottom"/>
            <w:shd w:val="clear" w:color="auto" w:fill="CFF2FC"/>
          </w:tcPr>
          <w:p>
            <w:pPr>
              <w:spacing w:after="0"/>
              <w:rPr>
                <w:sz w:val="19"/>
                <w:szCs w:val="19"/>
                <w:color w:val="auto"/>
              </w:rPr>
            </w:pPr>
          </w:p>
        </w:tc>
      </w:tr>
      <w:tr>
        <w:trPr>
          <w:trHeight w:val="169"/>
        </w:trPr>
        <w:tc>
          <w:tcPr>
            <w:tcW w:w="1340" w:type="dxa"/>
            <w:vAlign w:val="bottom"/>
            <w:tcBorders>
              <w:top w:val="single" w:sz="8" w:color="CFF2FC"/>
            </w:tcBorders>
          </w:tcPr>
          <w:p>
            <w:pPr>
              <w:spacing w:after="0"/>
              <w:rPr>
                <w:sz w:val="14"/>
                <w:szCs w:val="14"/>
                <w:color w:val="auto"/>
              </w:rPr>
            </w:pPr>
          </w:p>
        </w:tc>
        <w:tc>
          <w:tcPr>
            <w:tcW w:w="2520" w:type="dxa"/>
            <w:vAlign w:val="bottom"/>
            <w:tcBorders>
              <w:top w:val="single" w:sz="8" w:color="CFF2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CFF2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Borders>
              <w:top w:val="single" w:sz="8" w:color="CFF2FC"/>
            </w:tcBorders>
          </w:tcPr>
          <w:p>
            <w:pPr>
              <w:spacing w:after="0"/>
              <w:rPr>
                <w:sz w:val="14"/>
                <w:szCs w:val="14"/>
                <w:color w:val="auto"/>
              </w:rPr>
            </w:pPr>
          </w:p>
        </w:tc>
        <w:tc>
          <w:tcPr>
            <w:tcW w:w="100" w:type="dxa"/>
            <w:vAlign w:val="bottom"/>
            <w:tcBorders>
              <w:top w:val="single" w:sz="8" w:color="CFF2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CFF2FC"/>
            </w:tcBorders>
          </w:tcPr>
          <w:p>
            <w:pPr>
              <w:spacing w:after="0"/>
              <w:rPr>
                <w:sz w:val="14"/>
                <w:szCs w:val="14"/>
                <w:color w:val="auto"/>
              </w:rPr>
            </w:pPr>
          </w:p>
        </w:tc>
      </w:tr>
      <w:tr>
        <w:trPr>
          <w:trHeight w:val="189"/>
        </w:trPr>
        <w:tc>
          <w:tcPr>
            <w:tcW w:w="3860" w:type="dxa"/>
            <w:vAlign w:val="bottom"/>
            <w:gridSpan w:val="2"/>
            <w:shd w:val="clear" w:color="auto" w:fill="CFF2FC"/>
          </w:tcPr>
          <w:p>
            <w:pPr>
              <w:spacing w:after="0"/>
              <w:rPr>
                <w:sz w:val="20"/>
                <w:szCs w:val="20"/>
                <w:color w:val="auto"/>
              </w:rPr>
            </w:pPr>
            <w:r>
              <w:rPr>
                <w:rFonts w:ascii="Arial" w:cs="Arial" w:eastAsia="Arial" w:hAnsi="Arial"/>
                <w:sz w:val="16"/>
                <w:szCs w:val="16"/>
                <w:color w:val="auto"/>
              </w:rPr>
              <w:t>Segment net interest margin</w:t>
            </w:r>
          </w:p>
        </w:tc>
        <w:tc>
          <w:tcPr>
            <w:tcW w:w="200" w:type="dxa"/>
            <w:vAlign w:val="bottom"/>
            <w:shd w:val="clear" w:color="auto" w:fill="CFF2FC"/>
          </w:tcPr>
          <w:p>
            <w:pPr>
              <w:spacing w:after="0"/>
              <w:rPr>
                <w:sz w:val="16"/>
                <w:szCs w:val="16"/>
                <w:color w:val="auto"/>
              </w:rPr>
            </w:pPr>
          </w:p>
        </w:tc>
        <w:tc>
          <w:tcPr>
            <w:tcW w:w="114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FF2FC"/>
          </w:tcPr>
          <w:p>
            <w:pPr>
              <w:spacing w:after="0"/>
              <w:rPr>
                <w:sz w:val="16"/>
                <w:szCs w:val="16"/>
                <w:color w:val="auto"/>
              </w:rPr>
            </w:pPr>
          </w:p>
        </w:tc>
        <w:tc>
          <w:tcPr>
            <w:tcW w:w="1060" w:type="dxa"/>
            <w:vAlign w:val="bottom"/>
            <w:gridSpan w:val="2"/>
            <w:shd w:val="clear" w:color="auto" w:fill="CFF2FC"/>
          </w:tcPr>
          <w:p>
            <w:pPr>
              <w:jc w:val="right"/>
              <w:ind w:right="80"/>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FF2FC"/>
          </w:tcPr>
          <w:p>
            <w:pPr>
              <w:spacing w:after="0"/>
              <w:rPr>
                <w:sz w:val="16"/>
                <w:szCs w:val="16"/>
                <w:color w:val="auto"/>
              </w:rPr>
            </w:pPr>
          </w:p>
        </w:tc>
        <w:tc>
          <w:tcPr>
            <w:tcW w:w="200" w:type="dxa"/>
            <w:vAlign w:val="bottom"/>
            <w:shd w:val="clear" w:color="auto" w:fill="CFF2FC"/>
          </w:tcPr>
          <w:p>
            <w:pPr>
              <w:spacing w:after="0"/>
              <w:rPr>
                <w:sz w:val="16"/>
                <w:szCs w:val="16"/>
                <w:color w:val="auto"/>
              </w:rPr>
            </w:pPr>
          </w:p>
        </w:tc>
        <w:tc>
          <w:tcPr>
            <w:tcW w:w="100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.61%</w:t>
            </w: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FFELP Loans: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3860" w:type="dxa"/>
            <w:vAlign w:val="bottom"/>
            <w:gridSpan w:val="2"/>
            <w:shd w:val="clear" w:color="auto" w:fill="CFF2FC"/>
          </w:tcPr>
          <w:p>
            <w:pPr>
              <w:ind w:left="260"/>
              <w:spacing w:after="0"/>
              <w:rPr>
                <w:sz w:val="20"/>
                <w:szCs w:val="20"/>
                <w:color w:val="auto"/>
              </w:rPr>
            </w:pPr>
            <w:r>
              <w:rPr>
                <w:rFonts w:ascii="Arial" w:cs="Arial" w:eastAsia="Arial" w:hAnsi="Arial"/>
                <w:sz w:val="16"/>
                <w:szCs w:val="16"/>
                <w:color w:val="auto"/>
              </w:rPr>
              <w:t>FFELP Loan spread</w:t>
            </w:r>
          </w:p>
        </w:tc>
        <w:tc>
          <w:tcPr>
            <w:tcW w:w="200" w:type="dxa"/>
            <w:vAlign w:val="bottom"/>
            <w:shd w:val="clear" w:color="auto" w:fill="CFF2FC"/>
          </w:tcPr>
          <w:p>
            <w:pPr>
              <w:spacing w:after="0"/>
              <w:rPr>
                <w:sz w:val="16"/>
                <w:szCs w:val="16"/>
                <w:color w:val="auto"/>
              </w:rPr>
            </w:pPr>
          </w:p>
        </w:tc>
        <w:tc>
          <w:tcPr>
            <w:tcW w:w="114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FF2FC"/>
          </w:tcPr>
          <w:p>
            <w:pPr>
              <w:spacing w:after="0"/>
              <w:rPr>
                <w:sz w:val="16"/>
                <w:szCs w:val="16"/>
                <w:color w:val="auto"/>
              </w:rPr>
            </w:pPr>
          </w:p>
        </w:tc>
        <w:tc>
          <w:tcPr>
            <w:tcW w:w="1060" w:type="dxa"/>
            <w:vAlign w:val="bottom"/>
            <w:gridSpan w:val="2"/>
            <w:shd w:val="clear" w:color="auto" w:fill="CFF2FC"/>
          </w:tcPr>
          <w:p>
            <w:pPr>
              <w:jc w:val="right"/>
              <w:ind w:right="80"/>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2FC"/>
          </w:tcPr>
          <w:p>
            <w:pPr>
              <w:spacing w:after="0"/>
              <w:rPr>
                <w:sz w:val="16"/>
                <w:szCs w:val="16"/>
                <w:color w:val="auto"/>
              </w:rPr>
            </w:pPr>
          </w:p>
        </w:tc>
        <w:tc>
          <w:tcPr>
            <w:tcW w:w="200" w:type="dxa"/>
            <w:vAlign w:val="bottom"/>
            <w:shd w:val="clear" w:color="auto" w:fill="CFF2FC"/>
          </w:tcPr>
          <w:p>
            <w:pPr>
              <w:spacing w:after="0"/>
              <w:rPr>
                <w:sz w:val="16"/>
                <w:szCs w:val="16"/>
                <w:color w:val="auto"/>
              </w:rPr>
            </w:pPr>
          </w:p>
        </w:tc>
        <w:tc>
          <w:tcPr>
            <w:tcW w:w="100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.67%</w:t>
            </w:r>
          </w:p>
        </w:tc>
      </w:tr>
      <w:tr>
        <w:trPr>
          <w:trHeight w:val="189"/>
        </w:trPr>
        <w:tc>
          <w:tcPr>
            <w:tcW w:w="3860" w:type="dxa"/>
            <w:vAlign w:val="bottom"/>
            <w:gridSpan w:val="2"/>
          </w:tcPr>
          <w:p>
            <w:pPr>
              <w:ind w:left="260"/>
              <w:spacing w:after="0"/>
              <w:rPr>
                <w:sz w:val="20"/>
                <w:szCs w:val="20"/>
                <w:color w:val="auto"/>
              </w:rPr>
            </w:pPr>
            <w:r>
              <w:rPr>
                <w:rFonts w:ascii="Arial" w:cs="Arial" w:eastAsia="Arial" w:hAnsi="Arial"/>
                <w:sz w:val="16"/>
                <w:szCs w:val="16"/>
                <w:color w:val="auto"/>
              </w:rPr>
              <w:t>Provision for loan losses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6"/>
                <w:szCs w:val="16"/>
                <w:color w:val="auto"/>
              </w:rPr>
            </w:pPr>
          </w:p>
        </w:tc>
      </w:tr>
      <w:tr>
        <w:trPr>
          <w:trHeight w:val="189"/>
        </w:trPr>
        <w:tc>
          <w:tcPr>
            <w:tcW w:w="3860" w:type="dxa"/>
            <w:vAlign w:val="bottom"/>
            <w:gridSpan w:val="2"/>
            <w:shd w:val="clear" w:color="auto" w:fill="CFF2FC"/>
          </w:tcPr>
          <w:p>
            <w:pPr>
              <w:ind w:left="260"/>
              <w:spacing w:after="0"/>
              <w:rPr>
                <w:sz w:val="20"/>
                <w:szCs w:val="20"/>
                <w:color w:val="auto"/>
              </w:rPr>
            </w:pPr>
            <w:r>
              <w:rPr>
                <w:rFonts w:ascii="Arial" w:cs="Arial" w:eastAsia="Arial" w:hAnsi="Arial"/>
                <w:sz w:val="16"/>
                <w:szCs w:val="16"/>
                <w:color w:val="auto"/>
              </w:rPr>
              <w:t>Net charge-offs</w:t>
            </w:r>
          </w:p>
        </w:tc>
        <w:tc>
          <w:tcPr>
            <w:tcW w:w="200" w:type="dxa"/>
            <w:vAlign w:val="bottom"/>
            <w:shd w:val="clear" w:color="auto" w:fill="CFF2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FF2FC"/>
          </w:tcPr>
          <w:p>
            <w:pPr>
              <w:spacing w:after="0"/>
              <w:rPr>
                <w:sz w:val="16"/>
                <w:szCs w:val="16"/>
                <w:color w:val="auto"/>
              </w:rPr>
            </w:pPr>
          </w:p>
        </w:tc>
        <w:tc>
          <w:tcPr>
            <w:tcW w:w="220" w:type="dxa"/>
            <w:vAlign w:val="bottom"/>
            <w:shd w:val="clear" w:color="auto" w:fill="CFF2FC"/>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2FC"/>
          </w:tcPr>
          <w:p>
            <w:pPr>
              <w:spacing w:after="0"/>
              <w:rPr>
                <w:sz w:val="16"/>
                <w:szCs w:val="16"/>
                <w:color w:val="auto"/>
              </w:rPr>
            </w:pPr>
          </w:p>
        </w:tc>
        <w:tc>
          <w:tcPr>
            <w:tcW w:w="300" w:type="dxa"/>
            <w:vAlign w:val="bottom"/>
            <w:gridSpan w:val="2"/>
            <w:shd w:val="clear" w:color="auto" w:fill="CFF2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2FC"/>
          </w:tcPr>
          <w:p>
            <w:pPr>
              <w:spacing w:after="0"/>
              <w:rPr>
                <w:sz w:val="16"/>
                <w:szCs w:val="16"/>
                <w:color w:val="auto"/>
              </w:rPr>
            </w:pPr>
          </w:p>
        </w:tc>
      </w:tr>
      <w:tr>
        <w:trPr>
          <w:trHeight w:val="189"/>
        </w:trPr>
        <w:tc>
          <w:tcPr>
            <w:tcW w:w="3860" w:type="dxa"/>
            <w:vAlign w:val="bottom"/>
            <w:gridSpan w:val="2"/>
          </w:tcPr>
          <w:p>
            <w:pPr>
              <w:ind w:left="260"/>
              <w:spacing w:after="0"/>
              <w:rPr>
                <w:sz w:val="20"/>
                <w:szCs w:val="20"/>
                <w:color w:val="auto"/>
              </w:rPr>
            </w:pPr>
            <w:r>
              <w:rPr>
                <w:rFonts w:ascii="Arial" w:cs="Arial" w:eastAsia="Arial" w:hAnsi="Arial"/>
                <w:sz w:val="16"/>
                <w:szCs w:val="16"/>
                <w:color w:val="auto"/>
              </w:rPr>
              <w:t>Net charge-off rate</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189"/>
        </w:trPr>
        <w:tc>
          <w:tcPr>
            <w:tcW w:w="3860" w:type="dxa"/>
            <w:vAlign w:val="bottom"/>
            <w:gridSpan w:val="2"/>
            <w:shd w:val="clear" w:color="auto" w:fill="CFF2FC"/>
          </w:tcPr>
          <w:p>
            <w:pPr>
              <w:ind w:left="260"/>
              <w:spacing w:after="0"/>
              <w:rPr>
                <w:sz w:val="20"/>
                <w:szCs w:val="20"/>
                <w:color w:val="auto"/>
              </w:rPr>
            </w:pPr>
            <w:r>
              <w:rPr>
                <w:rFonts w:ascii="Arial" w:cs="Arial" w:eastAsia="Arial" w:hAnsi="Arial"/>
                <w:sz w:val="16"/>
                <w:szCs w:val="16"/>
                <w:color w:val="auto"/>
              </w:rPr>
              <w:t>Greater than 30-days delinquency rate</w:t>
            </w:r>
          </w:p>
        </w:tc>
        <w:tc>
          <w:tcPr>
            <w:tcW w:w="200" w:type="dxa"/>
            <w:vAlign w:val="bottom"/>
            <w:shd w:val="clear" w:color="auto" w:fill="CFF2FC"/>
          </w:tcPr>
          <w:p>
            <w:pPr>
              <w:spacing w:after="0"/>
              <w:rPr>
                <w:sz w:val="16"/>
                <w:szCs w:val="16"/>
                <w:color w:val="auto"/>
              </w:rPr>
            </w:pPr>
          </w:p>
        </w:tc>
        <w:tc>
          <w:tcPr>
            <w:tcW w:w="114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15.2%</w:t>
            </w:r>
          </w:p>
        </w:tc>
        <w:tc>
          <w:tcPr>
            <w:tcW w:w="220" w:type="dxa"/>
            <w:vAlign w:val="bottom"/>
            <w:shd w:val="clear" w:color="auto" w:fill="CFF2FC"/>
          </w:tcPr>
          <w:p>
            <w:pPr>
              <w:spacing w:after="0"/>
              <w:rPr>
                <w:sz w:val="16"/>
                <w:szCs w:val="16"/>
                <w:color w:val="auto"/>
              </w:rPr>
            </w:pPr>
          </w:p>
        </w:tc>
        <w:tc>
          <w:tcPr>
            <w:tcW w:w="1060" w:type="dxa"/>
            <w:vAlign w:val="bottom"/>
            <w:gridSpan w:val="2"/>
            <w:shd w:val="clear" w:color="auto" w:fill="CFF2FC"/>
          </w:tcPr>
          <w:p>
            <w:pPr>
              <w:jc w:val="right"/>
              <w:ind w:right="80"/>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FF2FC"/>
          </w:tcPr>
          <w:p>
            <w:pPr>
              <w:spacing w:after="0"/>
              <w:rPr>
                <w:sz w:val="16"/>
                <w:szCs w:val="16"/>
                <w:color w:val="auto"/>
              </w:rPr>
            </w:pPr>
          </w:p>
        </w:tc>
        <w:tc>
          <w:tcPr>
            <w:tcW w:w="200" w:type="dxa"/>
            <w:vAlign w:val="bottom"/>
            <w:shd w:val="clear" w:color="auto" w:fill="CFF2FC"/>
          </w:tcPr>
          <w:p>
            <w:pPr>
              <w:spacing w:after="0"/>
              <w:rPr>
                <w:sz w:val="16"/>
                <w:szCs w:val="16"/>
                <w:color w:val="auto"/>
              </w:rPr>
            </w:pPr>
          </w:p>
        </w:tc>
        <w:tc>
          <w:tcPr>
            <w:tcW w:w="100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20.5%</w:t>
            </w:r>
          </w:p>
        </w:tc>
      </w:tr>
      <w:tr>
        <w:trPr>
          <w:trHeight w:val="189"/>
        </w:trPr>
        <w:tc>
          <w:tcPr>
            <w:tcW w:w="3860" w:type="dxa"/>
            <w:vAlign w:val="bottom"/>
            <w:gridSpan w:val="2"/>
          </w:tcPr>
          <w:p>
            <w:pPr>
              <w:ind w:left="260"/>
              <w:spacing w:after="0"/>
              <w:rPr>
                <w:sz w:val="20"/>
                <w:szCs w:val="20"/>
                <w:color w:val="auto"/>
              </w:rPr>
            </w:pPr>
            <w:r>
              <w:rPr>
                <w:rFonts w:ascii="Arial" w:cs="Arial" w:eastAsia="Arial" w:hAnsi="Arial"/>
                <w:sz w:val="16"/>
                <w:szCs w:val="16"/>
                <w:color w:val="auto"/>
              </w:rPr>
              <w:t>Greater than 90-days delinquency rate</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10.2%</w:t>
            </w:r>
          </w:p>
        </w:tc>
      </w:tr>
      <w:tr>
        <w:trPr>
          <w:trHeight w:val="189"/>
        </w:trPr>
        <w:tc>
          <w:tcPr>
            <w:tcW w:w="3860" w:type="dxa"/>
            <w:vAlign w:val="bottom"/>
            <w:gridSpan w:val="2"/>
            <w:shd w:val="clear" w:color="auto" w:fill="CFF2FC"/>
          </w:tcPr>
          <w:p>
            <w:pPr>
              <w:ind w:left="260"/>
              <w:spacing w:after="0"/>
              <w:rPr>
                <w:sz w:val="20"/>
                <w:szCs w:val="20"/>
                <w:color w:val="auto"/>
              </w:rPr>
            </w:pPr>
            <w:r>
              <w:rPr>
                <w:rFonts w:ascii="Arial" w:cs="Arial" w:eastAsia="Arial" w:hAnsi="Arial"/>
                <w:sz w:val="16"/>
                <w:szCs w:val="16"/>
                <w:color w:val="auto"/>
              </w:rPr>
              <w:t>Forbearance rate</w:t>
            </w:r>
          </w:p>
        </w:tc>
        <w:tc>
          <w:tcPr>
            <w:tcW w:w="200" w:type="dxa"/>
            <w:vAlign w:val="bottom"/>
            <w:shd w:val="clear" w:color="auto" w:fill="CFF2FC"/>
          </w:tcPr>
          <w:p>
            <w:pPr>
              <w:spacing w:after="0"/>
              <w:rPr>
                <w:sz w:val="16"/>
                <w:szCs w:val="16"/>
                <w:color w:val="auto"/>
              </w:rPr>
            </w:pPr>
          </w:p>
        </w:tc>
        <w:tc>
          <w:tcPr>
            <w:tcW w:w="114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13.0%</w:t>
            </w:r>
          </w:p>
        </w:tc>
        <w:tc>
          <w:tcPr>
            <w:tcW w:w="220" w:type="dxa"/>
            <w:vAlign w:val="bottom"/>
            <w:shd w:val="clear" w:color="auto" w:fill="CFF2FC"/>
          </w:tcPr>
          <w:p>
            <w:pPr>
              <w:spacing w:after="0"/>
              <w:rPr>
                <w:sz w:val="16"/>
                <w:szCs w:val="16"/>
                <w:color w:val="auto"/>
              </w:rPr>
            </w:pPr>
          </w:p>
        </w:tc>
        <w:tc>
          <w:tcPr>
            <w:tcW w:w="1060" w:type="dxa"/>
            <w:vAlign w:val="bottom"/>
            <w:gridSpan w:val="2"/>
            <w:shd w:val="clear" w:color="auto" w:fill="CFF2FC"/>
          </w:tcPr>
          <w:p>
            <w:pPr>
              <w:jc w:val="right"/>
              <w:ind w:right="80"/>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FF2FC"/>
          </w:tcPr>
          <w:p>
            <w:pPr>
              <w:spacing w:after="0"/>
              <w:rPr>
                <w:sz w:val="16"/>
                <w:szCs w:val="16"/>
                <w:color w:val="auto"/>
              </w:rPr>
            </w:pPr>
          </w:p>
        </w:tc>
        <w:tc>
          <w:tcPr>
            <w:tcW w:w="200" w:type="dxa"/>
            <w:vAlign w:val="bottom"/>
            <w:shd w:val="clear" w:color="auto" w:fill="CFF2FC"/>
          </w:tcPr>
          <w:p>
            <w:pPr>
              <w:spacing w:after="0"/>
              <w:rPr>
                <w:sz w:val="16"/>
                <w:szCs w:val="16"/>
                <w:color w:val="auto"/>
              </w:rPr>
            </w:pPr>
          </w:p>
        </w:tc>
        <w:tc>
          <w:tcPr>
            <w:tcW w:w="100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14.4%</w:t>
            </w:r>
          </w:p>
        </w:tc>
      </w:tr>
      <w:tr>
        <w:trPr>
          <w:trHeight w:val="189"/>
        </w:trPr>
        <w:tc>
          <w:tcPr>
            <w:tcW w:w="3860" w:type="dxa"/>
            <w:vAlign w:val="bottom"/>
            <w:gridSpan w:val="2"/>
          </w:tcPr>
          <w:p>
            <w:pPr>
              <w:ind w:left="260"/>
              <w:spacing w:after="0"/>
              <w:rPr>
                <w:sz w:val="20"/>
                <w:szCs w:val="20"/>
                <w:color w:val="auto"/>
              </w:rPr>
            </w:pPr>
            <w:r>
              <w:rPr>
                <w:rFonts w:ascii="Arial" w:cs="Arial" w:eastAsia="Arial" w:hAnsi="Arial"/>
                <w:sz w:val="16"/>
                <w:szCs w:val="16"/>
                <w:color w:val="auto"/>
              </w:rPr>
              <w:t>Average FFELP Loans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27,898</w:t>
            </w:r>
          </w:p>
        </w:tc>
        <w:tc>
          <w:tcPr>
            <w:tcW w:w="3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28,924</w:t>
            </w:r>
          </w:p>
        </w:tc>
        <w:tc>
          <w:tcPr>
            <w:tcW w:w="2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30,914</w:t>
            </w:r>
          </w:p>
        </w:tc>
        <w:tc>
          <w:tcPr>
            <w:tcW w:w="180" w:type="dxa"/>
            <w:vAlign w:val="bottom"/>
          </w:tcPr>
          <w:p>
            <w:pPr>
              <w:spacing w:after="0"/>
              <w:rPr>
                <w:sz w:val="16"/>
                <w:szCs w:val="16"/>
                <w:color w:val="auto"/>
              </w:rPr>
            </w:pPr>
          </w:p>
        </w:tc>
      </w:tr>
      <w:tr>
        <w:trPr>
          <w:trHeight w:val="189"/>
        </w:trPr>
        <w:tc>
          <w:tcPr>
            <w:tcW w:w="3860" w:type="dxa"/>
            <w:vAlign w:val="bottom"/>
            <w:gridSpan w:val="2"/>
            <w:shd w:val="clear" w:color="auto" w:fill="CFF2FC"/>
          </w:tcPr>
          <w:p>
            <w:pPr>
              <w:ind w:left="260"/>
              <w:spacing w:after="0"/>
              <w:rPr>
                <w:sz w:val="20"/>
                <w:szCs w:val="20"/>
                <w:color w:val="auto"/>
              </w:rPr>
            </w:pPr>
            <w:r>
              <w:rPr>
                <w:rFonts w:ascii="Arial" w:cs="Arial" w:eastAsia="Arial" w:hAnsi="Arial"/>
                <w:sz w:val="16"/>
                <w:szCs w:val="16"/>
                <w:color w:val="auto"/>
              </w:rPr>
              <w:t>Ending FFELP Loans, net</w:t>
            </w:r>
          </w:p>
        </w:tc>
        <w:tc>
          <w:tcPr>
            <w:tcW w:w="200" w:type="dxa"/>
            <w:vAlign w:val="bottom"/>
            <w:shd w:val="clear" w:color="auto" w:fill="CFF2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27,237</w:t>
            </w:r>
          </w:p>
        </w:tc>
        <w:tc>
          <w:tcPr>
            <w:tcW w:w="320" w:type="dxa"/>
            <w:vAlign w:val="bottom"/>
            <w:shd w:val="clear" w:color="auto" w:fill="CFF2FC"/>
          </w:tcPr>
          <w:p>
            <w:pPr>
              <w:spacing w:after="0"/>
              <w:rPr>
                <w:sz w:val="16"/>
                <w:szCs w:val="16"/>
                <w:color w:val="auto"/>
              </w:rPr>
            </w:pPr>
          </w:p>
        </w:tc>
        <w:tc>
          <w:tcPr>
            <w:tcW w:w="220" w:type="dxa"/>
            <w:vAlign w:val="bottom"/>
            <w:shd w:val="clear" w:color="auto" w:fill="CFF2FC"/>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28,141</w:t>
            </w:r>
          </w:p>
        </w:tc>
        <w:tc>
          <w:tcPr>
            <w:tcW w:w="240" w:type="dxa"/>
            <w:vAlign w:val="bottom"/>
            <w:shd w:val="clear" w:color="auto" w:fill="CFF2FC"/>
          </w:tcPr>
          <w:p>
            <w:pPr>
              <w:spacing w:after="0"/>
              <w:rPr>
                <w:sz w:val="16"/>
                <w:szCs w:val="16"/>
                <w:color w:val="auto"/>
              </w:rPr>
            </w:pPr>
          </w:p>
        </w:tc>
        <w:tc>
          <w:tcPr>
            <w:tcW w:w="300" w:type="dxa"/>
            <w:vAlign w:val="bottom"/>
            <w:gridSpan w:val="2"/>
            <w:shd w:val="clear" w:color="auto" w:fill="CFF2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2FC"/>
          </w:tcPr>
          <w:p>
            <w:pPr>
              <w:jc w:val="right"/>
              <w:spacing w:after="0"/>
              <w:rPr>
                <w:sz w:val="20"/>
                <w:szCs w:val="20"/>
                <w:color w:val="auto"/>
              </w:rPr>
            </w:pPr>
            <w:r>
              <w:rPr>
                <w:rFonts w:ascii="Arial" w:cs="Arial" w:eastAsia="Arial" w:hAnsi="Arial"/>
                <w:sz w:val="16"/>
                <w:szCs w:val="16"/>
                <w:color w:val="auto"/>
              </w:rPr>
              <w:t>30,244</w:t>
            </w:r>
          </w:p>
        </w:tc>
        <w:tc>
          <w:tcPr>
            <w:tcW w:w="180" w:type="dxa"/>
            <w:vAlign w:val="bottom"/>
            <w:shd w:val="clear" w:color="auto" w:fill="CFF2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-1971040</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-1971040</wp:posOffset>
            </wp:positionV>
            <wp:extent cx="102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-1971040</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-1722120</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-1722120</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-1722120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-1464945</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-1448435</wp:posOffset>
            </wp:positionV>
            <wp:extent cx="102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-1464945</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-1448435</wp:posOffset>
            </wp:positionV>
            <wp:extent cx="102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-1464945</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-1448435</wp:posOffset>
            </wp:positionV>
            <wp:extent cx="102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DISCUSSION OF RESULTS — 1Q26 vs. 1Q25</w:t>
      </w:r>
    </w:p>
    <w:p>
      <w:pPr>
        <w:spacing w:after="0" w:line="113" w:lineRule="exact"/>
        <w:rPr>
          <w:sz w:val="20"/>
          <w:szCs w:val="20"/>
          <w:color w:val="auto"/>
        </w:rPr>
      </w:pPr>
    </w:p>
    <w:p>
      <w:pPr>
        <w:ind w:left="320" w:hanging="316"/>
        <w:spacing w:after="0"/>
        <w:tabs>
          <w:tab w:leader="none" w:pos="3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was $22 million compared to $24 million.</w:t>
      </w:r>
    </w:p>
    <w:p>
      <w:pPr>
        <w:spacing w:after="0" w:line="125" w:lineRule="exact"/>
        <w:rPr>
          <w:rFonts w:ascii="Times New Roman" w:cs="Times New Roman" w:eastAsia="Times New Roman" w:hAnsi="Times New Roman"/>
          <w:sz w:val="16"/>
          <w:szCs w:val="16"/>
          <w:color w:val="auto"/>
        </w:rPr>
      </w:pPr>
    </w:p>
    <w:p>
      <w:pPr>
        <w:ind w:left="320" w:right="40" w:hanging="316"/>
        <w:spacing w:after="0" w:line="281" w:lineRule="auto"/>
        <w:tabs>
          <w:tab w:leader="none" w:pos="3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Net interest income decreased $3 million primarily due to the paydown of the loan portfolio. Prepayments were $208 million in first-quarter 2026 compared to $256 million in first-quarter 2025.</w:t>
      </w:r>
    </w:p>
    <w:p>
      <w:pPr>
        <w:ind w:left="320" w:right="40" w:hanging="316"/>
        <w:spacing w:after="0" w:line="266" w:lineRule="auto"/>
        <w:tabs>
          <w:tab w:leader="none" w:pos="3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Provision for loan losses increased $1 million. The provision for loan losses of $9 million in the current period was primarily the result of increased charge-offs due to prior disaster forbearance volume, as well as the continued extension of the portfolio. The $8 million of provision for loan losses in the year-ago quarter was primarily the result of an increase in delinquency balances.</w:t>
      </w:r>
    </w:p>
    <w:p>
      <w:pPr>
        <w:spacing w:after="0" w:line="22" w:lineRule="exact"/>
        <w:rPr>
          <w:sz w:val="20"/>
          <w:szCs w:val="20"/>
          <w:color w:val="auto"/>
        </w:rPr>
      </w:pPr>
    </w:p>
    <w:p>
      <w:pPr>
        <w:ind w:left="1240" w:hanging="329"/>
        <w:spacing w:after="0"/>
        <w:tabs>
          <w:tab w:leader="none" w:pos="12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6"/>
          <w:szCs w:val="16"/>
          <w:color w:val="auto"/>
        </w:rPr>
        <w:t>Net charge-offs were $17 million compared to $6 million.</w:t>
      </w:r>
    </w:p>
    <w:p>
      <w:pPr>
        <w:spacing w:after="0" w:line="63" w:lineRule="exact"/>
        <w:rPr>
          <w:rFonts w:ascii="Times New Roman" w:cs="Times New Roman" w:eastAsia="Times New Roman" w:hAnsi="Times New Roman"/>
          <w:sz w:val="18"/>
          <w:szCs w:val="18"/>
          <w:color w:val="auto"/>
        </w:rPr>
      </w:pPr>
    </w:p>
    <w:p>
      <w:pPr>
        <w:ind w:left="1240" w:hanging="329"/>
        <w:spacing w:after="0"/>
        <w:tabs>
          <w:tab w:leader="none" w:pos="12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6"/>
          <w:szCs w:val="16"/>
          <w:color w:val="auto"/>
        </w:rPr>
        <w:t>Delinquencies greater than 90 days were $1.9 billion compared to $2.5 billion.</w:t>
      </w:r>
    </w:p>
    <w:p>
      <w:pPr>
        <w:spacing w:after="0" w:line="63" w:lineRule="exact"/>
        <w:rPr>
          <w:rFonts w:ascii="Times New Roman" w:cs="Times New Roman" w:eastAsia="Times New Roman" w:hAnsi="Times New Roman"/>
          <w:sz w:val="18"/>
          <w:szCs w:val="18"/>
          <w:color w:val="auto"/>
        </w:rPr>
      </w:pPr>
    </w:p>
    <w:p>
      <w:pPr>
        <w:ind w:left="1240" w:hanging="329"/>
        <w:spacing w:after="0"/>
        <w:tabs>
          <w:tab w:leader="none" w:pos="12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6"/>
          <w:szCs w:val="16"/>
          <w:color w:val="auto"/>
        </w:rPr>
        <w:t>Forbearances were $3.4 billion compared to $4.2 billion.</w:t>
      </w:r>
    </w:p>
    <w:p>
      <w:pPr>
        <w:spacing w:after="0" w:line="117" w:lineRule="exact"/>
        <w:rPr>
          <w:rFonts w:ascii="Times New Roman" w:cs="Times New Roman" w:eastAsia="Times New Roman" w:hAnsi="Times New Roman"/>
          <w:sz w:val="18"/>
          <w:szCs w:val="18"/>
          <w:color w:val="auto"/>
        </w:rPr>
      </w:pPr>
    </w:p>
    <w:p>
      <w:pPr>
        <w:ind w:left="320" w:right="140" w:hanging="316"/>
        <w:spacing w:after="0" w:line="256" w:lineRule="auto"/>
        <w:tabs>
          <w:tab w:leader="none" w:pos="3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6"/>
          <w:szCs w:val="16"/>
          <w:color w:val="auto"/>
        </w:rPr>
        <w:t>Expenses were $3 million lower primarily as a result of the outsourcing of the loan servicing of our portfolio to a third party on July 1, 2024. This created a variable cost structure resulting in a reduction in expenses as the portfolio paid down.</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66" w:right="1099" w:bottom="1440" w:gutter="0" w:footer="0" w:header="0"/>
        </w:sectPr>
      </w:pPr>
    </w:p>
    <w:bookmarkStart w:id="7" w:name="page8"/>
    <w:bookmarkEnd w:id="7"/>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0" cy="197485"/>
                    </a:xfrm>
                    <a:prstGeom prst="rect">
                      <a:avLst/>
                    </a:prstGeom>
                    <a:noFill/>
                  </pic:spPr>
                </pic:pic>
              </a:graphicData>
            </a:graphic>
          </wp:anchor>
        </w:drawing>
        <w:t>BUSINESS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617220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0" cy="308610"/>
                    </a:xfrm>
                    <a:prstGeom prst="rect">
                      <a:avLst/>
                    </a:prstGeom>
                    <a:noFill/>
                  </pic:spPr>
                </pic:pic>
              </a:graphicData>
            </a:graphic>
          </wp:anchor>
        </w:drawing>
      </w:r>
    </w:p>
    <w:p>
      <w:pPr>
        <w:spacing w:after="0" w:line="88" w:lineRule="exact"/>
        <w:rPr>
          <w:sz w:val="20"/>
          <w:szCs w:val="20"/>
          <w:color w:val="auto"/>
        </w:rPr>
      </w:pPr>
    </w:p>
    <w:p>
      <w:pPr>
        <w:ind w:left="100" w:right="20"/>
        <w:spacing w:after="0" w:line="286" w:lineRule="auto"/>
        <w:rPr>
          <w:sz w:val="20"/>
          <w:szCs w:val="20"/>
          <w:color w:val="auto"/>
        </w:rPr>
      </w:pPr>
      <w:r>
        <w:rPr>
          <w:rFonts w:ascii="Arial" w:cs="Arial" w:eastAsia="Arial" w:hAnsi="Arial"/>
          <w:sz w:val="16"/>
          <w:szCs w:val="16"/>
          <w:color w:val="auto"/>
        </w:rPr>
        <w:t>In this segment, Navient performed business processing services for non-education related government and healthcare clients prior to the divestiture of our healthcare services business in third-quarter 2024 and our government services business in first-quarter 2025.</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RESULTS AND KEY PERFORMANCE METRICS</w:t>
      </w:r>
    </w:p>
    <w:p>
      <w:pPr>
        <w:spacing w:after="0" w:line="118"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2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1Q26</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4Q25</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1Q25</w:t>
            </w:r>
          </w:p>
        </w:tc>
        <w:tc>
          <w:tcPr>
            <w:tcW w:w="80" w:type="dxa"/>
            <w:vAlign w:val="bottom"/>
          </w:tcPr>
          <w:p>
            <w:pPr>
              <w:spacing w:after="0"/>
              <w:rPr>
                <w:sz w:val="14"/>
                <w:szCs w:val="14"/>
                <w:color w:val="auto"/>
              </w:rPr>
            </w:pPr>
          </w:p>
        </w:tc>
      </w:tr>
      <w:tr>
        <w:trPr>
          <w:trHeight w:val="183"/>
        </w:trPr>
        <w:tc>
          <w:tcPr>
            <w:tcW w:w="40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Revenue from government services</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ind w:left="680"/>
              <w:spacing w:after="0" w:line="183" w:lineRule="exact"/>
              <w:rPr>
                <w:sz w:val="20"/>
                <w:szCs w:val="20"/>
                <w:color w:val="auto"/>
              </w:rPr>
            </w:pPr>
            <w:r>
              <w:rPr>
                <w:rFonts w:ascii="Arial" w:cs="Arial" w:eastAsia="Arial" w:hAnsi="Arial"/>
                <w:sz w:val="16"/>
                <w:szCs w:val="16"/>
                <w:color w:val="auto"/>
                <w:w w:val="99"/>
              </w:rPr>
              <w:t>—</w:t>
            </w:r>
          </w:p>
        </w:tc>
        <w:tc>
          <w:tcPr>
            <w:tcW w:w="4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ind w:left="680"/>
              <w:spacing w:after="0" w:line="183" w:lineRule="exact"/>
              <w:rPr>
                <w:sz w:val="20"/>
                <w:szCs w:val="20"/>
                <w:color w:val="auto"/>
              </w:rPr>
            </w:pPr>
            <w:r>
              <w:rPr>
                <w:rFonts w:ascii="Arial" w:cs="Arial" w:eastAsia="Arial" w:hAnsi="Arial"/>
                <w:sz w:val="16"/>
                <w:szCs w:val="16"/>
                <w:color w:val="auto"/>
                <w:w w:val="87"/>
              </w:rPr>
              <w:t>—</w:t>
            </w:r>
          </w:p>
        </w:tc>
        <w:tc>
          <w:tcPr>
            <w:tcW w:w="4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w:t>
            </w:r>
          </w:p>
        </w:tc>
        <w:tc>
          <w:tcPr>
            <w:tcW w:w="80" w:type="dxa"/>
            <w:vAlign w:val="bottom"/>
            <w:shd w:val="clear" w:color="auto" w:fill="CFF0FC"/>
          </w:tcPr>
          <w:p>
            <w:pPr>
              <w:spacing w:after="0"/>
              <w:rPr>
                <w:sz w:val="15"/>
                <w:szCs w:val="15"/>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Revenue from healthcare services</w:t>
            </w:r>
          </w:p>
        </w:tc>
        <w:tc>
          <w:tcPr>
            <w:tcW w:w="220" w:type="dxa"/>
            <w:vAlign w:val="bottom"/>
          </w:tcPr>
          <w:p>
            <w:pPr>
              <w:spacing w:after="0"/>
              <w:rPr>
                <w:sz w:val="16"/>
                <w:szCs w:val="16"/>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3"/>
        </w:trPr>
        <w:tc>
          <w:tcPr>
            <w:tcW w:w="40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fee revenue</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ind w:left="680"/>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ind w:left="680"/>
              <w:spacing w:after="0" w:line="183" w:lineRule="exact"/>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w:t>
            </w:r>
          </w:p>
        </w:tc>
        <w:tc>
          <w:tcPr>
            <w:tcW w:w="80" w:type="dxa"/>
            <w:vAlign w:val="bottom"/>
            <w:shd w:val="clear" w:color="auto" w:fill="CFF0FC"/>
          </w:tcPr>
          <w:p>
            <w:pPr>
              <w:spacing w:after="0"/>
              <w:rPr>
                <w:sz w:val="15"/>
                <w:szCs w:val="15"/>
                <w:color w:val="auto"/>
              </w:rPr>
            </w:pPr>
          </w:p>
        </w:tc>
      </w:tr>
      <w:tr>
        <w:trPr>
          <w:trHeight w:val="183"/>
        </w:trPr>
        <w:tc>
          <w:tcPr>
            <w:tcW w:w="4040" w:type="dxa"/>
            <w:vAlign w:val="bottom"/>
            <w:gridSpan w:val="2"/>
          </w:tcPr>
          <w:p>
            <w:pPr>
              <w:spacing w:after="0" w:line="183" w:lineRule="exact"/>
              <w:rPr>
                <w:sz w:val="20"/>
                <w:szCs w:val="20"/>
                <w:color w:val="auto"/>
              </w:rPr>
            </w:pPr>
            <w:r>
              <w:rPr>
                <w:rFonts w:ascii="Arial" w:cs="Arial" w:eastAsia="Arial" w:hAnsi="Arial"/>
                <w:sz w:val="16"/>
                <w:szCs w:val="16"/>
                <w:color w:val="auto"/>
              </w:rPr>
              <w:t>Expenses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80"/>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80"/>
              <w:spacing w:after="0" w:line="183" w:lineRule="exact"/>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w:t>
            </w:r>
          </w:p>
        </w:tc>
        <w:tc>
          <w:tcPr>
            <w:tcW w:w="80" w:type="dxa"/>
            <w:vAlign w:val="bottom"/>
          </w:tcPr>
          <w:p>
            <w:pPr>
              <w:spacing w:after="0"/>
              <w:rPr>
                <w:sz w:val="15"/>
                <w:szCs w:val="15"/>
                <w:color w:val="auto"/>
              </w:rPr>
            </w:pPr>
          </w:p>
        </w:tc>
      </w:tr>
      <w:tr>
        <w:trPr>
          <w:trHeight w:val="183"/>
        </w:trPr>
        <w:tc>
          <w:tcPr>
            <w:tcW w:w="404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Pre-tax income</w:t>
            </w: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ind w:left="680"/>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ind w:left="680"/>
              <w:spacing w:after="0" w:line="183" w:lineRule="exact"/>
              <w:rPr>
                <w:sz w:val="20"/>
                <w:szCs w:val="20"/>
                <w:color w:val="auto"/>
              </w:rPr>
            </w:pPr>
            <w:r>
              <w:rPr>
                <w:rFonts w:ascii="Arial" w:cs="Arial" w:eastAsia="Arial" w:hAnsi="Arial"/>
                <w:sz w:val="16"/>
                <w:szCs w:val="16"/>
                <w:color w:val="auto"/>
                <w:w w:val="87"/>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4040" w:type="dxa"/>
            <w:vAlign w:val="bottom"/>
            <w:gridSpan w:val="2"/>
          </w:tcPr>
          <w:p>
            <w:pPr>
              <w:spacing w:after="0" w:line="183" w:lineRule="exact"/>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Pr>
          <w:p>
            <w:pPr>
              <w:ind w:left="680"/>
              <w:spacing w:after="0" w:line="183" w:lineRule="exact"/>
              <w:rPr>
                <w:sz w:val="20"/>
                <w:szCs w:val="20"/>
                <w:color w:val="auto"/>
              </w:rPr>
            </w:pPr>
            <w:r>
              <w:rPr>
                <w:rFonts w:ascii="Arial" w:cs="Arial" w:eastAsia="Arial" w:hAnsi="Arial"/>
                <w:sz w:val="16"/>
                <w:szCs w:val="16"/>
                <w:color w:val="auto"/>
                <w:w w:val="99"/>
              </w:rPr>
              <w:t>—</w:t>
            </w:r>
          </w:p>
        </w:tc>
        <w:tc>
          <w:tcPr>
            <w:tcW w:w="44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ind w:left="680"/>
              <w:spacing w:after="0" w:line="183" w:lineRule="exact"/>
              <w:rPr>
                <w:sz w:val="20"/>
                <w:szCs w:val="20"/>
                <w:color w:val="auto"/>
              </w:rPr>
            </w:pPr>
            <w:r>
              <w:rPr>
                <w:rFonts w:ascii="Arial" w:cs="Arial" w:eastAsia="Arial" w:hAnsi="Arial"/>
                <w:sz w:val="16"/>
                <w:szCs w:val="16"/>
                <w:color w:val="auto"/>
                <w:w w:val="87"/>
              </w:rPr>
              <w:t>—</w:t>
            </w:r>
          </w:p>
        </w:tc>
        <w:tc>
          <w:tcPr>
            <w:tcW w:w="46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-423545</wp:posOffset>
            </wp:positionV>
            <wp:extent cx="685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-423545</wp:posOffset>
            </wp:positionV>
            <wp:extent cx="685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5501640</wp:posOffset>
            </wp:positionH>
            <wp:positionV relativeFrom="paragraph">
              <wp:posOffset>-423545</wp:posOffset>
            </wp:positionV>
            <wp:extent cx="6858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-153670</wp:posOffset>
            </wp:positionV>
            <wp:extent cx="43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4691380</wp:posOffset>
            </wp:positionH>
            <wp:positionV relativeFrom="paragraph">
              <wp:posOffset>-153670</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5514340</wp:posOffset>
            </wp:positionH>
            <wp:positionV relativeFrom="paragraph">
              <wp:posOffset>-153670</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DISCUSSION OF RESULTS — 1Q26 vs. 1Q25</w:t>
      </w:r>
    </w:p>
    <w:p>
      <w:pPr>
        <w:spacing w:after="0" w:line="127" w:lineRule="exact"/>
        <w:rPr>
          <w:sz w:val="20"/>
          <w:szCs w:val="20"/>
          <w:color w:val="auto"/>
        </w:rPr>
      </w:pPr>
    </w:p>
    <w:p>
      <w:pPr>
        <w:ind w:left="320" w:right="300" w:hanging="316"/>
        <w:spacing w:after="0" w:line="250" w:lineRule="auto"/>
        <w:tabs>
          <w:tab w:leader="none" w:pos="3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6"/>
          <w:szCs w:val="16"/>
          <w:color w:val="auto"/>
        </w:rPr>
        <w:t>With the sale of our government services business in February 2025, Navient no longer provides business processing segment services. Navient provided certain transition services in connection with the sale of our business processing businesses. As of October 2025 we had no further obligations to provide these transition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61722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Definitions for capitalized terms in this release can be found in Navient’s Annual Report on Form 10-K for the year ended December 31, 2025 (filed with the SEC on February 26, 2026).</w:t>
      </w:r>
    </w:p>
    <w:p>
      <w:pPr>
        <w:spacing w:after="0" w:line="4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Navient will hold a live audio webcast today, April 29, 2026, at 8 a.m. ET, hosted by David Yowan, president and CEO, and Steve Hauber, CFO.</w:t>
      </w:r>
    </w:p>
    <w:p>
      <w:pPr>
        <w:spacing w:after="0" w:line="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webcast will be available on Navient.com/investors. Supplemental financial information and presentation slides used during the call will be available no later than the start time. A replay of the webcast will be available shortly after the event’s conclusion.</w:t>
      </w:r>
    </w:p>
    <w:p>
      <w:pPr>
        <w:spacing w:after="0" w:line="48" w:lineRule="exact"/>
        <w:rPr>
          <w:sz w:val="20"/>
          <w:szCs w:val="20"/>
          <w:color w:val="auto"/>
        </w:rPr>
      </w:pPr>
    </w:p>
    <w:p>
      <w:pPr>
        <w:spacing w:after="0" w:line="247" w:lineRule="auto"/>
        <w:rPr>
          <w:sz w:val="20"/>
          <w:szCs w:val="20"/>
          <w:color w:val="auto"/>
        </w:rPr>
      </w:pPr>
      <w:r>
        <w:rPr>
          <w:rFonts w:ascii="Arial" w:cs="Arial" w:eastAsia="Arial" w:hAnsi="Arial"/>
          <w:sz w:val="16"/>
          <w:szCs w:val="16"/>
          <w:b w:val="1"/>
          <w:bCs w:val="1"/>
          <w:color w:val="auto"/>
        </w:rPr>
        <w:t xml:space="preserve">This news release contains “forward-looking statements,” within the meaning of the federal securities law, about our business and prospectus and other information that is based on management’s current expectations as of the date of this release. </w:t>
      </w:r>
      <w:r>
        <w:rPr>
          <w:rFonts w:ascii="Arial" w:cs="Arial" w:eastAsia="Arial" w:hAnsi="Arial"/>
          <w:sz w:val="16"/>
          <w:szCs w:val="16"/>
          <w:color w:val="auto"/>
        </w:rPr>
        <w:t>Statements that are not historical facts, including statements about our beliefs, opinions, or expectations and statements that</w:t>
      </w:r>
      <w:r>
        <w:rPr>
          <w:rFonts w:ascii="Arial" w:cs="Arial" w:eastAsia="Arial" w:hAnsi="Arial"/>
          <w:sz w:val="16"/>
          <w:szCs w:val="16"/>
          <w:b w:val="1"/>
          <w:bCs w:val="1"/>
          <w:color w:val="auto"/>
        </w:rPr>
        <w:t xml:space="preserve"> </w:t>
      </w:r>
      <w:r>
        <w:rPr>
          <w:rFonts w:ascii="Arial" w:cs="Arial" w:eastAsia="Arial" w:hAnsi="Arial"/>
          <w:sz w:val="16"/>
          <w:szCs w:val="16"/>
          <w:color w:val="auto"/>
        </w:rPr>
        <w:t>assume or are dependent upon future events, are forward-looking statements and often contain words such as “expect,” “assume,” “anticipate,” “intend,” “plan,” “believe,” “seek,” “see,” “will,” “would,” “may,” “could,” “should,” “goals,” or “target.” Such statements are based on management’s expectations as of the date of this release and involve many risks and uncertainties that could cause our actual results to differ materially from those expressed or implied in our forward-looking statements. For Navient, these factors include, among other things: general economic conditions, including the potential impact of artificial intelligence, inflation and interest rates on Navient and its clients and customers and on the creditworthiness of third parties; increased defaults on education loans held by us; unanticipated repayment trends on education loans including prepayments or deferrals resulting from new interpretations or the timing of the execution and implementation of current laws, rules or regulations or future laws, executive orders or other policy initiatives that operate to encourage or require consolidation, abolish existing or create additional income-based repayment or debt forgiveness programs or establish other policies and programs which may increase or decrease the prepayment rates on education loans and accelerate or slow down the repayment of the bonds in our securitization trusts; a reduction in our credit ratings; changes to applicable laws, rules, regulations and government policies, as well as changing regulatory and governmental oversight; changes in the general interest rate environment, including the availability of any relevant money-market index rate or the relationship between the relevant money-market index rate and the rate at which our assets are priced; the interest rate characteristics of our assets do not always match those of our funding arrangements; adverse market conditions or an inability to effectively manage our liquidity risk or access liquidity could negatively impact us; the cost and availability of funding in the capital markets; our ability to earn Floor Income and our ability to enter into hedges relative to that Floor Income are dependent on the future interest rate environment and therefore are variable; our use of derivatives exposes us to credit and market risk; our ability to continually and effectively align our cost structure with our business operations; a failure or breach of our operating systems, infrastructure or information technology systems; failure by any third party providing us material services or products or a breach or violation of law by one of these third parties; acquisitions, new products, strategic initiatives and investments or divestitures that we pursue; shareholder activism; reputational risk and social factors; and the other factors that are described in the “Risk Factors” section of Navient’s Annual Report on Form 10-K for the year ended December 31, 2025, and in our other reports filed with the Securities and Exchange Commission. 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release are qualified by these cautionary statements and are made only as of the date of this release. The company does not undertake any obligation to update or revise these forward-looking statements except as required by law.</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39" w:right="109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About Navient</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Navient (Nasdaq: NAVI) creates long-term value for customers and investors with responsible lending, flexible refinancing, trusted servicing oversight, and decades of education finance and portfolio management expertise. Through our Earnest business, we help customers confidently achieve financial success through digital financial services. Our employees thrive in a culture of belonging, where they are supported and proud to deliver meaningful outcomes. Learn more on Navient.com.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38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Media:</w:t>
      </w:r>
      <w:r>
        <w:rPr>
          <w:sz w:val="20"/>
          <w:szCs w:val="20"/>
          <w:color w:val="auto"/>
        </w:rPr>
        <w:tab/>
      </w:r>
      <w:r>
        <w:rPr>
          <w:rFonts w:ascii="Arial" w:cs="Arial" w:eastAsia="Arial" w:hAnsi="Arial"/>
          <w:sz w:val="16"/>
          <w:szCs w:val="16"/>
          <w:color w:val="auto"/>
        </w:rPr>
        <w:t>Cate Fitzgerald, 703-831-6347, catherine.fitzgerald@navient.com</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Investors:</w:t>
        <w:tab/>
        <w:t>Jen Earyes, 571-592-8582, jen.earyes@navient.com</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703580</wp:posOffset>
            </wp:positionV>
            <wp:extent cx="178308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13" w:right="109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868680</wp:posOffset>
            </wp:positionV>
            <wp:extent cx="617220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2200" cy="188595"/>
                    </a:xfrm>
                    <a:prstGeom prst="rect">
                      <a:avLst/>
                    </a:prstGeom>
                    <a:noFill/>
                  </pic:spPr>
                </pic:pic>
              </a:graphicData>
            </a:graphic>
          </wp:anchor>
        </w:drawing>
        <w:t>SELECTED HISTORICAL FINANCIAL INFORMATION AND RATIOS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vMerge w:val="restart"/>
          </w:tcPr>
          <w:p>
            <w:pPr>
              <w:spacing w:after="0"/>
              <w:rPr>
                <w:sz w:val="20"/>
                <w:szCs w:val="20"/>
                <w:color w:val="auto"/>
              </w:rPr>
            </w:pPr>
            <w:r>
              <w:rPr>
                <w:rFonts w:ascii="Arial" w:cs="Arial" w:eastAsia="Arial" w:hAnsi="Arial"/>
                <w:sz w:val="13"/>
                <w:szCs w:val="13"/>
                <w:b w:val="1"/>
                <w:bCs w:val="1"/>
                <w:color w:val="auto"/>
                <w:w w:val="96"/>
              </w:rPr>
              <w:t>(In millions, except per share data)</w:t>
            </w:r>
          </w:p>
        </w:tc>
        <w:tc>
          <w:tcPr>
            <w:tcW w:w="24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124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6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640" w:type="dxa"/>
            <w:vAlign w:val="bottom"/>
            <w:gridSpan w:val="2"/>
            <w:shd w:val="clear" w:color="auto" w:fill="D9D9D9"/>
          </w:tcPr>
          <w:p>
            <w:pPr>
              <w:jc w:val="right"/>
              <w:ind w:right="400"/>
              <w:spacing w:after="0"/>
              <w:rPr>
                <w:sz w:val="20"/>
                <w:szCs w:val="20"/>
                <w:color w:val="auto"/>
              </w:rPr>
            </w:pPr>
            <w:r>
              <w:rPr>
                <w:rFonts w:ascii="Arial" w:cs="Arial" w:eastAsia="Arial" w:hAnsi="Arial"/>
                <w:sz w:val="13"/>
                <w:szCs w:val="13"/>
                <w:b w:val="1"/>
                <w:bCs w:val="1"/>
                <w:color w:val="auto"/>
                <w:w w:val="99"/>
              </w:rPr>
              <w:t>QUARTERS ENDED</w:t>
            </w:r>
          </w:p>
        </w:tc>
        <w:tc>
          <w:tcPr>
            <w:tcW w:w="18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80" w:type="dxa"/>
            <w:vAlign w:val="bottom"/>
            <w:tcBorders>
              <w:bottom w:val="single" w:sz="8" w:color="auto"/>
            </w:tcBorders>
            <w:vMerge w:val="continue"/>
          </w:tcPr>
          <w:p>
            <w:pPr>
              <w:spacing w:after="0"/>
              <w:rPr>
                <w:sz w:val="11"/>
                <w:szCs w:val="11"/>
                <w:color w:val="auto"/>
              </w:rPr>
            </w:pPr>
          </w:p>
        </w:tc>
        <w:tc>
          <w:tcPr>
            <w:tcW w:w="2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184"/>
              <w:spacing w:after="0" w:line="135" w:lineRule="exact"/>
              <w:rPr>
                <w:sz w:val="20"/>
                <w:szCs w:val="20"/>
                <w:color w:val="auto"/>
              </w:rPr>
            </w:pPr>
            <w:r>
              <w:rPr>
                <w:rFonts w:ascii="Arial" w:cs="Arial" w:eastAsia="Arial" w:hAnsi="Arial"/>
                <w:sz w:val="13"/>
                <w:szCs w:val="13"/>
                <w:b w:val="1"/>
                <w:bCs w:val="1"/>
                <w:color w:val="auto"/>
              </w:rPr>
              <w:t>March 31, 2026</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5"/>
              <w:spacing w:after="0" w:line="135" w:lineRule="exact"/>
              <w:rPr>
                <w:sz w:val="20"/>
                <w:szCs w:val="20"/>
                <w:color w:val="auto"/>
              </w:rPr>
            </w:pPr>
            <w:r>
              <w:rPr>
                <w:rFonts w:ascii="Arial" w:cs="Arial" w:eastAsia="Arial" w:hAnsi="Arial"/>
                <w:sz w:val="13"/>
                <w:szCs w:val="13"/>
                <w:b w:val="1"/>
                <w:bCs w:val="1"/>
                <w:color w:val="auto"/>
                <w:w w:val="99"/>
              </w:rPr>
              <w:t>December 31, 2025</w:t>
            </w: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204"/>
              <w:spacing w:after="0" w:line="135" w:lineRule="exact"/>
              <w:rPr>
                <w:sz w:val="20"/>
                <w:szCs w:val="20"/>
                <w:color w:val="auto"/>
              </w:rPr>
            </w:pPr>
            <w:r>
              <w:rPr>
                <w:rFonts w:ascii="Arial" w:cs="Arial" w:eastAsia="Arial" w:hAnsi="Arial"/>
                <w:sz w:val="13"/>
                <w:szCs w:val="13"/>
                <w:b w:val="1"/>
                <w:bCs w:val="1"/>
                <w:color w:val="auto"/>
              </w:rPr>
              <w:t>March 31, 2025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48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GAAP Basis</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Arial" w:cs="Arial" w:eastAsia="Arial" w:hAnsi="Arial"/>
                <w:sz w:val="15"/>
                <w:szCs w:val="15"/>
                <w:color w:val="auto"/>
              </w:rPr>
              <w:t>Net income (loss)</w:t>
            </w:r>
          </w:p>
        </w:tc>
        <w:tc>
          <w:tcPr>
            <w:tcW w:w="36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17</w:t>
            </w:r>
          </w:p>
        </w:tc>
        <w:tc>
          <w:tcPr>
            <w:tcW w:w="20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(5)</w:t>
            </w: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Diluted earnings (loss) per common share</w:t>
            </w:r>
          </w:p>
        </w:tc>
        <w:tc>
          <w:tcPr>
            <w:tcW w:w="360" w:type="dxa"/>
            <w:vAlign w:val="bottom"/>
            <w:gridSpan w:val="2"/>
            <w:shd w:val="clear" w:color="auto" w:fill="CFF0FC"/>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.17</w:t>
            </w:r>
          </w:p>
        </w:tc>
        <w:tc>
          <w:tcPr>
            <w:tcW w:w="20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w:t>
            </w:r>
          </w:p>
        </w:tc>
        <w:tc>
          <w:tcPr>
            <w:tcW w:w="1640" w:type="dxa"/>
            <w:vAlign w:val="bottom"/>
            <w:gridSpan w:val="2"/>
            <w:shd w:val="clear" w:color="auto" w:fill="CFF0FC"/>
          </w:tcPr>
          <w:p>
            <w:pPr>
              <w:jc w:val="right"/>
              <w:ind w:right="260"/>
              <w:spacing w:after="0" w:line="162" w:lineRule="exact"/>
              <w:rPr>
                <w:sz w:val="20"/>
                <w:szCs w:val="20"/>
                <w:color w:val="auto"/>
              </w:rPr>
            </w:pPr>
            <w:r>
              <w:rPr>
                <w:rFonts w:ascii="Arial" w:cs="Arial" w:eastAsia="Arial" w:hAnsi="Arial"/>
                <w:sz w:val="15"/>
                <w:szCs w:val="15"/>
                <w:color w:val="auto"/>
              </w:rPr>
              <w:t>(.06)</w:t>
            </w:r>
          </w:p>
        </w:tc>
        <w:tc>
          <w:tcPr>
            <w:tcW w:w="180" w:type="dxa"/>
            <w:vAlign w:val="bottom"/>
            <w:shd w:val="clear" w:color="auto" w:fill="CFF0FC"/>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140"/>
              <w:spacing w:after="0" w:line="162"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Arial" w:cs="Arial" w:eastAsia="Arial" w:hAnsi="Arial"/>
                <w:sz w:val="15"/>
                <w:szCs w:val="15"/>
                <w:color w:val="auto"/>
              </w:rPr>
              <w:t>Weighted average shares used to compute diluted earnings per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480" w:type="dxa"/>
            <w:vAlign w:val="bottom"/>
            <w:gridSpan w:val="2"/>
          </w:tcPr>
          <w:p>
            <w:pPr>
              <w:ind w:left="140"/>
              <w:spacing w:after="0"/>
              <w:rPr>
                <w:sz w:val="20"/>
                <w:szCs w:val="20"/>
                <w:color w:val="auto"/>
              </w:rPr>
            </w:pPr>
            <w:r>
              <w:rPr>
                <w:rFonts w:ascii="Arial" w:cs="Arial" w:eastAsia="Arial" w:hAnsi="Arial"/>
                <w:sz w:val="15"/>
                <w:szCs w:val="15"/>
                <w:color w:val="auto"/>
              </w:rPr>
              <w:t>share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97</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Return on assets</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.15%</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line="162" w:lineRule="exact"/>
              <w:rPr>
                <w:sz w:val="20"/>
                <w:szCs w:val="20"/>
                <w:color w:val="auto"/>
              </w:rPr>
            </w:pPr>
            <w:r>
              <w:rPr>
                <w:rFonts w:ascii="Arial" w:cs="Arial" w:eastAsia="Arial" w:hAnsi="Arial"/>
                <w:sz w:val="15"/>
                <w:szCs w:val="15"/>
                <w:color w:val="auto"/>
              </w:rPr>
              <w:t>(.05)%</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97"/>
        </w:trPr>
        <w:tc>
          <w:tcPr>
            <w:tcW w:w="4480" w:type="dxa"/>
            <w:vAlign w:val="bottom"/>
            <w:gridSpan w:val="2"/>
          </w:tcPr>
          <w:p>
            <w:pPr>
              <w:spacing w:after="0"/>
              <w:rPr>
                <w:sz w:val="20"/>
                <w:szCs w:val="20"/>
                <w:color w:val="auto"/>
              </w:rPr>
            </w:pPr>
            <w:r>
              <w:rPr>
                <w:rFonts w:ascii="Arial" w:cs="Arial" w:eastAsia="Arial" w:hAnsi="Arial"/>
                <w:sz w:val="15"/>
                <w:szCs w:val="15"/>
                <w:b w:val="1"/>
                <w:bCs w:val="1"/>
                <w:color w:val="auto"/>
              </w:rPr>
              <w:t>Core Earnings Basis</w:t>
            </w:r>
            <w:r>
              <w:rPr>
                <w:rFonts w:ascii="Arial" w:cs="Arial" w:eastAsia="Arial" w:hAnsi="Arial"/>
                <w:sz w:val="21"/>
                <w:szCs w:val="21"/>
                <w:b w:val="1"/>
                <w:bCs w:val="1"/>
                <w:color w:val="auto"/>
                <w:vertAlign w:val="superscript"/>
              </w:rPr>
              <w:t>(1)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Arial" w:cs="Arial" w:eastAsia="Arial" w:hAnsi="Arial"/>
                <w:sz w:val="13"/>
                <w:szCs w:val="13"/>
                <w:color w:val="auto"/>
              </w:rPr>
              <w:t>Net income</w:t>
            </w:r>
            <w:r>
              <w:rPr>
                <w:rFonts w:ascii="Arial" w:cs="Arial" w:eastAsia="Arial" w:hAnsi="Arial"/>
                <w:sz w:val="18"/>
                <w:szCs w:val="18"/>
                <w:color w:val="auto"/>
                <w:vertAlign w:val="superscript"/>
              </w:rPr>
              <w:t>(1)</w:t>
            </w:r>
          </w:p>
        </w:tc>
        <w:tc>
          <w:tcPr>
            <w:tcW w:w="36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19</w:t>
            </w:r>
          </w:p>
        </w:tc>
        <w:tc>
          <w:tcPr>
            <w:tcW w:w="20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320" w:type="dxa"/>
            <w:vAlign w:val="bottom"/>
          </w:tcPr>
          <w:p>
            <w:pPr>
              <w:spacing w:after="0"/>
              <w:rPr>
                <w:sz w:val="14"/>
                <w:szCs w:val="14"/>
                <w:color w:val="auto"/>
              </w:rPr>
            </w:pP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62" w:lineRule="exact"/>
              <w:rPr>
                <w:sz w:val="20"/>
                <w:szCs w:val="20"/>
                <w:color w:val="auto"/>
              </w:rPr>
            </w:pPr>
            <w:r>
              <w:rPr>
                <w:rFonts w:ascii="Arial" w:cs="Arial" w:eastAsia="Arial" w:hAnsi="Arial"/>
                <w:sz w:val="15"/>
                <w:szCs w:val="15"/>
                <w:color w:val="auto"/>
              </w:rPr>
              <w:t>26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line="172" w:lineRule="exact"/>
              <w:rPr>
                <w:sz w:val="20"/>
                <w:szCs w:val="20"/>
                <w:color w:val="auto"/>
              </w:rPr>
            </w:pPr>
            <w:r>
              <w:rPr>
                <w:rFonts w:ascii="Arial" w:cs="Arial" w:eastAsia="Arial" w:hAnsi="Arial"/>
                <w:sz w:val="14"/>
                <w:szCs w:val="14"/>
                <w:color w:val="auto"/>
              </w:rPr>
              <w:t>Diluted earnings per common share</w:t>
            </w:r>
            <w:r>
              <w:rPr>
                <w:rFonts w:ascii="Arial" w:cs="Arial" w:eastAsia="Arial" w:hAnsi="Arial"/>
                <w:sz w:val="19"/>
                <w:szCs w:val="19"/>
                <w:color w:val="auto"/>
                <w:vertAlign w:val="superscript"/>
              </w:rPr>
              <w:t>(1)</w:t>
            </w:r>
          </w:p>
        </w:tc>
        <w:tc>
          <w:tcPr>
            <w:tcW w:w="36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.20</w:t>
            </w: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.02</w:t>
            </w:r>
          </w:p>
        </w:tc>
        <w:tc>
          <w:tcPr>
            <w:tcW w:w="320" w:type="dxa"/>
            <w:vAlign w:val="bottom"/>
          </w:tcPr>
          <w:p>
            <w:pPr>
              <w:spacing w:after="0"/>
              <w:rPr>
                <w:sz w:val="14"/>
                <w:szCs w:val="14"/>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Arial" w:cs="Arial" w:eastAsia="Arial" w:hAnsi="Arial"/>
                <w:sz w:val="15"/>
                <w:szCs w:val="15"/>
                <w:color w:val="auto"/>
              </w:rPr>
              <w:t>Weighted average shares used to compute diluted earnings per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480" w:type="dxa"/>
            <w:vAlign w:val="bottom"/>
            <w:gridSpan w:val="2"/>
          </w:tcPr>
          <w:p>
            <w:pPr>
              <w:ind w:left="140"/>
              <w:spacing w:after="0"/>
              <w:rPr>
                <w:sz w:val="20"/>
                <w:szCs w:val="20"/>
                <w:color w:val="auto"/>
              </w:rPr>
            </w:pPr>
            <w:r>
              <w:rPr>
                <w:rFonts w:ascii="Arial" w:cs="Arial" w:eastAsia="Arial" w:hAnsi="Arial"/>
                <w:sz w:val="15"/>
                <w:szCs w:val="15"/>
                <w:color w:val="auto"/>
              </w:rPr>
              <w:t>share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98</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Net interest margin, Consumer Lending segment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2.48%</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80"/>
              <w:spacing w:after="0" w:line="162" w:lineRule="exact"/>
              <w:rPr>
                <w:sz w:val="20"/>
                <w:szCs w:val="20"/>
                <w:color w:val="auto"/>
              </w:rPr>
            </w:pPr>
            <w:r>
              <w:rPr>
                <w:rFonts w:ascii="Arial" w:cs="Arial" w:eastAsia="Arial" w:hAnsi="Arial"/>
                <w:sz w:val="15"/>
                <w:szCs w:val="15"/>
                <w:color w:val="auto"/>
              </w:rPr>
              <w:t>2.51%</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Arial" w:cs="Arial" w:eastAsia="Arial" w:hAnsi="Arial"/>
                <w:sz w:val="15"/>
                <w:szCs w:val="15"/>
                <w:color w:val="auto"/>
              </w:rPr>
              <w:t>Net interest margin, Federal Education Loans segment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.58%</w:t>
            </w:r>
          </w:p>
        </w:tc>
        <w:tc>
          <w:tcPr>
            <w:tcW w:w="180" w:type="dxa"/>
            <w:vAlign w:val="bottom"/>
          </w:tcPr>
          <w:p>
            <w:pPr>
              <w:spacing w:after="0"/>
              <w:rPr>
                <w:sz w:val="14"/>
                <w:szCs w:val="14"/>
                <w:color w:val="auto"/>
              </w:rPr>
            </w:pPr>
          </w:p>
        </w:tc>
        <w:tc>
          <w:tcPr>
            <w:tcW w:w="14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Return on assets</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.17%</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80"/>
              <w:spacing w:after="0" w:line="162" w:lineRule="exact"/>
              <w:rPr>
                <w:sz w:val="20"/>
                <w:szCs w:val="20"/>
                <w:color w:val="auto"/>
              </w:rPr>
            </w:pPr>
            <w:r>
              <w:rPr>
                <w:rFonts w:ascii="Arial" w:cs="Arial" w:eastAsia="Arial" w:hAnsi="Arial"/>
                <w:sz w:val="15"/>
                <w:szCs w:val="15"/>
                <w:color w:val="auto"/>
              </w:rPr>
              <w:t>.01%</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Education Loan Portfolios</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Arial" w:cs="Arial" w:eastAsia="Arial" w:hAnsi="Arial"/>
                <w:sz w:val="15"/>
                <w:szCs w:val="15"/>
                <w:color w:val="auto"/>
              </w:rPr>
              <w:t>Ending Private Education Loans, net</w:t>
            </w:r>
          </w:p>
        </w:tc>
        <w:tc>
          <w:tcPr>
            <w:tcW w:w="36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15,649</w:t>
            </w:r>
          </w:p>
        </w:tc>
        <w:tc>
          <w:tcPr>
            <w:tcW w:w="20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15,451</w:t>
            </w:r>
          </w:p>
        </w:tc>
        <w:tc>
          <w:tcPr>
            <w:tcW w:w="320" w:type="dxa"/>
            <w:vAlign w:val="bottom"/>
          </w:tcPr>
          <w:p>
            <w:pPr>
              <w:spacing w:after="0"/>
              <w:rPr>
                <w:sz w:val="14"/>
                <w:szCs w:val="14"/>
                <w:color w:val="auto"/>
              </w:rPr>
            </w:pP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62" w:lineRule="exact"/>
              <w:rPr>
                <w:sz w:val="20"/>
                <w:szCs w:val="20"/>
                <w:color w:val="auto"/>
              </w:rPr>
            </w:pPr>
            <w:r>
              <w:rPr>
                <w:rFonts w:ascii="Arial" w:cs="Arial" w:eastAsia="Arial" w:hAnsi="Arial"/>
                <w:sz w:val="15"/>
                <w:szCs w:val="15"/>
                <w:color w:val="auto"/>
              </w:rPr>
              <w:t>15,690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Borders>
              <w:bottom w:val="single" w:sz="8" w:color="CFF0FC"/>
            </w:tcBorders>
            <w:gridSpan w:val="2"/>
            <w:shd w:val="clear" w:color="auto" w:fill="CFF0FC"/>
          </w:tcPr>
          <w:p>
            <w:pPr>
              <w:spacing w:after="0" w:line="162" w:lineRule="exact"/>
              <w:rPr>
                <w:sz w:val="20"/>
                <w:szCs w:val="20"/>
                <w:color w:val="auto"/>
              </w:rPr>
            </w:pPr>
            <w:r>
              <w:rPr>
                <w:rFonts w:ascii="Arial" w:cs="Arial" w:eastAsia="Arial" w:hAnsi="Arial"/>
                <w:sz w:val="15"/>
                <w:szCs w:val="15"/>
                <w:color w:val="auto"/>
              </w:rPr>
              <w:t>Ending FFELP Loans, net</w:t>
            </w: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27,237</w:t>
            </w: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28,141</w:t>
            </w:r>
          </w:p>
        </w:tc>
        <w:tc>
          <w:tcPr>
            <w:tcW w:w="3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30,244</w:t>
            </w:r>
          </w:p>
        </w:tc>
        <w:tc>
          <w:tcPr>
            <w:tcW w:w="2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gridSpan w:val="2"/>
          </w:tcPr>
          <w:p>
            <w:pPr>
              <w:spacing w:after="0" w:line="156" w:lineRule="exact"/>
              <w:rPr>
                <w:sz w:val="20"/>
                <w:szCs w:val="20"/>
                <w:color w:val="auto"/>
              </w:rPr>
            </w:pPr>
            <w:r>
              <w:rPr>
                <w:rFonts w:ascii="Arial" w:cs="Arial" w:eastAsia="Arial" w:hAnsi="Arial"/>
                <w:sz w:val="15"/>
                <w:szCs w:val="15"/>
                <w:color w:val="auto"/>
              </w:rPr>
              <w:t>Ending total education loans, net</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42,886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43,592</w:t>
            </w:r>
          </w:p>
        </w:tc>
        <w:tc>
          <w:tcPr>
            <w:tcW w:w="320" w:type="dxa"/>
            <w:vAlign w:val="bottom"/>
          </w:tcPr>
          <w:p>
            <w:pPr>
              <w:spacing w:after="0"/>
              <w:rPr>
                <w:sz w:val="13"/>
                <w:szCs w:val="13"/>
                <w:color w:val="auto"/>
              </w:rPr>
            </w:pPr>
          </w:p>
        </w:tc>
        <w:tc>
          <w:tcPr>
            <w:tcW w:w="18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45,934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2"/>
            <w:shd w:val="clear" w:color="auto" w:fill="CFF0FC"/>
          </w:tcPr>
          <w:p>
            <w:pPr>
              <w:spacing w:after="0" w:line="143" w:lineRule="exact"/>
              <w:rPr>
                <w:sz w:val="20"/>
                <w:szCs w:val="20"/>
                <w:color w:val="auto"/>
              </w:rPr>
            </w:pPr>
            <w:r>
              <w:rPr>
                <w:rFonts w:ascii="Arial" w:cs="Arial" w:eastAsia="Arial" w:hAnsi="Arial"/>
                <w:sz w:val="15"/>
                <w:szCs w:val="15"/>
                <w:color w:val="auto"/>
              </w:rPr>
              <w:t>Average Private Education Loans</w:t>
            </w:r>
          </w:p>
        </w:tc>
        <w:tc>
          <w:tcPr>
            <w:tcW w:w="360" w:type="dxa"/>
            <w:vAlign w:val="bottom"/>
            <w:gridSpan w:val="2"/>
            <w:shd w:val="clear" w:color="auto" w:fill="CFF0FC"/>
          </w:tcPr>
          <w:p>
            <w:pPr>
              <w:jc w:val="right"/>
              <w:ind w:right="24"/>
              <w:spacing w:after="0" w:line="143"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15,958</w:t>
            </w:r>
          </w:p>
        </w:tc>
        <w:tc>
          <w:tcPr>
            <w:tcW w:w="2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15,907</w:t>
            </w: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4"/>
              <w:spacing w:after="0" w:line="143"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16,159</w:t>
            </w: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Arial" w:cs="Arial" w:eastAsia="Arial" w:hAnsi="Arial"/>
                <w:sz w:val="15"/>
                <w:szCs w:val="15"/>
                <w:color w:val="auto"/>
              </w:rPr>
              <w:t>Average FFELP Loans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27,898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28,924</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30,914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80" w:type="dxa"/>
            <w:vAlign w:val="bottom"/>
            <w:tcBorders>
              <w:bottom w:val="single" w:sz="8" w:color="CFF0FC"/>
            </w:tcBorders>
            <w:gridSpan w:val="2"/>
            <w:shd w:val="clear" w:color="auto" w:fill="CFF0FC"/>
          </w:tcPr>
          <w:p>
            <w:pPr>
              <w:spacing w:after="0" w:line="156" w:lineRule="exact"/>
              <w:rPr>
                <w:sz w:val="20"/>
                <w:szCs w:val="20"/>
                <w:color w:val="auto"/>
              </w:rPr>
            </w:pPr>
            <w:r>
              <w:rPr>
                <w:rFonts w:ascii="Arial" w:cs="Arial" w:eastAsia="Arial" w:hAnsi="Arial"/>
                <w:sz w:val="15"/>
                <w:szCs w:val="15"/>
                <w:color w:val="auto"/>
              </w:rPr>
              <w:t>Average total education loans</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4"/>
              <w:spacing w:after="0" w:line="142"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43,856</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44,831</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4"/>
              <w:spacing w:after="0" w:line="142"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47,073</w:t>
            </w:r>
          </w:p>
        </w:tc>
        <w:tc>
          <w:tcPr>
            <w:tcW w:w="2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-1713865</wp:posOffset>
            </wp:positionV>
            <wp:extent cx="617220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-1508125</wp:posOffset>
            </wp:positionV>
            <wp:extent cx="617220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-479425</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-479425</wp:posOffset>
            </wp:positionV>
            <wp:extent cx="128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-479425</wp:posOffset>
            </wp:positionV>
            <wp:extent cx="128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-25400</wp:posOffset>
            </wp:positionV>
            <wp:extent cx="102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-7620</wp:posOffset>
            </wp:positionV>
            <wp:extent cx="102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-25400</wp:posOffset>
            </wp:positionV>
            <wp:extent cx="128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-7620</wp:posOffset>
            </wp:positionV>
            <wp:extent cx="128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-25400</wp:posOffset>
            </wp:positionV>
            <wp:extent cx="1289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-7620</wp:posOffset>
            </wp:positionV>
            <wp:extent cx="128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111125</wp:posOffset>
            </wp:positionV>
            <wp:extent cx="7372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99" w:lineRule="exact"/>
        <w:rPr>
          <w:sz w:val="20"/>
          <w:szCs w:val="20"/>
          <w:color w:val="auto"/>
        </w:rPr>
      </w:pPr>
    </w:p>
    <w:p>
      <w:pPr>
        <w:ind w:left="320" w:hanging="316"/>
        <w:spacing w:after="0"/>
        <w:tabs>
          <w:tab w:leader="none" w:pos="3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Item is a non-GAAP financial measure. For a description and reconciliation, see “Non-GAAP Financial Measures” on pages 15 – 23.</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90" w:right="1099" w:bottom="1440" w:gutter="0" w:footer="0" w:header="0"/>
        </w:sectPr>
      </w:pPr>
    </w:p>
    <w:bookmarkStart w:id="10" w:name="page11"/>
    <w:bookmarkEnd w:id="10"/>
    <w:p>
      <w:pPr>
        <w:ind w:left="10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688340</wp:posOffset>
            </wp:positionH>
            <wp:positionV relativeFrom="page">
              <wp:posOffset>757555</wp:posOffset>
            </wp:positionV>
            <wp:extent cx="6172200" cy="368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2200" cy="368300"/>
                    </a:xfrm>
                    <a:prstGeom prst="rect">
                      <a:avLst/>
                    </a:prstGeom>
                    <a:noFill/>
                  </pic:spPr>
                </pic:pic>
              </a:graphicData>
            </a:graphic>
          </wp:anchor>
        </w:drawing>
        <w:t>RESULTS OF OPERATIONS</w:t>
      </w:r>
    </w:p>
    <w:p>
      <w:pPr>
        <w:spacing w:after="0" w:line="200" w:lineRule="exact"/>
        <w:rPr>
          <w:sz w:val="20"/>
          <w:szCs w:val="20"/>
          <w:color w:val="auto"/>
        </w:rPr>
      </w:pPr>
    </w:p>
    <w:p>
      <w:pPr>
        <w:spacing w:after="0" w:line="22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We present the results of operations below first in accordance with GAAP. Following our discussion of earnings results on a GAAP basis, we present our results on a segment basis. We have three reportable operating segments as of March 31, 2026: Consumer Lending, Federal Education Loans and Other. Prior to the divestiture of our healthcare business in third-quarter 2024 and our government services business in first-quarter 2025, we had a fourth reportable operating segment, Business Processing. Our segments operate in distinct business environments and we manage and evaluate the financial performance of our segments using non-GAAP financial measures we call Core Earnings (see “Non-GAAP Financial Measures — Core Earnings”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6172200" cy="368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2200" cy="368935"/>
                    </a:xfrm>
                    <a:prstGeom prst="rect">
                      <a:avLst/>
                    </a:prstGeom>
                    <a:noFill/>
                  </pic:spPr>
                </pic:pic>
              </a:graphicData>
            </a:graphic>
          </wp:anchor>
        </w:drawing>
      </w:r>
    </w:p>
    <w:p>
      <w:pPr>
        <w:spacing w:after="0" w:line="32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GAAP INCOME STATEMENTS (UNAUDITED)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5"/>
          </w:tcPr>
          <w:p>
            <w:pPr>
              <w:jc w:val="center"/>
              <w:ind w:right="500"/>
              <w:spacing w:after="0"/>
              <w:rPr>
                <w:sz w:val="20"/>
                <w:szCs w:val="20"/>
                <w:color w:val="auto"/>
              </w:rPr>
            </w:pPr>
            <w:r>
              <w:rPr>
                <w:rFonts w:ascii="Arial" w:cs="Arial" w:eastAsia="Arial" w:hAnsi="Arial"/>
                <w:sz w:val="13"/>
                <w:szCs w:val="13"/>
                <w:b w:val="1"/>
                <w:bCs w:val="1"/>
                <w:color w:val="auto"/>
              </w:rPr>
              <w:t>March 31, 2026</w:t>
            </w:r>
          </w:p>
        </w:tc>
        <w:tc>
          <w:tcPr>
            <w:tcW w:w="160" w:type="dxa"/>
            <w:vAlign w:val="bottom"/>
          </w:tcPr>
          <w:p>
            <w:pPr>
              <w:spacing w:after="0"/>
              <w:rPr>
                <w:sz w:val="13"/>
                <w:szCs w:val="13"/>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rPr>
              <w:t>March 31, 2026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vs.</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vs.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rPr>
              <w:t>December 31, 2025</w:t>
            </w:r>
          </w:p>
        </w:tc>
        <w:tc>
          <w:tcPr>
            <w:tcW w:w="160" w:type="dxa"/>
            <w:vAlign w:val="bottom"/>
          </w:tcPr>
          <w:p>
            <w:pPr>
              <w:spacing w:after="0"/>
              <w:rPr>
                <w:sz w:val="12"/>
                <w:szCs w:val="12"/>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rPr>
              <w:t>March 31, 2025</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gridSpan w:val="4"/>
            <w:vMerge w:val="restart"/>
          </w:tcPr>
          <w:p>
            <w:pPr>
              <w:jc w:val="right"/>
              <w:ind w:right="140"/>
              <w:spacing w:after="0"/>
              <w:rPr>
                <w:sz w:val="20"/>
                <w:szCs w:val="20"/>
                <w:color w:val="auto"/>
              </w:rPr>
            </w:pPr>
            <w:r>
              <w:rPr>
                <w:rFonts w:ascii="Arial" w:cs="Arial" w:eastAsia="Arial" w:hAnsi="Arial"/>
                <w:sz w:val="13"/>
                <w:szCs w:val="13"/>
                <w:b w:val="1"/>
                <w:bCs w:val="1"/>
                <w:color w:val="auto"/>
              </w:rPr>
              <w:t>QUARTERS ENDED</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left="189"/>
              <w:spacing w:after="0"/>
              <w:rPr>
                <w:sz w:val="20"/>
                <w:szCs w:val="20"/>
                <w:color w:val="auto"/>
              </w:rPr>
            </w:pPr>
            <w:r>
              <w:rPr>
                <w:rFonts w:ascii="Arial" w:cs="Arial" w:eastAsia="Arial" w:hAnsi="Arial"/>
                <w:sz w:val="13"/>
                <w:szCs w:val="13"/>
                <w:b w:val="1"/>
                <w:bCs w:val="1"/>
                <w:color w:val="auto"/>
              </w:rPr>
              <w:t>Increase</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left="189"/>
              <w:spacing w:after="0"/>
              <w:rPr>
                <w:sz w:val="20"/>
                <w:szCs w:val="20"/>
                <w:color w:val="auto"/>
              </w:rPr>
            </w:pPr>
            <w:r>
              <w:rPr>
                <w:rFonts w:ascii="Arial" w:cs="Arial" w:eastAsia="Arial" w:hAnsi="Arial"/>
                <w:sz w:val="13"/>
                <w:szCs w:val="13"/>
                <w:b w:val="1"/>
                <w:bCs w:val="1"/>
                <w:color w:val="auto"/>
              </w:rPr>
              <w:t>Increase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 except per share</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189"/>
              <w:spacing w:after="0"/>
              <w:rPr>
                <w:sz w:val="20"/>
                <w:szCs w:val="20"/>
                <w:color w:val="auto"/>
              </w:rPr>
            </w:pPr>
            <w:r>
              <w:rPr>
                <w:rFonts w:ascii="Arial" w:cs="Arial" w:eastAsia="Arial" w:hAnsi="Arial"/>
                <w:sz w:val="13"/>
                <w:szCs w:val="13"/>
                <w:b w:val="1"/>
                <w:bCs w:val="1"/>
                <w:color w:val="auto"/>
              </w:rPr>
              <w:t>(Decrease)</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189"/>
              <w:spacing w:after="0"/>
              <w:rPr>
                <w:sz w:val="20"/>
                <w:szCs w:val="20"/>
                <w:color w:val="auto"/>
              </w:rPr>
            </w:pPr>
            <w:r>
              <w:rPr>
                <w:rFonts w:ascii="Arial" w:cs="Arial" w:eastAsia="Arial" w:hAnsi="Arial"/>
                <w:sz w:val="13"/>
                <w:szCs w:val="13"/>
                <w:b w:val="1"/>
                <w:bCs w:val="1"/>
                <w:color w:val="auto"/>
              </w:rPr>
              <w:t>(Decrease)</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2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3"/>
                <w:szCs w:val="13"/>
                <w:b w:val="1"/>
                <w:bCs w:val="1"/>
                <w:color w:val="auto"/>
              </w:rPr>
              <w:t>data)</w:t>
            </w:r>
          </w:p>
        </w:tc>
        <w:tc>
          <w:tcPr>
            <w:tcW w:w="320" w:type="dxa"/>
            <w:vAlign w:val="bottom"/>
          </w:tcPr>
          <w:p>
            <w:pPr>
              <w:spacing w:after="0"/>
              <w:rPr>
                <w:sz w:val="11"/>
                <w:szCs w:val="11"/>
                <w:color w:val="auto"/>
              </w:rPr>
            </w:pP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March 31, 2026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368"/>
              <w:spacing w:after="0" w:line="135" w:lineRule="exact"/>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1"/>
                <w:szCs w:val="11"/>
                <w:color w:val="auto"/>
              </w:rPr>
            </w:pPr>
          </w:p>
        </w:tc>
        <w:tc>
          <w:tcPr>
            <w:tcW w:w="1300" w:type="dxa"/>
            <w:vAlign w:val="bottom"/>
            <w:gridSpan w:val="3"/>
          </w:tcPr>
          <w:p>
            <w:pPr>
              <w:jc w:val="right"/>
              <w:ind w:right="280"/>
              <w:spacing w:after="0" w:line="135" w:lineRule="exact"/>
              <w:rPr>
                <w:sz w:val="20"/>
                <w:szCs w:val="20"/>
                <w:color w:val="auto"/>
              </w:rPr>
            </w:pPr>
            <w:r>
              <w:rPr>
                <w:rFonts w:ascii="Arial" w:cs="Arial" w:eastAsia="Arial" w:hAnsi="Arial"/>
                <w:sz w:val="13"/>
                <w:szCs w:val="13"/>
                <w:b w:val="1"/>
                <w:bCs w:val="1"/>
                <w:color w:val="auto"/>
              </w:rPr>
              <w:t>March 31, 2025</w:t>
            </w:r>
          </w:p>
        </w:tc>
        <w:tc>
          <w:tcPr>
            <w:tcW w:w="140" w:type="dxa"/>
            <w:vAlign w:val="bottom"/>
          </w:tcPr>
          <w:p>
            <w:pPr>
              <w:spacing w:after="0"/>
              <w:rPr>
                <w:sz w:val="11"/>
                <w:szCs w:val="11"/>
                <w:color w:val="auto"/>
              </w:rPr>
            </w:pPr>
          </w:p>
        </w:tc>
        <w:tc>
          <w:tcPr>
            <w:tcW w:w="500" w:type="dxa"/>
            <w:vAlign w:val="bottom"/>
          </w:tcPr>
          <w:p>
            <w:pPr>
              <w:jc w:val="right"/>
              <w:ind w:right="229"/>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jc w:val="right"/>
              <w:ind w:right="228"/>
              <w:spacing w:after="0" w:line="135" w:lineRule="exact"/>
              <w:rPr>
                <w:sz w:val="20"/>
                <w:szCs w:val="20"/>
                <w:color w:val="auto"/>
              </w:rPr>
            </w:pPr>
            <w:r>
              <w:rPr>
                <w:rFonts w:ascii="Arial" w:cs="Arial" w:eastAsia="Arial" w:hAnsi="Arial"/>
                <w:sz w:val="13"/>
                <w:szCs w:val="13"/>
                <w:b w:val="1"/>
                <w:bCs w:val="1"/>
                <w:color w:val="auto"/>
                <w:w w:val="86"/>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ind w:right="229"/>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ind w:right="228"/>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Interest income:</w:t>
            </w:r>
          </w:p>
        </w:tc>
        <w:tc>
          <w:tcPr>
            <w:tcW w:w="4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ind w:left="100"/>
              <w:spacing w:after="0"/>
              <w:rPr>
                <w:sz w:val="20"/>
                <w:szCs w:val="20"/>
                <w:color w:val="auto"/>
              </w:rPr>
            </w:pPr>
            <w:r>
              <w:rPr>
                <w:rFonts w:ascii="Arial" w:cs="Arial" w:eastAsia="Arial" w:hAnsi="Arial"/>
                <w:sz w:val="14"/>
                <w:szCs w:val="14"/>
                <w:color w:val="auto"/>
              </w:rPr>
              <w:t>Private Education Loans</w:t>
            </w: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283</w:t>
            </w:r>
          </w:p>
        </w:tc>
        <w:tc>
          <w:tcPr>
            <w:tcW w:w="200" w:type="dxa"/>
            <w:vAlign w:val="bottom"/>
          </w:tcPr>
          <w:p>
            <w:pPr>
              <w:spacing w:after="0"/>
              <w:rPr>
                <w:sz w:val="14"/>
                <w:szCs w:val="14"/>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289</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73"/>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73"/>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FFELP Loans</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(43)</w:t>
            </w:r>
          </w:p>
        </w:tc>
        <w:tc>
          <w:tcPr>
            <w:tcW w:w="3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(92)</w:t>
            </w:r>
          </w:p>
        </w:tc>
        <w:tc>
          <w:tcPr>
            <w:tcW w:w="2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2220" w:type="dxa"/>
            <w:vAlign w:val="bottom"/>
            <w:gridSpan w:val="3"/>
          </w:tcPr>
          <w:p>
            <w:pPr>
              <w:ind w:left="100"/>
              <w:spacing w:after="0"/>
              <w:rPr>
                <w:sz w:val="20"/>
                <w:szCs w:val="20"/>
                <w:color w:val="auto"/>
              </w:rPr>
            </w:pPr>
            <w:r>
              <w:rPr>
                <w:rFonts w:ascii="Arial" w:cs="Arial" w:eastAsia="Arial" w:hAnsi="Arial"/>
                <w:sz w:val="14"/>
                <w:szCs w:val="14"/>
                <w:color w:val="auto"/>
              </w:rPr>
              <w:t>Cash and investments</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73"/>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660" w:type="dxa"/>
            <w:vAlign w:val="bottom"/>
            <w:gridSpan w:val="2"/>
          </w:tcPr>
          <w:p>
            <w:pPr>
              <w:jc w:val="right"/>
              <w:ind w:right="73"/>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Total interest income</w:t>
            </w:r>
          </w:p>
        </w:tc>
        <w:tc>
          <w:tcPr>
            <w:tcW w:w="4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695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746</w:t>
            </w:r>
          </w:p>
        </w:tc>
        <w:tc>
          <w:tcPr>
            <w:tcW w:w="2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802</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rPr>
              <w:t>(51)</w:t>
            </w:r>
          </w:p>
        </w:tc>
        <w:tc>
          <w:tcPr>
            <w:tcW w:w="3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(7)</w:t>
            </w: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rPr>
              <w:t>(107)</w:t>
            </w:r>
          </w:p>
        </w:tc>
        <w:tc>
          <w:tcPr>
            <w:tcW w:w="2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220" w:type="dxa"/>
            <w:vAlign w:val="bottom"/>
            <w:gridSpan w:val="3"/>
          </w:tcPr>
          <w:p>
            <w:pPr>
              <w:spacing w:after="0"/>
              <w:rPr>
                <w:sz w:val="20"/>
                <w:szCs w:val="20"/>
                <w:color w:val="auto"/>
              </w:rPr>
            </w:pPr>
            <w:r>
              <w:rPr>
                <w:rFonts w:ascii="Arial" w:cs="Arial" w:eastAsia="Arial" w:hAnsi="Arial"/>
                <w:sz w:val="14"/>
                <w:szCs w:val="14"/>
                <w:color w:val="auto"/>
              </w:rPr>
              <w:t>Total interest expense</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628</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73"/>
              <w:spacing w:after="0"/>
              <w:rPr>
                <w:sz w:val="20"/>
                <w:szCs w:val="20"/>
                <w:color w:val="auto"/>
              </w:rPr>
            </w:pPr>
            <w:r>
              <w:rPr>
                <w:rFonts w:ascii="Arial" w:cs="Arial" w:eastAsia="Arial" w:hAnsi="Arial"/>
                <w:sz w:val="14"/>
                <w:szCs w:val="14"/>
                <w:color w:val="auto"/>
              </w:rPr>
              <w:t>(64)</w:t>
            </w:r>
          </w:p>
        </w:tc>
        <w:tc>
          <w:tcPr>
            <w:tcW w:w="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660" w:type="dxa"/>
            <w:vAlign w:val="bottom"/>
            <w:gridSpan w:val="2"/>
          </w:tcPr>
          <w:p>
            <w:pPr>
              <w:jc w:val="right"/>
              <w:ind w:right="73"/>
              <w:spacing w:after="0"/>
              <w:rPr>
                <w:sz w:val="20"/>
                <w:szCs w:val="20"/>
                <w:color w:val="auto"/>
              </w:rPr>
            </w:pPr>
            <w:r>
              <w:rPr>
                <w:rFonts w:ascii="Arial" w:cs="Arial" w:eastAsia="Arial" w:hAnsi="Arial"/>
                <w:sz w:val="14"/>
                <w:szCs w:val="14"/>
                <w:color w:val="auto"/>
              </w:rPr>
              <w:t>(108)</w:t>
            </w: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6"/>
        </w:trPr>
        <w:tc>
          <w:tcPr>
            <w:tcW w:w="22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Net interest income</w:t>
            </w:r>
          </w:p>
        </w:tc>
        <w:tc>
          <w:tcPr>
            <w:tcW w:w="4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w:t>
            </w: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w:t>
            </w:r>
          </w:p>
        </w:tc>
        <w:tc>
          <w:tcPr>
            <w:tcW w:w="200" w:type="dxa"/>
            <w:vAlign w:val="bottom"/>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w:t>
            </w:r>
          </w:p>
        </w:tc>
        <w:tc>
          <w:tcPr>
            <w:tcW w:w="18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w:t>
            </w:r>
          </w:p>
        </w:tc>
        <w:tc>
          <w:tcPr>
            <w:tcW w:w="3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spacing w:after="0"/>
              <w:rPr>
                <w:sz w:val="20"/>
                <w:szCs w:val="20"/>
                <w:color w:val="auto"/>
              </w:rPr>
            </w:pPr>
            <w:r>
              <w:rPr>
                <w:rFonts w:ascii="Arial" w:cs="Arial" w:eastAsia="Arial" w:hAnsi="Arial"/>
                <w:sz w:val="14"/>
                <w:szCs w:val="14"/>
                <w:color w:val="auto"/>
              </w:rPr>
              <w:t>Less: provisions for loan losses</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73"/>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4"/>
                <w:szCs w:val="14"/>
                <w:color w:val="auto"/>
              </w:rPr>
            </w:pPr>
          </w:p>
        </w:tc>
        <w:tc>
          <w:tcPr>
            <w:tcW w:w="660" w:type="dxa"/>
            <w:vAlign w:val="bottom"/>
            <w:gridSpan w:val="2"/>
          </w:tcPr>
          <w:p>
            <w:pPr>
              <w:jc w:val="right"/>
              <w:ind w:right="73"/>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6"/>
        </w:trPr>
        <w:tc>
          <w:tcPr>
            <w:tcW w:w="2220" w:type="dxa"/>
            <w:vAlign w:val="bottom"/>
            <w:gridSpan w:val="3"/>
            <w:shd w:val="clear" w:color="auto" w:fill="CFF0FC"/>
          </w:tcPr>
          <w:p>
            <w:pPr>
              <w:spacing w:after="0" w:line="147" w:lineRule="exact"/>
              <w:rPr>
                <w:sz w:val="20"/>
                <w:szCs w:val="20"/>
                <w:color w:val="auto"/>
              </w:rPr>
            </w:pPr>
            <w:r>
              <w:rPr>
                <w:rFonts w:ascii="Arial" w:cs="Arial" w:eastAsia="Arial" w:hAnsi="Arial"/>
                <w:sz w:val="14"/>
                <w:szCs w:val="14"/>
                <w:color w:val="auto"/>
              </w:rPr>
              <w:t>Net interest income after</w:t>
            </w:r>
          </w:p>
        </w:tc>
        <w:tc>
          <w:tcPr>
            <w:tcW w:w="4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provisions for loan losses</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spacing w:after="0"/>
              <w:rPr>
                <w:sz w:val="20"/>
                <w:szCs w:val="20"/>
                <w:color w:val="auto"/>
              </w:rPr>
            </w:pPr>
            <w:r>
              <w:rPr>
                <w:rFonts w:ascii="Arial" w:cs="Arial" w:eastAsia="Arial" w:hAnsi="Arial"/>
                <w:sz w:val="14"/>
                <w:szCs w:val="14"/>
                <w:color w:val="auto"/>
              </w:rPr>
              <w:t>Other income (loss):</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Servicing revenue</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(2)</w:t>
            </w:r>
          </w:p>
        </w:tc>
        <w:tc>
          <w:tcPr>
            <w:tcW w:w="2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3"/>
        </w:trPr>
        <w:tc>
          <w:tcPr>
            <w:tcW w:w="22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Asset recovery and business</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20" w:type="dxa"/>
            <w:vAlign w:val="bottom"/>
            <w:gridSpan w:val="3"/>
          </w:tcPr>
          <w:p>
            <w:pPr>
              <w:ind w:left="260"/>
              <w:spacing w:after="0"/>
              <w:rPr>
                <w:sz w:val="20"/>
                <w:szCs w:val="20"/>
                <w:color w:val="auto"/>
              </w:rPr>
            </w:pPr>
            <w:r>
              <w:rPr>
                <w:rFonts w:ascii="Arial" w:cs="Arial" w:eastAsia="Arial" w:hAnsi="Arial"/>
                <w:sz w:val="14"/>
                <w:szCs w:val="14"/>
                <w:color w:val="auto"/>
              </w:rPr>
              <w:t>processing revenue</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73"/>
              <w:spacing w:after="0"/>
              <w:rPr>
                <w:sz w:val="20"/>
                <w:szCs w:val="20"/>
                <w:color w:val="auto"/>
              </w:rPr>
            </w:pPr>
            <w:r>
              <w:rPr>
                <w:rFonts w:ascii="Arial" w:cs="Arial" w:eastAsia="Arial" w:hAnsi="Arial"/>
                <w:sz w:val="14"/>
                <w:szCs w:val="14"/>
                <w:color w:val="auto"/>
              </w:rPr>
              <w:t>(23)</w:t>
            </w:r>
          </w:p>
        </w:tc>
        <w:tc>
          <w:tcPr>
            <w:tcW w:w="2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Other income</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53"/>
        </w:trPr>
        <w:tc>
          <w:tcPr>
            <w:tcW w:w="22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Gains (losses) on derivative</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ind w:left="100"/>
              <w:spacing w:after="0"/>
              <w:rPr>
                <w:sz w:val="20"/>
                <w:szCs w:val="20"/>
                <w:color w:val="auto"/>
              </w:rPr>
            </w:pPr>
            <w:r>
              <w:rPr>
                <w:rFonts w:ascii="Arial" w:cs="Arial" w:eastAsia="Arial" w:hAnsi="Arial"/>
                <w:sz w:val="14"/>
                <w:szCs w:val="14"/>
                <w:color w:val="auto"/>
              </w:rPr>
              <w:t>and</w:t>
            </w:r>
          </w:p>
        </w:tc>
        <w:tc>
          <w:tcPr>
            <w:tcW w:w="4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20" w:type="dxa"/>
            <w:vAlign w:val="bottom"/>
            <w:gridSpan w:val="3"/>
          </w:tcPr>
          <w:p>
            <w:pPr>
              <w:ind w:left="260"/>
              <w:spacing w:after="0" w:line="158" w:lineRule="exact"/>
              <w:rPr>
                <w:sz w:val="20"/>
                <w:szCs w:val="20"/>
                <w:color w:val="auto"/>
              </w:rPr>
            </w:pPr>
            <w:r>
              <w:rPr>
                <w:rFonts w:ascii="Arial" w:cs="Arial" w:eastAsia="Arial" w:hAnsi="Arial"/>
                <w:sz w:val="14"/>
                <w:szCs w:val="14"/>
                <w:color w:val="auto"/>
              </w:rPr>
              <w:t>hedging activities, net</w:t>
            </w:r>
          </w:p>
        </w:tc>
        <w:tc>
          <w:tcPr>
            <w:tcW w:w="4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Total other income</w:t>
            </w:r>
          </w:p>
        </w:tc>
        <w:tc>
          <w:tcPr>
            <w:tcW w:w="4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rPr>
              <w:t>(5)</w:t>
            </w:r>
          </w:p>
        </w:tc>
        <w:tc>
          <w:tcPr>
            <w:tcW w:w="2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222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Operating expenses</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(38)</w:t>
            </w:r>
          </w:p>
        </w:tc>
        <w:tc>
          <w:tcPr>
            <w:tcW w:w="2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3"/>
        </w:trPr>
        <w:tc>
          <w:tcPr>
            <w:tcW w:w="2220" w:type="dxa"/>
            <w:vAlign w:val="bottom"/>
            <w:gridSpan w:val="3"/>
          </w:tcPr>
          <w:p>
            <w:pPr>
              <w:ind w:left="120"/>
              <w:spacing w:after="0" w:line="153" w:lineRule="exact"/>
              <w:rPr>
                <w:sz w:val="20"/>
                <w:szCs w:val="20"/>
                <w:color w:val="auto"/>
              </w:rPr>
            </w:pPr>
            <w:r>
              <w:rPr>
                <w:rFonts w:ascii="Arial" w:cs="Arial" w:eastAsia="Arial" w:hAnsi="Arial"/>
                <w:sz w:val="14"/>
                <w:szCs w:val="14"/>
                <w:color w:val="auto"/>
              </w:rPr>
              <w:t>Goodwill and acquired</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ind w:left="240"/>
              <w:spacing w:after="0"/>
              <w:rPr>
                <w:sz w:val="20"/>
                <w:szCs w:val="20"/>
                <w:color w:val="auto"/>
              </w:rPr>
            </w:pPr>
            <w:r>
              <w:rPr>
                <w:rFonts w:ascii="Arial" w:cs="Arial" w:eastAsia="Arial" w:hAnsi="Arial"/>
                <w:sz w:val="14"/>
                <w:szCs w:val="14"/>
                <w:color w:val="auto"/>
              </w:rPr>
              <w:t>intangible asset</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ind w:left="240"/>
              <w:spacing w:after="0"/>
              <w:rPr>
                <w:sz w:val="20"/>
                <w:szCs w:val="20"/>
                <w:color w:val="auto"/>
              </w:rPr>
            </w:pPr>
            <w:r>
              <w:rPr>
                <w:rFonts w:ascii="Arial" w:cs="Arial" w:eastAsia="Arial" w:hAnsi="Arial"/>
                <w:sz w:val="14"/>
                <w:szCs w:val="14"/>
                <w:color w:val="auto"/>
              </w:rPr>
              <w:t>impairment and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gridSpan w:val="3"/>
          </w:tcPr>
          <w:p>
            <w:pPr>
              <w:ind w:left="240"/>
              <w:spacing w:after="0"/>
              <w:rPr>
                <w:sz w:val="20"/>
                <w:szCs w:val="20"/>
                <w:color w:val="auto"/>
              </w:rPr>
            </w:pPr>
            <w:r>
              <w:rPr>
                <w:rFonts w:ascii="Arial" w:cs="Arial" w:eastAsia="Arial" w:hAnsi="Arial"/>
                <w:sz w:val="14"/>
                <w:szCs w:val="14"/>
                <w:color w:val="auto"/>
              </w:rPr>
              <w:t>amortization expense</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gridSpan w:val="3"/>
            <w:shd w:val="clear" w:color="auto" w:fill="CFF0FC"/>
          </w:tcPr>
          <w:p>
            <w:pPr>
              <w:ind w:left="120"/>
              <w:spacing w:after="0" w:line="153" w:lineRule="exact"/>
              <w:rPr>
                <w:sz w:val="20"/>
                <w:szCs w:val="20"/>
                <w:color w:val="auto"/>
              </w:rPr>
            </w:pPr>
            <w:r>
              <w:rPr>
                <w:rFonts w:ascii="Arial" w:cs="Arial" w:eastAsia="Arial" w:hAnsi="Arial"/>
                <w:sz w:val="14"/>
                <w:szCs w:val="14"/>
                <w:color w:val="auto"/>
              </w:rPr>
              <w:t>Restructuring/other</w:t>
            </w:r>
          </w:p>
        </w:tc>
        <w:tc>
          <w:tcPr>
            <w:tcW w:w="46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gridSpan w:val="2"/>
            <w:vMerge w:val="restart"/>
            <w:shd w:val="clear" w:color="auto" w:fill="CFF0FC"/>
          </w:tcPr>
          <w:p>
            <w:pPr>
              <w:jc w:val="right"/>
              <w:ind w:right="73"/>
              <w:spacing w:after="0"/>
              <w:rPr>
                <w:sz w:val="20"/>
                <w:szCs w:val="20"/>
                <w:color w:val="auto"/>
              </w:rPr>
            </w:pPr>
            <w:r>
              <w:rPr>
                <w:rFonts w:ascii="Arial" w:cs="Arial" w:eastAsia="Arial" w:hAnsi="Arial"/>
                <w:sz w:val="14"/>
                <w:szCs w:val="14"/>
                <w:color w:val="auto"/>
              </w:rPr>
              <w:t>(11)</w:t>
            </w:r>
          </w:p>
        </w:tc>
        <w:tc>
          <w:tcPr>
            <w:tcW w:w="300" w:type="dxa"/>
            <w:vAlign w:val="bottom"/>
            <w:shd w:val="clear" w:color="auto" w:fill="CFF0FC"/>
          </w:tcPr>
          <w:p>
            <w:pPr>
              <w:spacing w:after="0"/>
              <w:rPr>
                <w:sz w:val="13"/>
                <w:szCs w:val="13"/>
                <w:color w:val="auto"/>
              </w:rPr>
            </w:pPr>
          </w:p>
        </w:tc>
        <w:tc>
          <w:tcPr>
            <w:tcW w:w="7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FF0FC"/>
          </w:tcPr>
          <w:p>
            <w:pPr>
              <w:spacing w:after="0"/>
              <w:rPr>
                <w:sz w:val="13"/>
                <w:szCs w:val="13"/>
                <w:color w:val="auto"/>
              </w:rPr>
            </w:pPr>
          </w:p>
        </w:tc>
        <w:tc>
          <w:tcPr>
            <w:tcW w:w="660" w:type="dxa"/>
            <w:vAlign w:val="bottom"/>
            <w:gridSpan w:val="2"/>
            <w:vMerge w:val="restart"/>
            <w:shd w:val="clear" w:color="auto" w:fill="CFF0FC"/>
          </w:tcPr>
          <w:p>
            <w:pPr>
              <w:jc w:val="right"/>
              <w:ind w:right="73"/>
              <w:spacing w:after="0"/>
              <w:rPr>
                <w:sz w:val="20"/>
                <w:szCs w:val="20"/>
                <w:color w:val="auto"/>
              </w:rPr>
            </w:pPr>
            <w:r>
              <w:rPr>
                <w:rFonts w:ascii="Arial" w:cs="Arial" w:eastAsia="Arial" w:hAnsi="Arial"/>
                <w:sz w:val="14"/>
                <w:szCs w:val="14"/>
                <w:color w:val="auto"/>
              </w:rPr>
              <w:t>(3)</w:t>
            </w:r>
          </w:p>
        </w:tc>
        <w:tc>
          <w:tcPr>
            <w:tcW w:w="280" w:type="dxa"/>
            <w:vAlign w:val="bottom"/>
            <w:shd w:val="clear" w:color="auto" w:fill="CFF0FC"/>
          </w:tcPr>
          <w:p>
            <w:pPr>
              <w:spacing w:after="0"/>
              <w:rPr>
                <w:sz w:val="13"/>
                <w:szCs w:val="13"/>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8"/>
        </w:trPr>
        <w:tc>
          <w:tcPr>
            <w:tcW w:w="222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reorganization expenses</w:t>
            </w:r>
          </w:p>
        </w:tc>
        <w:tc>
          <w:tcPr>
            <w:tcW w:w="46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gridSpan w:val="2"/>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gridSpan w:val="3"/>
          </w:tcPr>
          <w:p>
            <w:pPr>
              <w:spacing w:after="0" w:line="155" w:lineRule="exact"/>
              <w:rPr>
                <w:sz w:val="20"/>
                <w:szCs w:val="20"/>
                <w:color w:val="auto"/>
              </w:rPr>
            </w:pPr>
            <w:r>
              <w:rPr>
                <w:rFonts w:ascii="Arial" w:cs="Arial" w:eastAsia="Arial" w:hAnsi="Arial"/>
                <w:sz w:val="14"/>
                <w:szCs w:val="14"/>
                <w:color w:val="auto"/>
              </w:rPr>
              <w:t>Total expenses</w:t>
            </w:r>
          </w:p>
        </w:tc>
        <w:tc>
          <w:tcPr>
            <w:tcW w:w="4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73"/>
              <w:spacing w:after="0" w:line="155"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3"/>
                <w:szCs w:val="13"/>
                <w:color w:val="auto"/>
              </w:rPr>
            </w:pPr>
          </w:p>
        </w:tc>
        <w:tc>
          <w:tcPr>
            <w:tcW w:w="7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660" w:type="dxa"/>
            <w:vAlign w:val="bottom"/>
            <w:gridSpan w:val="2"/>
          </w:tcPr>
          <w:p>
            <w:pPr>
              <w:jc w:val="right"/>
              <w:ind w:right="73"/>
              <w:spacing w:after="0" w:line="155" w:lineRule="exact"/>
              <w:rPr>
                <w:sz w:val="20"/>
                <w:szCs w:val="20"/>
                <w:color w:val="auto"/>
              </w:rPr>
            </w:pPr>
            <w:r>
              <w:rPr>
                <w:rFonts w:ascii="Arial" w:cs="Arial" w:eastAsia="Arial" w:hAnsi="Arial"/>
                <w:sz w:val="14"/>
                <w:szCs w:val="14"/>
                <w:color w:val="auto"/>
              </w:rPr>
              <w:t>(38)</w:t>
            </w:r>
          </w:p>
        </w:tc>
        <w:tc>
          <w:tcPr>
            <w:tcW w:w="280" w:type="dxa"/>
            <w:vAlign w:val="bottom"/>
          </w:tcPr>
          <w:p>
            <w:pPr>
              <w:spacing w:after="0"/>
              <w:rPr>
                <w:sz w:val="13"/>
                <w:szCs w:val="13"/>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6"/>
        </w:trPr>
        <w:tc>
          <w:tcPr>
            <w:tcW w:w="2220" w:type="dxa"/>
            <w:vAlign w:val="bottom"/>
            <w:gridSpan w:val="3"/>
            <w:shd w:val="clear" w:color="auto" w:fill="CFF0FC"/>
          </w:tcPr>
          <w:p>
            <w:pPr>
              <w:spacing w:after="0" w:line="147" w:lineRule="exact"/>
              <w:rPr>
                <w:sz w:val="20"/>
                <w:szCs w:val="20"/>
                <w:color w:val="auto"/>
              </w:rPr>
            </w:pPr>
            <w:r>
              <w:rPr>
                <w:rFonts w:ascii="Arial" w:cs="Arial" w:eastAsia="Arial" w:hAnsi="Arial"/>
                <w:sz w:val="14"/>
                <w:szCs w:val="14"/>
                <w:color w:val="auto"/>
              </w:rPr>
              <w:t>Income (loss) before income tax</w:t>
            </w:r>
          </w:p>
        </w:tc>
        <w:tc>
          <w:tcPr>
            <w:tcW w:w="4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expense (benefit)</w:t>
            </w: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w:t>
            </w:r>
          </w:p>
        </w:tc>
        <w:tc>
          <w:tcPr>
            <w:tcW w:w="4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gridSpan w:val="3"/>
          </w:tcPr>
          <w:p>
            <w:pPr>
              <w:spacing w:after="0"/>
              <w:rPr>
                <w:sz w:val="20"/>
                <w:szCs w:val="20"/>
                <w:color w:val="auto"/>
              </w:rPr>
            </w:pPr>
            <w:r>
              <w:rPr>
                <w:rFonts w:ascii="Arial" w:cs="Arial" w:eastAsia="Arial" w:hAnsi="Arial"/>
                <w:sz w:val="14"/>
                <w:szCs w:val="14"/>
                <w:color w:val="auto"/>
              </w:rPr>
              <w:t>Income tax expense (benefit)</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850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460" w:type="dxa"/>
            <w:vAlign w:val="bottom"/>
            <w:shd w:val="clear" w:color="auto" w:fill="CFF0FC"/>
          </w:tcPr>
          <w:p>
            <w:pPr>
              <w:jc w:val="right"/>
              <w:ind w:right="309"/>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(5)</w:t>
            </w:r>
          </w:p>
        </w:tc>
        <w:tc>
          <w:tcPr>
            <w:tcW w:w="460" w:type="dxa"/>
            <w:vAlign w:val="bottom"/>
            <w:shd w:val="clear" w:color="auto" w:fill="CFF0FC"/>
          </w:tcPr>
          <w:p>
            <w:pPr>
              <w:jc w:val="right"/>
              <w:ind w:right="309"/>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440%</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Basic earnings (loss) per</w:t>
            </w:r>
          </w:p>
        </w:tc>
        <w:tc>
          <w:tcPr>
            <w:tcW w:w="460" w:type="dxa"/>
            <w:vAlign w:val="bottom"/>
            <w:vMerge w:val="restart"/>
          </w:tcPr>
          <w:p>
            <w:pPr>
              <w:jc w:val="right"/>
              <w:ind w:right="309"/>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1"/>
                <w:szCs w:val="11"/>
                <w:color w:val="auto"/>
              </w:rPr>
            </w:pPr>
          </w:p>
        </w:tc>
        <w:tc>
          <w:tcPr>
            <w:tcW w:w="460" w:type="dxa"/>
            <w:vAlign w:val="bottom"/>
            <w:vMerge w:val="restart"/>
          </w:tcPr>
          <w:p>
            <w:pPr>
              <w:jc w:val="right"/>
              <w:ind w:right="309"/>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400%</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1"/>
        </w:trPr>
        <w:tc>
          <w:tcPr>
            <w:tcW w:w="2220" w:type="dxa"/>
            <w:vAlign w:val="bottom"/>
            <w:gridSpan w:val="3"/>
          </w:tcPr>
          <w:p>
            <w:pPr>
              <w:ind w:left="120"/>
              <w:spacing w:after="0" w:line="125" w:lineRule="exact"/>
              <w:rPr>
                <w:sz w:val="20"/>
                <w:szCs w:val="20"/>
                <w:color w:val="auto"/>
              </w:rPr>
            </w:pPr>
            <w:r>
              <w:rPr>
                <w:rFonts w:ascii="Arial" w:cs="Arial" w:eastAsia="Arial" w:hAnsi="Arial"/>
                <w:sz w:val="14"/>
                <w:szCs w:val="14"/>
                <w:b w:val="1"/>
                <w:bCs w:val="1"/>
                <w:color w:val="auto"/>
              </w:rPr>
              <w:t>common share</w:t>
            </w:r>
          </w:p>
        </w:tc>
        <w:tc>
          <w:tcPr>
            <w:tcW w:w="4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20" w:type="dxa"/>
            <w:vAlign w:val="bottom"/>
            <w:gridSpan w:val="3"/>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Diluted earnings (loss) per</w:t>
            </w:r>
          </w:p>
        </w:tc>
        <w:tc>
          <w:tcPr>
            <w:tcW w:w="460" w:type="dxa"/>
            <w:vAlign w:val="bottom"/>
            <w:vMerge w:val="restart"/>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20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383%</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51"/>
        </w:trPr>
        <w:tc>
          <w:tcPr>
            <w:tcW w:w="2220" w:type="dxa"/>
            <w:vAlign w:val="bottom"/>
            <w:gridSpan w:val="3"/>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common share</w:t>
            </w:r>
          </w:p>
        </w:tc>
        <w:tc>
          <w:tcPr>
            <w:tcW w:w="46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106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Dividends per common share</w:t>
            </w:r>
          </w:p>
        </w:tc>
        <w:tc>
          <w:tcPr>
            <w:tcW w:w="460" w:type="dxa"/>
            <w:vAlign w:val="bottom"/>
          </w:tcPr>
          <w:p>
            <w:pPr>
              <w:jc w:val="right"/>
              <w:ind w:right="309"/>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460" w:type="dxa"/>
            <w:vAlign w:val="bottom"/>
          </w:tcPr>
          <w:p>
            <w:pPr>
              <w:jc w:val="right"/>
              <w:ind w:right="309"/>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3"/>
          </w:tcPr>
          <w:p>
            <w:pPr>
              <w:jc w:val="right"/>
              <w:ind w:right="480"/>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-1105535</wp:posOffset>
            </wp:positionV>
            <wp:extent cx="59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-1105535</wp:posOffset>
            </wp:positionV>
            <wp:extent cx="59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-1105535</wp:posOffset>
            </wp:positionV>
            <wp:extent cx="59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-1105535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-1105535</wp:posOffset>
            </wp:positionV>
            <wp:extent cx="1200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-1105535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-1105535</wp:posOffset>
            </wp:positionV>
            <wp:extent cx="1200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-565150</wp:posOffset>
            </wp:positionV>
            <wp:extent cx="59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-548005</wp:posOffset>
            </wp:positionV>
            <wp:extent cx="59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-565150</wp:posOffset>
            </wp:positionV>
            <wp:extent cx="59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-548005</wp:posOffset>
            </wp:positionV>
            <wp:extent cx="59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-565150</wp:posOffset>
            </wp:positionV>
            <wp:extent cx="596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-548005</wp:posOffset>
            </wp:positionV>
            <wp:extent cx="59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-565150</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-548005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-565150</wp:posOffset>
            </wp:positionV>
            <wp:extent cx="1200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-548005</wp:posOffset>
            </wp:positionV>
            <wp:extent cx="1200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-565150</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-548005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-565150</wp:posOffset>
            </wp:positionV>
            <wp:extent cx="120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-548005</wp:posOffset>
            </wp:positionV>
            <wp:extent cx="1200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-153670</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-136525</wp:posOffset>
            </wp:positionV>
            <wp:extent cx="59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-153670</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-136525</wp:posOffset>
            </wp:positionV>
            <wp:extent cx="59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-153670</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-136525</wp:posOffset>
            </wp:positionV>
            <wp:extent cx="59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-153670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-136525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-153670</wp:posOffset>
            </wp:positionV>
            <wp:extent cx="1200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-136525</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-153670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-136525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-153670</wp:posOffset>
            </wp:positionV>
            <wp:extent cx="1200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-136525</wp:posOffset>
            </wp:positionV>
            <wp:extent cx="120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67" w:right="1099" w:bottom="1440" w:gutter="0" w:footer="0" w:header="0"/>
        </w:sectPr>
      </w:pPr>
    </w:p>
    <w:bookmarkStart w:id="11" w:name="page12"/>
    <w:bookmarkEnd w:id="11"/>
    <w:p>
      <w:pPr>
        <w:ind w:left="76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688340</wp:posOffset>
            </wp:positionH>
            <wp:positionV relativeFrom="page">
              <wp:posOffset>774700</wp:posOffset>
            </wp:positionV>
            <wp:extent cx="6172200" cy="3689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72200" cy="368935"/>
                    </a:xfrm>
                    <a:prstGeom prst="rect">
                      <a:avLst/>
                    </a:prstGeom>
                    <a:noFill/>
                  </pic:spPr>
                </pic:pic>
              </a:graphicData>
            </a:graphic>
          </wp:anchor>
        </w:drawing>
        <w:t>GAAP BALANCE SHEETS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2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 2026</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2220" w:type="dxa"/>
            <w:vAlign w:val="bottom"/>
            <w:tcBorders>
              <w:top w:val="single" w:sz="8" w:color="auto"/>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Assets</w:t>
            </w:r>
          </w:p>
        </w:tc>
        <w:tc>
          <w:tcPr>
            <w:tcW w:w="3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5340" w:type="dxa"/>
            <w:vAlign w:val="bottom"/>
            <w:gridSpan w:val="2"/>
          </w:tcPr>
          <w:p>
            <w:pPr>
              <w:spacing w:after="0" w:line="145" w:lineRule="exact"/>
              <w:rPr>
                <w:sz w:val="20"/>
                <w:szCs w:val="20"/>
                <w:color w:val="auto"/>
              </w:rPr>
            </w:pPr>
            <w:r>
              <w:rPr>
                <w:rFonts w:ascii="Arial" w:cs="Arial" w:eastAsia="Arial" w:hAnsi="Arial"/>
                <w:sz w:val="15"/>
                <w:szCs w:val="15"/>
                <w:color w:val="auto"/>
              </w:rPr>
              <w:t>Private Education Loans (net of allowance for loan losses of $314, $364</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340" w:type="dxa"/>
            <w:vAlign w:val="bottom"/>
            <w:gridSpan w:val="2"/>
          </w:tcPr>
          <w:p>
            <w:pPr>
              <w:ind w:left="140"/>
              <w:spacing w:after="0"/>
              <w:rPr>
                <w:sz w:val="20"/>
                <w:szCs w:val="20"/>
                <w:color w:val="auto"/>
              </w:rPr>
            </w:pPr>
            <w:r>
              <w:rPr>
                <w:rFonts w:ascii="Arial" w:cs="Arial" w:eastAsia="Arial" w:hAnsi="Arial"/>
                <w:sz w:val="15"/>
                <w:szCs w:val="15"/>
                <w:color w:val="auto"/>
              </w:rPr>
              <w:t>and $ 397, respectively)</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15,649</w:t>
            </w:r>
          </w:p>
        </w:tc>
        <w:tc>
          <w:tcPr>
            <w:tcW w:w="18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15,451</w:t>
            </w:r>
          </w:p>
        </w:tc>
        <w:tc>
          <w:tcPr>
            <w:tcW w:w="12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15,690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5340" w:type="dxa"/>
            <w:vAlign w:val="bottom"/>
            <w:gridSpan w:val="2"/>
            <w:shd w:val="clear" w:color="auto" w:fill="CFF0FC"/>
          </w:tcPr>
          <w:p>
            <w:pPr>
              <w:spacing w:after="0" w:line="145" w:lineRule="exact"/>
              <w:rPr>
                <w:sz w:val="20"/>
                <w:szCs w:val="20"/>
                <w:color w:val="auto"/>
              </w:rPr>
            </w:pPr>
            <w:r>
              <w:rPr>
                <w:rFonts w:ascii="Arial" w:cs="Arial" w:eastAsia="Arial" w:hAnsi="Arial"/>
                <w:sz w:val="15"/>
                <w:szCs w:val="15"/>
                <w:color w:val="auto"/>
              </w:rPr>
              <w:t>FFELP Loans (net of allowance for loan losses of $165, $173 and $182,</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34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respectively)</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27,237</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28,141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30,244</w:t>
            </w: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tcPr>
          <w:p>
            <w:pPr>
              <w:spacing w:after="0" w:line="162" w:lineRule="exact"/>
              <w:rPr>
                <w:sz w:val="20"/>
                <w:szCs w:val="20"/>
                <w:color w:val="auto"/>
              </w:rPr>
            </w:pPr>
            <w:r>
              <w:rPr>
                <w:rFonts w:ascii="Arial" w:cs="Arial" w:eastAsia="Arial" w:hAnsi="Arial"/>
                <w:sz w:val="15"/>
                <w:szCs w:val="15"/>
                <w:color w:val="auto"/>
              </w:rPr>
              <w:t>Investments</w:t>
            </w: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148</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125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621</w:t>
            </w: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637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642</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tcPr>
          <w:p>
            <w:pPr>
              <w:spacing w:after="0" w:line="162" w:lineRule="exact"/>
              <w:rPr>
                <w:sz w:val="20"/>
                <w:szCs w:val="20"/>
                <w:color w:val="auto"/>
              </w:rPr>
            </w:pPr>
            <w:r>
              <w:rPr>
                <w:rFonts w:ascii="Arial" w:cs="Arial" w:eastAsia="Arial" w:hAnsi="Arial"/>
                <w:sz w:val="15"/>
                <w:szCs w:val="15"/>
                <w:color w:val="auto"/>
              </w:rPr>
              <w:t>Restricted cash and cash equivalents</w:t>
            </w: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1,510</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1,467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1,413</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Goodwill and acquired intangible assets, net</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430</w:t>
            </w: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434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437</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tcPr>
          <w:p>
            <w:pPr>
              <w:spacing w:after="0" w:line="162" w:lineRule="exact"/>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2,409</w:t>
            </w: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2,399</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34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color w:val="auto"/>
              </w:rPr>
              <w:t>Total assets</w:t>
            </w: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w:t>
            </w:r>
          </w:p>
        </w:tc>
        <w:tc>
          <w:tcPr>
            <w:tcW w:w="11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48,004</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48,681</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50,950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5340" w:type="dxa"/>
            <w:vAlign w:val="bottom"/>
            <w:tcBorders>
              <w:top w:val="single" w:sz="8" w:color="CFF0FC"/>
            </w:tcBorders>
            <w:gridSpan w:val="2"/>
          </w:tcPr>
          <w:p>
            <w:pPr>
              <w:spacing w:after="0" w:line="143" w:lineRule="exact"/>
              <w:rPr>
                <w:sz w:val="20"/>
                <w:szCs w:val="20"/>
                <w:color w:val="auto"/>
              </w:rPr>
            </w:pPr>
            <w:r>
              <w:rPr>
                <w:rFonts w:ascii="Arial" w:cs="Arial" w:eastAsia="Arial" w:hAnsi="Arial"/>
                <w:sz w:val="15"/>
                <w:szCs w:val="15"/>
                <w:b w:val="1"/>
                <w:bCs w:val="1"/>
                <w:color w:val="auto"/>
              </w:rPr>
              <w:t>Liabilities</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Short-term borrowings</w:t>
            </w:r>
          </w:p>
        </w:tc>
        <w:tc>
          <w:tcPr>
            <w:tcW w:w="1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w w:val="95"/>
              </w:rPr>
              <w:t>$</w:t>
            </w: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5,870</w:t>
            </w: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5,073</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4,855</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tcPr>
          <w:p>
            <w:pPr>
              <w:spacing w:after="0" w:line="162" w:lineRule="exact"/>
              <w:rPr>
                <w:sz w:val="20"/>
                <w:szCs w:val="20"/>
                <w:color w:val="auto"/>
              </w:rPr>
            </w:pPr>
            <w:r>
              <w:rPr>
                <w:rFonts w:ascii="Arial" w:cs="Arial" w:eastAsia="Arial" w:hAnsi="Arial"/>
                <w:sz w:val="15"/>
                <w:szCs w:val="15"/>
                <w:color w:val="auto"/>
              </w:rPr>
              <w:t>Long-term borrowings</w:t>
            </w: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39,240</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40,633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42,872</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Borders>
              <w:bottom w:val="single" w:sz="8" w:color="CFF0FC"/>
            </w:tcBorders>
            <w:gridSpan w:val="2"/>
            <w:shd w:val="clear" w:color="auto" w:fill="CFF0FC"/>
          </w:tcPr>
          <w:p>
            <w:pPr>
              <w:spacing w:after="0" w:line="162" w:lineRule="exact"/>
              <w:rPr>
                <w:sz w:val="20"/>
                <w:szCs w:val="20"/>
                <w:color w:val="auto"/>
              </w:rPr>
            </w:pPr>
            <w:r>
              <w:rPr>
                <w:rFonts w:ascii="Arial" w:cs="Arial" w:eastAsia="Arial" w:hAnsi="Arial"/>
                <w:sz w:val="15"/>
                <w:szCs w:val="15"/>
                <w:color w:val="auto"/>
              </w:rPr>
              <w:t>Other liabilities</w:t>
            </w: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515</w:t>
            </w:r>
          </w:p>
        </w:tc>
        <w:tc>
          <w:tcPr>
            <w:tcW w:w="1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576</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634</w:t>
            </w: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45,625</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48,361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534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Commitments and contingencies</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Equity</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5340" w:type="dxa"/>
            <w:vAlign w:val="bottom"/>
            <w:gridSpan w:val="2"/>
            <w:shd w:val="clear" w:color="auto" w:fill="CFF0FC"/>
          </w:tcPr>
          <w:p>
            <w:pPr>
              <w:spacing w:after="0" w:line="145" w:lineRule="exact"/>
              <w:rPr>
                <w:sz w:val="20"/>
                <w:szCs w:val="20"/>
                <w:color w:val="auto"/>
              </w:rPr>
            </w:pPr>
            <w:r>
              <w:rPr>
                <w:rFonts w:ascii="Arial" w:cs="Arial" w:eastAsia="Arial" w:hAnsi="Arial"/>
                <w:sz w:val="15"/>
                <w:szCs w:val="15"/>
                <w:color w:val="auto"/>
              </w:rPr>
              <w:t>Series A Junior Participating Preferred Stock, par value $0.20 per share;</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shd w:val="clear" w:color="auto" w:fill="CFF0FC"/>
          </w:tcPr>
          <w:p>
            <w:pPr>
              <w:ind w:left="140"/>
              <w:spacing w:after="0" w:line="162" w:lineRule="exact"/>
              <w:rPr>
                <w:sz w:val="20"/>
                <w:szCs w:val="20"/>
                <w:color w:val="auto"/>
              </w:rPr>
            </w:pPr>
            <w:r>
              <w:rPr>
                <w:rFonts w:ascii="Arial" w:cs="Arial" w:eastAsia="Arial" w:hAnsi="Arial"/>
                <w:sz w:val="15"/>
                <w:szCs w:val="15"/>
                <w:color w:val="auto"/>
              </w:rPr>
              <w:t>2 million shares authorized at December 31, 2021; no shares issued</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34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or outstanding</w:t>
            </w: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9"/>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5340" w:type="dxa"/>
            <w:vAlign w:val="bottom"/>
            <w:gridSpan w:val="2"/>
          </w:tcPr>
          <w:p>
            <w:pPr>
              <w:spacing w:after="0" w:line="145" w:lineRule="exact"/>
              <w:rPr>
                <w:sz w:val="20"/>
                <w:szCs w:val="20"/>
                <w:color w:val="auto"/>
              </w:rPr>
            </w:pPr>
            <w:r>
              <w:rPr>
                <w:rFonts w:ascii="Arial" w:cs="Arial" w:eastAsia="Arial" w:hAnsi="Arial"/>
                <w:sz w:val="15"/>
                <w:szCs w:val="15"/>
                <w:color w:val="auto"/>
              </w:rPr>
              <w:t>Common stock, par value $0.01 per share; 1.125 billion shares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authorized: 468 million, 467 million and 467 million shares,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340" w:type="dxa"/>
            <w:vAlign w:val="bottom"/>
            <w:gridSpan w:val="2"/>
          </w:tcPr>
          <w:p>
            <w:pPr>
              <w:ind w:left="140"/>
              <w:spacing w:after="0"/>
              <w:rPr>
                <w:sz w:val="20"/>
                <w:szCs w:val="20"/>
                <w:color w:val="auto"/>
              </w:rPr>
            </w:pPr>
            <w:r>
              <w:rPr>
                <w:rFonts w:ascii="Arial" w:cs="Arial" w:eastAsia="Arial" w:hAnsi="Arial"/>
                <w:sz w:val="15"/>
                <w:szCs w:val="15"/>
                <w:color w:val="auto"/>
              </w:rPr>
              <w:t>respectively, issued</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3,407</w:t>
            </w: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3,403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3,390</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gridSpan w:val="2"/>
          </w:tcPr>
          <w:p>
            <w:pPr>
              <w:spacing w:after="0" w:line="162" w:lineRule="exact"/>
              <w:rPr>
                <w:sz w:val="20"/>
                <w:szCs w:val="20"/>
                <w:color w:val="auto"/>
              </w:rPr>
            </w:pPr>
            <w:r>
              <w:rPr>
                <w:rFonts w:ascii="Arial" w:cs="Arial" w:eastAsia="Arial" w:hAnsi="Arial"/>
                <w:sz w:val="15"/>
                <w:szCs w:val="15"/>
                <w:color w:val="auto"/>
              </w:rPr>
              <w:t>Accumulated other comprehensive income, net of tax</w:t>
            </w:r>
          </w:p>
        </w:tc>
        <w:tc>
          <w:tcPr>
            <w:tcW w:w="1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5</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5340" w:type="dxa"/>
            <w:vAlign w:val="bottom"/>
            <w:tcBorders>
              <w:bottom w:val="single" w:sz="8" w:color="CFF0FC"/>
            </w:tcBorders>
            <w:gridSpan w:val="2"/>
            <w:shd w:val="clear" w:color="auto" w:fill="CFF0FC"/>
          </w:tcPr>
          <w:p>
            <w:pPr>
              <w:spacing w:after="0" w:line="162" w:lineRule="exact"/>
              <w:rPr>
                <w:sz w:val="20"/>
                <w:szCs w:val="20"/>
                <w:color w:val="auto"/>
              </w:rPr>
            </w:pPr>
            <w:r>
              <w:rPr>
                <w:rFonts w:ascii="Arial" w:cs="Arial" w:eastAsia="Arial" w:hAnsi="Arial"/>
                <w:sz w:val="15"/>
                <w:szCs w:val="15"/>
                <w:color w:val="auto"/>
              </w:rPr>
              <w:t>Retained earnings</w:t>
            </w: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4,552</w:t>
            </w:r>
          </w:p>
        </w:tc>
        <w:tc>
          <w:tcPr>
            <w:tcW w:w="1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4,552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4,677</w:t>
            </w: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5340" w:type="dxa"/>
            <w:vAlign w:val="bottom"/>
            <w:gridSpan w:val="2"/>
          </w:tcPr>
          <w:p>
            <w:pPr>
              <w:spacing w:after="0" w:line="156" w:lineRule="exact"/>
              <w:rPr>
                <w:sz w:val="20"/>
                <w:szCs w:val="20"/>
                <w:color w:val="auto"/>
              </w:rPr>
            </w:pPr>
            <w:r>
              <w:rPr>
                <w:rFonts w:ascii="Arial" w:cs="Arial" w:eastAsia="Arial" w:hAnsi="Arial"/>
                <w:sz w:val="15"/>
                <w:szCs w:val="15"/>
                <w:color w:val="auto"/>
              </w:rPr>
              <w:t>Total stockholders’ equity before treasury stock</w:t>
            </w:r>
          </w:p>
        </w:tc>
        <w:tc>
          <w:tcPr>
            <w:tcW w:w="12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5"/>
                <w:szCs w:val="15"/>
                <w:color w:val="auto"/>
              </w:rPr>
              <w:t>7,968</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7,961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Arial" w:cs="Arial" w:eastAsia="Arial" w:hAnsi="Arial"/>
                <w:sz w:val="15"/>
                <w:szCs w:val="15"/>
                <w:color w:val="auto"/>
              </w:rPr>
              <w:t>8,073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5340" w:type="dxa"/>
            <w:vAlign w:val="bottom"/>
            <w:gridSpan w:val="2"/>
            <w:shd w:val="clear" w:color="auto" w:fill="CFF0FC"/>
          </w:tcPr>
          <w:p>
            <w:pPr>
              <w:spacing w:after="0" w:line="145" w:lineRule="exact"/>
              <w:rPr>
                <w:sz w:val="20"/>
                <w:szCs w:val="20"/>
                <w:color w:val="auto"/>
              </w:rPr>
            </w:pPr>
            <w:r>
              <w:rPr>
                <w:rFonts w:ascii="Arial" w:cs="Arial" w:eastAsia="Arial" w:hAnsi="Arial"/>
                <w:sz w:val="15"/>
                <w:szCs w:val="15"/>
                <w:color w:val="auto"/>
              </w:rPr>
              <w:t>Less: Common stock held in treasury at cost: 374 million,</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5"/>
                <w:szCs w:val="15"/>
                <w:color w:val="auto"/>
              </w:rPr>
              <w:t>(5,562)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5"/>
                <w:szCs w:val="15"/>
                <w:color w:val="auto"/>
              </w:rPr>
              <w:t>(5,484)</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5340" w:type="dxa"/>
            <w:vAlign w:val="bottom"/>
            <w:gridSpan w:val="2"/>
            <w:shd w:val="clear" w:color="auto" w:fill="CFF0FC"/>
          </w:tcPr>
          <w:p>
            <w:pPr>
              <w:ind w:left="140"/>
              <w:spacing w:after="0" w:line="166" w:lineRule="exact"/>
              <w:rPr>
                <w:sz w:val="20"/>
                <w:szCs w:val="20"/>
                <w:color w:val="auto"/>
              </w:rPr>
            </w:pPr>
            <w:r>
              <w:rPr>
                <w:rFonts w:ascii="Arial" w:cs="Arial" w:eastAsia="Arial" w:hAnsi="Arial"/>
                <w:sz w:val="15"/>
                <w:szCs w:val="15"/>
                <w:color w:val="auto"/>
              </w:rPr>
              <w:t>371 million and 365 million shares, respectively</w:t>
            </w: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20"/>
              <w:spacing w:after="0" w:line="166" w:lineRule="exact"/>
              <w:rPr>
                <w:sz w:val="20"/>
                <w:szCs w:val="20"/>
                <w:color w:val="auto"/>
              </w:rPr>
            </w:pPr>
            <w:r>
              <w:rPr>
                <w:rFonts w:ascii="Arial" w:cs="Arial" w:eastAsia="Arial" w:hAnsi="Arial"/>
                <w:sz w:val="15"/>
                <w:szCs w:val="15"/>
                <w:color w:val="auto"/>
              </w:rPr>
              <w:t>(5,589)</w:t>
            </w:r>
          </w:p>
        </w:tc>
        <w:tc>
          <w:tcPr>
            <w:tcW w:w="48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340" w:type="dxa"/>
            <w:vAlign w:val="bottom"/>
            <w:tcBorders>
              <w:top w:val="single" w:sz="8" w:color="CFF0FC"/>
            </w:tcBorders>
            <w:gridSpan w:val="2"/>
          </w:tcPr>
          <w:p>
            <w:pPr>
              <w:spacing w:after="0" w:line="149" w:lineRule="exact"/>
              <w:rPr>
                <w:sz w:val="20"/>
                <w:szCs w:val="20"/>
                <w:color w:val="auto"/>
              </w:rPr>
            </w:pPr>
            <w:r>
              <w:rPr>
                <w:rFonts w:ascii="Arial" w:cs="Arial" w:eastAsia="Arial" w:hAnsi="Arial"/>
                <w:sz w:val="15"/>
                <w:szCs w:val="15"/>
                <w:color w:val="auto"/>
              </w:rPr>
              <w:t>Total equity</w:t>
            </w:r>
          </w:p>
        </w:tc>
        <w:tc>
          <w:tcPr>
            <w:tcW w:w="1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2,379</w:t>
            </w:r>
          </w:p>
        </w:tc>
        <w:tc>
          <w:tcPr>
            <w:tcW w:w="180" w:type="dxa"/>
            <w:vAlign w:val="bottom"/>
            <w:tcBorders>
              <w:top w:val="single" w:sz="8" w:color="CFF0FC"/>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2,399</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2,589</w:t>
            </w:r>
          </w:p>
        </w:tc>
        <w:tc>
          <w:tcPr>
            <w:tcW w:w="100" w:type="dxa"/>
            <w:vAlign w:val="bottom"/>
            <w:tcBorders>
              <w:top w:val="single" w:sz="8" w:color="CFF0FC"/>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534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color w:val="auto"/>
              </w:rPr>
              <w:t>Total liabilities and equity</w:t>
            </w: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w:t>
            </w:r>
          </w:p>
        </w:tc>
        <w:tc>
          <w:tcPr>
            <w:tcW w:w="11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48,004</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48,681</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50,950</w:t>
            </w: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3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gridSpan w:val="2"/>
          </w:tcPr>
          <w:p>
            <w:pPr>
              <w:jc w:val="right"/>
              <w:ind w:right="660"/>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752"/>
        </w:trPr>
        <w:tc>
          <w:tcPr>
            <w:tcW w:w="6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-3034030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-3016885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-3034030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-3016885</wp:posOffset>
            </wp:positionV>
            <wp:extent cx="59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-3034030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-3016885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-2596515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-2596515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-2596515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-1319530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-1319530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-1319530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-1010920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-1010920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-1015365</wp:posOffset>
            </wp:positionV>
            <wp:extent cx="85725"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-779145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-762635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-779145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-762635</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-779145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-762635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394" w:right="439" w:bottom="1440" w:gutter="0" w:footer="0" w:header="0"/>
        </w:sectPr>
      </w:pPr>
    </w:p>
    <w:bookmarkStart w:id="12" w:name="page13"/>
    <w:bookmarkEnd w:id="12"/>
    <w:p>
      <w:pPr>
        <w:ind w:left="14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722630</wp:posOffset>
            </wp:positionH>
            <wp:positionV relativeFrom="page">
              <wp:posOffset>637540</wp:posOffset>
            </wp:positionV>
            <wp:extent cx="6103620"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03620" cy="257175"/>
                    </a:xfrm>
                    <a:prstGeom prst="rect">
                      <a:avLst/>
                    </a:prstGeom>
                    <a:noFill/>
                  </pic:spPr>
                </pic:pic>
              </a:graphicData>
            </a:graphic>
          </wp:anchor>
        </w:drawing>
        <w:t>GAAP COMPARISON OF 2026 RESULTS WITH 2025</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2026 Compared with Three Months Ended March 31, 2025</w:t>
      </w:r>
    </w:p>
    <w:p>
      <w:pPr>
        <w:spacing w:after="0" w:line="11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For the three months ended March 31, 2026, net income was $17 million, or $0.17 diluted earnings per common share, compared with net loss of $2 million, or $0.02 diluted loss per common share, for the year-ago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primary contributors to the change in net income are as follows:</w:t>
      </w:r>
    </w:p>
    <w:p>
      <w:pPr>
        <w:spacing w:after="0" w:line="59" w:lineRule="exact"/>
        <w:rPr>
          <w:sz w:val="20"/>
          <w:szCs w:val="20"/>
          <w:color w:val="auto"/>
        </w:rPr>
      </w:pPr>
    </w:p>
    <w:p>
      <w:pPr>
        <w:ind w:left="620" w:hanging="227"/>
        <w:spacing w:after="0" w:line="259"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interest income increased by $1 million primarily due to an increase in mark-to-market gains on fair value hedges recorded in interest expense. This was partially offset by the paydown of the FFELP portfolio, the Private Education Loan portfolio's changing product mix with Refinance Loans increasing as a percentage of the portfolio, and the impact of decreasing interest rates on the different index resets for the Private Education Loans and related funding.</w:t>
      </w:r>
    </w:p>
    <w:p>
      <w:pPr>
        <w:spacing w:after="0" w:line="15" w:lineRule="exact"/>
        <w:rPr>
          <w:rFonts w:ascii="Arial" w:cs="Arial" w:eastAsia="Arial" w:hAnsi="Arial"/>
          <w:sz w:val="16"/>
          <w:szCs w:val="16"/>
          <w:color w:val="auto"/>
        </w:rPr>
      </w:pPr>
    </w:p>
    <w:p>
      <w:pPr>
        <w:ind w:left="760" w:hanging="367"/>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Provisions for loan losses decreased $3 million from $30 million to $27 million:</w:t>
      </w:r>
    </w:p>
    <w:p>
      <w:pPr>
        <w:spacing w:after="0" w:line="59" w:lineRule="exact"/>
        <w:rPr>
          <w:rFonts w:ascii="Arial" w:cs="Arial" w:eastAsia="Arial" w:hAnsi="Arial"/>
          <w:sz w:val="16"/>
          <w:szCs w:val="16"/>
          <w:color w:val="auto"/>
        </w:rPr>
      </w:pPr>
    </w:p>
    <w:p>
      <w:pPr>
        <w:ind w:left="1280" w:hanging="369"/>
        <w:spacing w:after="0"/>
        <w:tabs>
          <w:tab w:leader="none" w:pos="12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provision for Private Education Loan losses decreased $4 million from $22 million to $18 million.</w:t>
      </w:r>
    </w:p>
    <w:p>
      <w:pPr>
        <w:spacing w:after="0" w:line="59" w:lineRule="exact"/>
        <w:rPr>
          <w:rFonts w:ascii="Arial" w:cs="Arial" w:eastAsia="Arial" w:hAnsi="Arial"/>
          <w:sz w:val="16"/>
          <w:szCs w:val="16"/>
          <w:color w:val="auto"/>
        </w:rPr>
      </w:pPr>
    </w:p>
    <w:p>
      <w:pPr>
        <w:ind w:left="1280" w:hanging="369"/>
        <w:spacing w:after="0"/>
        <w:tabs>
          <w:tab w:leader="none" w:pos="12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provision for FFELP Loan losses increased $1 million from $8 million to $9 million.</w:t>
      </w:r>
    </w:p>
    <w:p>
      <w:pPr>
        <w:spacing w:after="0" w:line="59" w:lineRule="exact"/>
        <w:rPr>
          <w:sz w:val="20"/>
          <w:szCs w:val="20"/>
          <w:color w:val="auto"/>
        </w:rPr>
      </w:pPr>
    </w:p>
    <w:p>
      <w:pPr>
        <w:jc w:val="both"/>
        <w:ind w:left="620" w:right="140"/>
        <w:spacing w:after="0" w:line="266" w:lineRule="auto"/>
        <w:rPr>
          <w:sz w:val="20"/>
          <w:szCs w:val="20"/>
          <w:color w:val="auto"/>
        </w:rPr>
      </w:pPr>
      <w:r>
        <w:rPr>
          <w:rFonts w:ascii="Arial" w:cs="Arial" w:eastAsia="Arial" w:hAnsi="Arial"/>
          <w:sz w:val="16"/>
          <w:szCs w:val="16"/>
          <w:color w:val="auto"/>
        </w:rPr>
        <w:t>The provision for Private Education Loan losses of $18 million in the current period included $11 million associated with loan originations. The provision of $22 million in the year-ago quarter included $7 million associated with loan originations and $15 million related to a general reserve build (primarily as a result of an increase in delinquency balances).</w:t>
      </w:r>
    </w:p>
    <w:p>
      <w:pPr>
        <w:spacing w:after="0" w:line="63" w:lineRule="exact"/>
        <w:rPr>
          <w:sz w:val="20"/>
          <w:szCs w:val="20"/>
          <w:color w:val="auto"/>
        </w:rPr>
      </w:pPr>
    </w:p>
    <w:p>
      <w:pPr>
        <w:ind w:left="620" w:right="60"/>
        <w:spacing w:after="0" w:line="266" w:lineRule="auto"/>
        <w:rPr>
          <w:sz w:val="20"/>
          <w:szCs w:val="20"/>
          <w:color w:val="auto"/>
        </w:rPr>
      </w:pPr>
      <w:r>
        <w:rPr>
          <w:rFonts w:ascii="Arial" w:cs="Arial" w:eastAsia="Arial" w:hAnsi="Arial"/>
          <w:sz w:val="16"/>
          <w:szCs w:val="16"/>
          <w:color w:val="auto"/>
        </w:rPr>
        <w:t>The provision for FFELP Loan losses of $9 million in the current period was primarily the result of increased charge-offs due to prior disaster forbearance volume, as well as the continued extension of the portfolio. The provision of $8 million in the year-ago quarter was primarily the result of an increase in delinquency balances.</w:t>
      </w:r>
    </w:p>
    <w:p>
      <w:pPr>
        <w:spacing w:after="0" w:line="9" w:lineRule="exact"/>
        <w:rPr>
          <w:sz w:val="20"/>
          <w:szCs w:val="20"/>
          <w:color w:val="auto"/>
        </w:rPr>
      </w:pPr>
    </w:p>
    <w:p>
      <w:pPr>
        <w:ind w:left="620" w:right="240" w:hanging="227"/>
        <w:spacing w:after="0" w:line="266"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Asset recovery and business processing revenue decreased $23 million as a result of the sale of our government services business in February 2025. With the sale of our government services business, Navient no longer provides business processing segment services.</w:t>
      </w:r>
    </w:p>
    <w:p>
      <w:pPr>
        <w:spacing w:after="0" w:line="9" w:lineRule="exact"/>
        <w:rPr>
          <w:rFonts w:ascii="Arial" w:cs="Arial" w:eastAsia="Arial" w:hAnsi="Arial"/>
          <w:sz w:val="16"/>
          <w:szCs w:val="16"/>
          <w:color w:val="auto"/>
        </w:rPr>
      </w:pPr>
    </w:p>
    <w:p>
      <w:pPr>
        <w:jc w:val="both"/>
        <w:ind w:left="620" w:right="100" w:hanging="227"/>
        <w:spacing w:after="0" w:line="266" w:lineRule="auto"/>
        <w:tabs>
          <w:tab w:leader="none" w:pos="5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income decreased $10 million primarily related to the transition services we had provided related to our various strategic initiatives. The transition services related to the outsourcing of loan servicing and the sale of our healthcare services business ended in May 2025. The transition services related to the sale of our government services business ended in October 2025.</w:t>
      </w:r>
    </w:p>
    <w:p>
      <w:pPr>
        <w:spacing w:after="0" w:line="9" w:lineRule="exact"/>
        <w:rPr>
          <w:rFonts w:ascii="Arial" w:cs="Arial" w:eastAsia="Arial" w:hAnsi="Arial"/>
          <w:sz w:val="16"/>
          <w:szCs w:val="16"/>
          <w:color w:val="auto"/>
        </w:rPr>
      </w:pPr>
    </w:p>
    <w:p>
      <w:pPr>
        <w:ind w:left="620" w:right="200" w:hanging="227"/>
        <w:spacing w:after="0" w:line="266"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gains on derivative and hedging activities increased $30 million due primarily to interest rate fluctuations. Valuations of derivative instruments fluctuate based upon many factors including changes in interest rates and other market factors. As a result, net gains and losses on derivative and hedging activities may vary significantly in future periods.</w:t>
      </w:r>
    </w:p>
    <w:p>
      <w:pPr>
        <w:spacing w:after="0" w:line="9" w:lineRule="exact"/>
        <w:rPr>
          <w:rFonts w:ascii="Arial" w:cs="Arial" w:eastAsia="Arial" w:hAnsi="Arial"/>
          <w:sz w:val="16"/>
          <w:szCs w:val="16"/>
          <w:color w:val="auto"/>
        </w:rPr>
      </w:pPr>
    </w:p>
    <w:p>
      <w:pPr>
        <w:ind w:left="620" w:right="40" w:hanging="227"/>
        <w:spacing w:after="0" w:line="252"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Operating expenses decreased $38 million, $23 million of which was due to a decline in business processing expenses as a result of the sale of our government services business in February 2025 ($20 million of the reduction is in the Business Processing segment and $3 million of the reduction is in the Other segment). In addition, there was an $11 million decline in expenses in connection with providing transition services related to our various strategic initiatives. As of October 2025 we had no further obligations to provide these transition services. There was a $7 million increase in marketing and other expenses associated with the growth of our consumer lending businesses. The remaining $11 million decrease primarily relates to cost saving initiatives implemented, which have reduced our operating costs mostly in connection with our shared service functions and corporate footprint.</w:t>
      </w:r>
    </w:p>
    <w:p>
      <w:pPr>
        <w:spacing w:after="0" w:line="20" w:lineRule="exact"/>
        <w:rPr>
          <w:rFonts w:ascii="Arial" w:cs="Arial" w:eastAsia="Arial" w:hAnsi="Arial"/>
          <w:sz w:val="16"/>
          <w:szCs w:val="16"/>
          <w:color w:val="auto"/>
        </w:rPr>
      </w:pPr>
    </w:p>
    <w:p>
      <w:pPr>
        <w:ind w:left="620" w:hanging="227"/>
        <w:spacing w:after="0" w:line="266"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Restructuring and other reorganization expenses decreased $3 million primarily due to a decrease in severance-related costs incurred in connection with the various strategic initiatives that have been and continue to be implemented to simplify the company, continue to reduce our expense base and enhance our flexibility.</w:t>
      </w:r>
    </w:p>
    <w:p>
      <w:pPr>
        <w:spacing w:after="0" w:line="9" w:lineRule="exact"/>
        <w:rPr>
          <w:rFonts w:ascii="Arial" w:cs="Arial" w:eastAsia="Arial" w:hAnsi="Arial"/>
          <w:sz w:val="16"/>
          <w:szCs w:val="16"/>
          <w:color w:val="auto"/>
        </w:rPr>
      </w:pPr>
    </w:p>
    <w:p>
      <w:pPr>
        <w:ind w:left="620" w:right="200" w:hanging="227"/>
        <w:spacing w:after="0" w:line="266"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effective income tax rates for the current and year-ago periods were 48% and 54%, respectively. The effective income tax rates were elevated in both periods primarily due to changes in the valuation allowances attributed to disallowed interest expense and operating loss carryovers.</w:t>
      </w:r>
    </w:p>
    <w:p>
      <w:pPr>
        <w:spacing w:after="0" w:line="252" w:lineRule="exact"/>
        <w:rPr>
          <w:sz w:val="20"/>
          <w:szCs w:val="20"/>
          <w:color w:val="auto"/>
        </w:rPr>
      </w:pPr>
    </w:p>
    <w:p>
      <w:pPr>
        <w:ind w:right="1140"/>
        <w:spacing w:after="0" w:line="266" w:lineRule="auto"/>
        <w:rPr>
          <w:sz w:val="20"/>
          <w:szCs w:val="20"/>
          <w:color w:val="auto"/>
        </w:rPr>
      </w:pPr>
      <w:r>
        <w:rPr>
          <w:rFonts w:ascii="Arial" w:cs="Arial" w:eastAsia="Arial" w:hAnsi="Arial"/>
          <w:sz w:val="16"/>
          <w:szCs w:val="16"/>
          <w:color w:val="auto"/>
        </w:rPr>
        <w:t>We repurchased 2.3 million and 2.6 million shares of our common stock during the first quarters of 2026 and 2025, respectively. As a result of repurchases, our average outstanding diluted shares decreased by 6 million common shares (or 6%) from the year-ago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7" w:right="1099" w:bottom="1440" w:gutter="0" w:footer="0" w:header="0"/>
        </w:sectPr>
      </w:pPr>
    </w:p>
    <w:bookmarkStart w:id="13" w:name="page14"/>
    <w:bookmarkEnd w:id="13"/>
    <w:p>
      <w:pPr>
        <w:ind w:left="1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774700</wp:posOffset>
            </wp:positionV>
            <wp:extent cx="6172200"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72200" cy="205740"/>
                    </a:xfrm>
                    <a:prstGeom prst="rect">
                      <a:avLst/>
                    </a:prstGeom>
                    <a:noFill/>
                  </pic:spPr>
                </pic:pic>
              </a:graphicData>
            </a:graphic>
          </wp:anchor>
        </w:drawing>
        <w:t>PRIVATE EDUCATION LOANS PORTFOLIO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Education Loan Delinquencies and Forbearance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left="309"/>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left="129"/>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6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740" w:type="dxa"/>
            <w:vAlign w:val="bottom"/>
            <w:vMerge w:val="restart"/>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rPr>
              <w:t>2026</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2025</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3"/>
                <w:szCs w:val="13"/>
                <w:b w:val="1"/>
                <w:bCs w:val="1"/>
                <w:color w:val="auto"/>
              </w:rPr>
              <w:t>Balance</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3"/>
                <w:szCs w:val="13"/>
                <w:b w:val="1"/>
                <w:bCs w:val="1"/>
                <w:color w:val="auto"/>
              </w:rPr>
              <w:t>Balance</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3"/>
                <w:szCs w:val="13"/>
                <w:b w:val="1"/>
                <w:bCs w:val="1"/>
                <w:color w:val="auto"/>
              </w:rPr>
              <w:t>Balance</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Loans in-school/grace/deferment</w:t>
            </w:r>
            <w:r>
              <w:rPr>
                <w:rFonts w:ascii="Arial" w:cs="Arial" w:eastAsia="Arial" w:hAnsi="Arial"/>
                <w:sz w:val="18"/>
                <w:szCs w:val="18"/>
                <w:color w:val="auto"/>
                <w:vertAlign w:val="superscript"/>
              </w:rPr>
              <w:t>(1)</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393</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395</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384</w:t>
            </w: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line="162" w:lineRule="exact"/>
              <w:rPr>
                <w:sz w:val="20"/>
                <w:szCs w:val="20"/>
                <w:color w:val="auto"/>
              </w:rPr>
            </w:pPr>
            <w:r>
              <w:rPr>
                <w:rFonts w:ascii="Arial" w:cs="Arial" w:eastAsia="Arial" w:hAnsi="Arial"/>
                <w:sz w:val="14"/>
                <w:szCs w:val="14"/>
                <w:color w:val="auto"/>
              </w:rPr>
              <w:t>Loans in forbearance</w:t>
            </w:r>
            <w:r>
              <w:rPr>
                <w:rFonts w:ascii="Arial" w:cs="Arial" w:eastAsia="Arial" w:hAnsi="Arial"/>
                <w:sz w:val="18"/>
                <w:szCs w:val="18"/>
                <w:color w:val="auto"/>
                <w:vertAlign w:val="superscript"/>
              </w:rPr>
              <w:t>(2)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00" w:type="dxa"/>
            <w:vAlign w:val="bottom"/>
            <w:gridSpan w:val="2"/>
            <w:shd w:val="clear" w:color="auto" w:fill="CFF0FC"/>
          </w:tcPr>
          <w:p>
            <w:pPr>
              <w:spacing w:after="0" w:line="153" w:lineRule="exact"/>
              <w:rPr>
                <w:sz w:val="20"/>
                <w:szCs w:val="20"/>
                <w:color w:val="auto"/>
              </w:rPr>
            </w:pPr>
            <w:r>
              <w:rPr>
                <w:rFonts w:ascii="Arial" w:cs="Arial" w:eastAsia="Arial" w:hAnsi="Arial"/>
                <w:sz w:val="14"/>
                <w:szCs w:val="14"/>
                <w:color w:val="auto"/>
              </w:rPr>
              <w:t>Loans in repayment and percentage</w:t>
            </w: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of each status:</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ind w:left="100"/>
              <w:spacing w:after="0"/>
              <w:rPr>
                <w:sz w:val="20"/>
                <w:szCs w:val="20"/>
                <w:color w:val="auto"/>
              </w:rPr>
            </w:pPr>
            <w:r>
              <w:rPr>
                <w:rFonts w:ascii="Arial" w:cs="Arial" w:eastAsia="Arial" w:hAnsi="Arial"/>
                <w:sz w:val="14"/>
                <w:szCs w:val="14"/>
                <w:color w:val="auto"/>
              </w:rPr>
              <w:t>Loans current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14,489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14,230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14,440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FF0FC"/>
          </w:tcPr>
          <w:p>
            <w:pPr>
              <w:ind w:left="100"/>
              <w:spacing w:after="0" w:line="162" w:lineRule="exact"/>
              <w:rPr>
                <w:sz w:val="20"/>
                <w:szCs w:val="20"/>
                <w:color w:val="auto"/>
              </w:rPr>
            </w:pPr>
            <w:r>
              <w:rPr>
                <w:rFonts w:ascii="Arial" w:cs="Arial" w:eastAsia="Arial" w:hAnsi="Arial"/>
                <w:sz w:val="14"/>
                <w:szCs w:val="14"/>
                <w:color w:val="auto"/>
              </w:rPr>
              <w:t>Loans delinquent 31-60 days</w:t>
            </w:r>
            <w:r>
              <w:rPr>
                <w:rFonts w:ascii="Arial" w:cs="Arial" w:eastAsia="Arial" w:hAnsi="Arial"/>
                <w:sz w:val="18"/>
                <w:szCs w:val="18"/>
                <w:color w:val="auto"/>
                <w:vertAlign w:val="superscript"/>
              </w:rPr>
              <w:t>(3)</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ind w:left="100"/>
              <w:spacing w:after="0" w:line="162" w:lineRule="exact"/>
              <w:rPr>
                <w:sz w:val="20"/>
                <w:szCs w:val="20"/>
                <w:color w:val="auto"/>
              </w:rPr>
            </w:pPr>
            <w:r>
              <w:rPr>
                <w:rFonts w:ascii="Arial" w:cs="Arial" w:eastAsia="Arial" w:hAnsi="Arial"/>
                <w:sz w:val="14"/>
                <w:szCs w:val="14"/>
                <w:color w:val="auto"/>
              </w:rPr>
              <w:t>Loans delinquent 61-90 days</w:t>
            </w:r>
            <w:r>
              <w:rPr>
                <w:rFonts w:ascii="Arial" w:cs="Arial" w:eastAsia="Arial" w:hAnsi="Arial"/>
                <w:sz w:val="18"/>
                <w:szCs w:val="18"/>
                <w:color w:val="auto"/>
                <w:vertAlign w:val="superscript"/>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4"/>
                <w:szCs w:val="14"/>
                <w:color w:val="auto"/>
              </w:rPr>
              <w:t>Loans delinquent greater than</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00" w:type="dxa"/>
            <w:vAlign w:val="bottom"/>
            <w:tcBorders>
              <w:bottom w:val="single" w:sz="8" w:color="CFF0FC"/>
            </w:tcBorders>
            <w:gridSpan w:val="2"/>
            <w:shd w:val="clear" w:color="auto" w:fill="CFF0FC"/>
          </w:tcPr>
          <w:p>
            <w:pPr>
              <w:ind w:left="260"/>
              <w:spacing w:after="0" w:line="175" w:lineRule="exact"/>
              <w:rPr>
                <w:sz w:val="20"/>
                <w:szCs w:val="20"/>
                <w:color w:val="auto"/>
              </w:rPr>
            </w:pPr>
            <w:r>
              <w:rPr>
                <w:rFonts w:ascii="Arial" w:cs="Arial" w:eastAsia="Arial" w:hAnsi="Arial"/>
                <w:sz w:val="14"/>
                <w:szCs w:val="14"/>
                <w:color w:val="auto"/>
              </w:rPr>
              <w:t>90 days</w:t>
            </w:r>
            <w:r>
              <w:rPr>
                <w:rFonts w:ascii="Arial" w:cs="Arial" w:eastAsia="Arial" w:hAnsi="Arial"/>
                <w:sz w:val="19"/>
                <w:szCs w:val="19"/>
                <w:color w:val="auto"/>
                <w:vertAlign w:val="superscript"/>
              </w:rPr>
              <w:t>(3)</w:t>
            </w:r>
          </w:p>
        </w:tc>
        <w:tc>
          <w:tcPr>
            <w:tcW w:w="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386</w:t>
            </w: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434</w:t>
            </w: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395</w:t>
            </w:r>
          </w:p>
        </w:tc>
        <w:tc>
          <w:tcPr>
            <w:tcW w:w="2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00" w:type="dxa"/>
            <w:vAlign w:val="bottom"/>
            <w:gridSpan w:val="2"/>
          </w:tcPr>
          <w:p>
            <w:pPr>
              <w:spacing w:after="0" w:line="147" w:lineRule="exact"/>
              <w:rPr>
                <w:sz w:val="20"/>
                <w:szCs w:val="20"/>
                <w:color w:val="auto"/>
              </w:rPr>
            </w:pPr>
            <w:r>
              <w:rPr>
                <w:rFonts w:ascii="Arial" w:cs="Arial" w:eastAsia="Arial" w:hAnsi="Arial"/>
                <w:sz w:val="14"/>
                <w:szCs w:val="14"/>
                <w:color w:val="auto"/>
              </w:rPr>
              <w:t>Total Private Education Loans in</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15,335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15,184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15,420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1"/>
        </w:trPr>
        <w:tc>
          <w:tcPr>
            <w:tcW w:w="4000" w:type="dxa"/>
            <w:vAlign w:val="bottom"/>
            <w:gridSpan w:val="2"/>
          </w:tcPr>
          <w:p>
            <w:pPr>
              <w:ind w:left="120"/>
              <w:spacing w:after="0" w:line="125" w:lineRule="exact"/>
              <w:rPr>
                <w:sz w:val="20"/>
                <w:szCs w:val="20"/>
                <w:color w:val="auto"/>
              </w:rPr>
            </w:pPr>
            <w:r>
              <w:rPr>
                <w:rFonts w:ascii="Arial" w:cs="Arial" w:eastAsia="Arial" w:hAnsi="Arial"/>
                <w:sz w:val="14"/>
                <w:szCs w:val="14"/>
                <w:color w:val="auto"/>
              </w:rPr>
              <w:t>repayment</w:t>
            </w: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Total Private Education Loans, gross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15,963</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15,815</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16,087</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00" w:type="dxa"/>
            <w:vAlign w:val="bottom"/>
            <w:gridSpan w:val="2"/>
          </w:tcPr>
          <w:p>
            <w:pPr>
              <w:spacing w:after="0" w:line="153" w:lineRule="exact"/>
              <w:rPr>
                <w:sz w:val="20"/>
                <w:szCs w:val="20"/>
                <w:color w:val="auto"/>
              </w:rPr>
            </w:pPr>
            <w:r>
              <w:rPr>
                <w:rFonts w:ascii="Arial" w:cs="Arial" w:eastAsia="Arial" w:hAnsi="Arial"/>
                <w:sz w:val="14"/>
                <w:szCs w:val="14"/>
                <w:color w:val="auto"/>
              </w:rPr>
              <w:t>Private Education Loan allowance for</w:t>
            </w:r>
          </w:p>
        </w:tc>
        <w:tc>
          <w:tcPr>
            <w:tcW w:w="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(314)</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(364)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(397)</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gridSpan w:val="2"/>
          </w:tcPr>
          <w:p>
            <w:pPr>
              <w:ind w:left="120"/>
              <w:spacing w:after="0" w:line="158" w:lineRule="exact"/>
              <w:rPr>
                <w:sz w:val="20"/>
                <w:szCs w:val="20"/>
                <w:color w:val="auto"/>
              </w:rPr>
            </w:pPr>
            <w:r>
              <w:rPr>
                <w:rFonts w:ascii="Arial" w:cs="Arial" w:eastAsia="Arial" w:hAnsi="Arial"/>
                <w:sz w:val="14"/>
                <w:szCs w:val="14"/>
                <w:color w:val="auto"/>
              </w:rPr>
              <w:t>loan losses</w:t>
            </w: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Private Education Loans, net</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15,649</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15,451</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15,690</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000" w:type="dxa"/>
            <w:vAlign w:val="bottom"/>
            <w:gridSpan w:val="2"/>
          </w:tcPr>
          <w:p>
            <w:pPr>
              <w:spacing w:after="0" w:line="133" w:lineRule="exact"/>
              <w:rPr>
                <w:sz w:val="20"/>
                <w:szCs w:val="20"/>
                <w:color w:val="auto"/>
              </w:rPr>
            </w:pPr>
            <w:r>
              <w:rPr>
                <w:rFonts w:ascii="Arial" w:cs="Arial" w:eastAsia="Arial" w:hAnsi="Arial"/>
                <w:sz w:val="14"/>
                <w:szCs w:val="14"/>
                <w:color w:val="auto"/>
              </w:rPr>
              <w:t>Percentage of Private Education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131"/>
        </w:trPr>
        <w:tc>
          <w:tcPr>
            <w:tcW w:w="400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Loans in repayment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00" w:type="dxa"/>
            <w:vAlign w:val="bottom"/>
            <w:gridSpan w:val="2"/>
            <w:shd w:val="clear" w:color="auto" w:fill="CFF0FC"/>
          </w:tcPr>
          <w:p>
            <w:pPr>
              <w:spacing w:after="0" w:line="133" w:lineRule="exact"/>
              <w:rPr>
                <w:sz w:val="20"/>
                <w:szCs w:val="20"/>
                <w:color w:val="auto"/>
              </w:rPr>
            </w:pPr>
            <w:r>
              <w:rPr>
                <w:rFonts w:ascii="Arial" w:cs="Arial" w:eastAsia="Arial" w:hAnsi="Arial"/>
                <w:sz w:val="14"/>
                <w:szCs w:val="14"/>
                <w:color w:val="auto"/>
              </w:rPr>
              <w:t>Delinquencies as a percentage of</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Private Education Loans in</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1"/>
        </w:trPr>
        <w:tc>
          <w:tcPr>
            <w:tcW w:w="4000" w:type="dxa"/>
            <w:vAlign w:val="bottom"/>
            <w:gridSpan w:val="2"/>
            <w:shd w:val="clear" w:color="auto" w:fill="CFF0FC"/>
          </w:tcPr>
          <w:p>
            <w:pPr>
              <w:ind w:left="120"/>
              <w:spacing w:after="0" w:line="125" w:lineRule="exact"/>
              <w:rPr>
                <w:sz w:val="20"/>
                <w:szCs w:val="20"/>
                <w:color w:val="auto"/>
              </w:rPr>
            </w:pPr>
            <w:r>
              <w:rPr>
                <w:rFonts w:ascii="Arial" w:cs="Arial" w:eastAsia="Arial" w:hAnsi="Arial"/>
                <w:sz w:val="14"/>
                <w:szCs w:val="14"/>
                <w:color w:val="auto"/>
              </w:rPr>
              <w:t>repayment</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0" w:type="dxa"/>
            <w:vAlign w:val="bottom"/>
            <w:tcBorders>
              <w:top w:val="single" w:sz="8" w:color="CFF0FC"/>
            </w:tcBorders>
            <w:gridSpan w:val="2"/>
          </w:tcPr>
          <w:p>
            <w:pPr>
              <w:spacing w:after="0" w:line="133" w:lineRule="exact"/>
              <w:rPr>
                <w:sz w:val="20"/>
                <w:szCs w:val="20"/>
                <w:color w:val="auto"/>
              </w:rPr>
            </w:pPr>
            <w:r>
              <w:rPr>
                <w:rFonts w:ascii="Arial" w:cs="Arial" w:eastAsia="Arial" w:hAnsi="Arial"/>
                <w:sz w:val="14"/>
                <w:szCs w:val="14"/>
                <w:color w:val="auto"/>
              </w:rPr>
              <w:t>Loans in forbearance as a percentage</w:t>
            </w:r>
          </w:p>
        </w:tc>
        <w:tc>
          <w:tcPr>
            <w:tcW w:w="80" w:type="dxa"/>
            <w:vAlign w:val="bottom"/>
            <w:tcBorders>
              <w:top w:val="single" w:sz="8" w:color="CFF0FC"/>
            </w:tcBorders>
          </w:tcPr>
          <w:p>
            <w:pPr>
              <w:spacing w:after="0"/>
              <w:rPr>
                <w:sz w:val="11"/>
                <w:szCs w:val="11"/>
                <w:color w:val="auto"/>
              </w:rPr>
            </w:pPr>
          </w:p>
        </w:tc>
        <w:tc>
          <w:tcPr>
            <w:tcW w:w="64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2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2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ind w:left="80"/>
              <w:spacing w:after="0"/>
              <w:rPr>
                <w:sz w:val="20"/>
                <w:szCs w:val="20"/>
                <w:color w:val="auto"/>
              </w:rPr>
            </w:pPr>
            <w:r>
              <w:rPr>
                <w:rFonts w:ascii="Arial" w:cs="Arial" w:eastAsia="Arial" w:hAnsi="Arial"/>
                <w:sz w:val="14"/>
                <w:szCs w:val="14"/>
                <w:color w:val="auto"/>
              </w:rPr>
              <w:t>of loans in repayment and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1"/>
        </w:trPr>
        <w:tc>
          <w:tcPr>
            <w:tcW w:w="4000" w:type="dxa"/>
            <w:vAlign w:val="bottom"/>
            <w:gridSpan w:val="2"/>
          </w:tcPr>
          <w:p>
            <w:pPr>
              <w:ind w:left="120"/>
              <w:spacing w:after="0" w:line="125" w:lineRule="exact"/>
              <w:rPr>
                <w:sz w:val="20"/>
                <w:szCs w:val="20"/>
                <w:color w:val="auto"/>
              </w:rPr>
            </w:pPr>
            <w:r>
              <w:rPr>
                <w:rFonts w:ascii="Arial" w:cs="Arial" w:eastAsia="Arial" w:hAnsi="Arial"/>
                <w:sz w:val="14"/>
                <w:szCs w:val="14"/>
                <w:color w:val="auto"/>
              </w:rPr>
              <w:t>forbearance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00" w:type="dxa"/>
            <w:vAlign w:val="bottom"/>
            <w:gridSpan w:val="2"/>
            <w:shd w:val="clear" w:color="auto" w:fill="CFF0FC"/>
          </w:tcPr>
          <w:p>
            <w:pPr>
              <w:spacing w:after="0" w:line="116" w:lineRule="exact"/>
              <w:rPr>
                <w:sz w:val="20"/>
                <w:szCs w:val="20"/>
                <w:color w:val="auto"/>
              </w:rPr>
            </w:pPr>
            <w:r>
              <w:rPr>
                <w:rFonts w:ascii="Arial" w:cs="Arial" w:eastAsia="Arial" w:hAnsi="Arial"/>
                <w:sz w:val="13"/>
                <w:szCs w:val="13"/>
                <w:color w:val="auto"/>
              </w:rPr>
              <w:t>Percentage of Private Education</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8"/>
        </w:trPr>
        <w:tc>
          <w:tcPr>
            <w:tcW w:w="4000" w:type="dxa"/>
            <w:vAlign w:val="bottom"/>
            <w:gridSpan w:val="2"/>
            <w:shd w:val="clear" w:color="auto" w:fill="CFF0FC"/>
          </w:tcPr>
          <w:p>
            <w:pPr>
              <w:ind w:left="120"/>
              <w:spacing w:after="0" w:line="142" w:lineRule="exact"/>
              <w:rPr>
                <w:sz w:val="20"/>
                <w:szCs w:val="20"/>
                <w:color w:val="auto"/>
              </w:rPr>
            </w:pPr>
            <w:r>
              <w:rPr>
                <w:rFonts w:ascii="Arial" w:cs="Arial" w:eastAsia="Arial" w:hAnsi="Arial"/>
                <w:sz w:val="12"/>
                <w:szCs w:val="12"/>
                <w:color w:val="auto"/>
              </w:rPr>
              <w:t>Loans with a cosigner</w:t>
            </w:r>
            <w:r>
              <w:rPr>
                <w:rFonts w:ascii="Arial" w:cs="Arial" w:eastAsia="Arial" w:hAnsi="Arial"/>
                <w:sz w:val="16"/>
                <w:szCs w:val="16"/>
                <w:color w:val="auto"/>
                <w:vertAlign w:val="superscript"/>
              </w:rPr>
              <w:t>(4)</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-1679575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-1679575</wp:posOffset>
            </wp:positionV>
            <wp:extent cx="939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-1679575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-1679575</wp:posOffset>
            </wp:positionV>
            <wp:extent cx="939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-1679575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-1679575</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-1053465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-1036955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-1053465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-1036955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-1053465</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-1036955</wp:posOffset>
            </wp:positionV>
            <wp:extent cx="59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-539115</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-522605</wp:posOffset>
            </wp:positionV>
            <wp:extent cx="93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-539115</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-522605</wp:posOffset>
            </wp:positionV>
            <wp:extent cx="93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-539115</wp:posOffset>
            </wp:positionV>
            <wp:extent cx="93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-522605</wp:posOffset>
            </wp:positionV>
            <wp:extent cx="93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-24765</wp:posOffset>
            </wp:positionV>
            <wp:extent cx="939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-7620</wp:posOffset>
            </wp:positionV>
            <wp:extent cx="939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-24765</wp:posOffset>
            </wp:positionV>
            <wp:extent cx="93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-7620</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-24765</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-7620</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111125</wp:posOffset>
            </wp:positionV>
            <wp:extent cx="7372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7" w:lineRule="exact"/>
        <w:rPr>
          <w:sz w:val="20"/>
          <w:szCs w:val="20"/>
          <w:color w:val="auto"/>
        </w:rPr>
      </w:pPr>
    </w:p>
    <w:p>
      <w:pPr>
        <w:ind w:left="220" w:right="60" w:hanging="216"/>
        <w:spacing w:after="0" w:line="222" w:lineRule="auto"/>
        <w:tabs>
          <w:tab w:leader="none" w:pos="319"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Loans for customers who are attending school or are in other permitted educational activities and are not yet required to make payments on their loans, e.g., loans for customers who have requested and qualify for other permitted program deferments such as various military eligible deferments.</w:t>
      </w:r>
    </w:p>
    <w:p>
      <w:pPr>
        <w:spacing w:after="0" w:line="40" w:lineRule="exact"/>
        <w:rPr>
          <w:rFonts w:ascii="Arial" w:cs="Arial" w:eastAsia="Arial" w:hAnsi="Arial"/>
          <w:sz w:val="19"/>
          <w:szCs w:val="19"/>
          <w:color w:val="auto"/>
          <w:vertAlign w:val="superscript"/>
        </w:rPr>
      </w:pPr>
    </w:p>
    <w:p>
      <w:pPr>
        <w:ind w:left="220" w:hanging="216"/>
        <w:spacing w:after="0" w:line="222" w:lineRule="auto"/>
        <w:tabs>
          <w:tab w:leader="none" w:pos="319"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Loans for customers who have requested extension of grace period generally during employment transition or who have temporarily ceased making full payments due to hardship or other factors such as disaster relief consistent with established loan program servicing policies and procedures.</w:t>
      </w:r>
    </w:p>
    <w:p>
      <w:pPr>
        <w:spacing w:after="0" w:line="12" w:lineRule="exact"/>
        <w:rPr>
          <w:rFonts w:ascii="Arial" w:cs="Arial" w:eastAsia="Arial" w:hAnsi="Arial"/>
          <w:sz w:val="19"/>
          <w:szCs w:val="19"/>
          <w:color w:val="auto"/>
          <w:vertAlign w:val="superscript"/>
        </w:rPr>
      </w:pPr>
    </w:p>
    <w:p>
      <w:pPr>
        <w:ind w:left="320" w:hanging="316"/>
        <w:spacing w:after="0"/>
        <w:tabs>
          <w:tab w:leader="none" w:pos="3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period of delinquency is based on the number of days scheduled payments are contractually past due.</w:t>
      </w:r>
    </w:p>
    <w:p>
      <w:pPr>
        <w:spacing w:after="0" w:line="47" w:lineRule="exact"/>
        <w:rPr>
          <w:rFonts w:ascii="Arial" w:cs="Arial" w:eastAsia="Arial" w:hAnsi="Arial"/>
          <w:sz w:val="19"/>
          <w:szCs w:val="19"/>
          <w:color w:val="auto"/>
          <w:vertAlign w:val="superscript"/>
        </w:rPr>
      </w:pPr>
    </w:p>
    <w:p>
      <w:pPr>
        <w:ind w:left="220" w:right="20" w:hanging="216"/>
        <w:spacing w:after="0" w:line="217" w:lineRule="auto"/>
        <w:tabs>
          <w:tab w:leader="none" w:pos="319"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Excluding Private Education Refinance Loans, the cosigner rate was 67%, 67% and 66% for first-quarter 2026, fourth-quarter 2025 and first-quarter 2025, respectively.</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68" w:right="1099" w:bottom="1440" w:gutter="0" w:footer="0" w:header="0"/>
        </w:sectPr>
      </w:pPr>
    </w:p>
    <w:bookmarkStart w:id="14" w:name="page15"/>
    <w:bookmarkEnd w:id="14"/>
    <w:p>
      <w:pPr>
        <w:ind w:left="7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72200" cy="171450"/>
                    </a:xfrm>
                    <a:prstGeom prst="rect">
                      <a:avLst/>
                    </a:prstGeom>
                    <a:noFill/>
                  </pic:spPr>
                </pic:pic>
              </a:graphicData>
            </a:graphic>
          </wp:anchor>
        </w:drawing>
        <w:t>ALLOWANCE FOR LOAN LOSSES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88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160" w:type="dxa"/>
            <w:vAlign w:val="bottom"/>
            <w:gridSpan w:val="2"/>
            <w:shd w:val="clear" w:color="auto" w:fill="D9D9D9"/>
          </w:tcPr>
          <w:p>
            <w:pPr>
              <w:jc w:val="center"/>
              <w:ind w:right="60"/>
              <w:spacing w:after="0"/>
              <w:rPr>
                <w:sz w:val="20"/>
                <w:szCs w:val="20"/>
                <w:color w:val="auto"/>
              </w:rPr>
            </w:pPr>
            <w:r>
              <w:rPr>
                <w:rFonts w:ascii="Arial" w:cs="Arial" w:eastAsia="Arial" w:hAnsi="Arial"/>
                <w:sz w:val="13"/>
                <w:szCs w:val="13"/>
                <w:b w:val="1"/>
                <w:bCs w:val="1"/>
                <w:color w:val="auto"/>
                <w:w w:val="96"/>
              </w:rPr>
              <w:t>QUARTER ENDED</w:t>
            </w:r>
          </w:p>
        </w:tc>
        <w:tc>
          <w:tcPr>
            <w:tcW w:w="2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97"/>
              </w:rPr>
              <w:t>March 31, 2026</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center"/>
              <w:ind w:right="440"/>
              <w:spacing w:after="0" w:line="111" w:lineRule="exact"/>
              <w:rPr>
                <w:sz w:val="20"/>
                <w:szCs w:val="20"/>
                <w:color w:val="auto"/>
              </w:rPr>
            </w:pPr>
            <w:r>
              <w:rPr>
                <w:rFonts w:ascii="Arial" w:cs="Arial" w:eastAsia="Arial" w:hAnsi="Arial"/>
                <w:sz w:val="12"/>
                <w:szCs w:val="12"/>
                <w:b w:val="1"/>
                <w:bCs w:val="1"/>
                <w:color w:val="auto"/>
              </w:rPr>
              <w:t>Private</w:t>
            </w:r>
          </w:p>
        </w:tc>
        <w:tc>
          <w:tcPr>
            <w:tcW w:w="80" w:type="dxa"/>
            <w:vAlign w:val="bottom"/>
          </w:tcPr>
          <w:p>
            <w:pPr>
              <w:spacing w:after="0"/>
              <w:rPr>
                <w:sz w:val="9"/>
                <w:szCs w:val="9"/>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FFELP</w:t>
            </w: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6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Education</w:t>
            </w: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40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3"/>
              </w:rPr>
              <w:t>Loans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Loans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Total</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40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Allowance at beginning of period</w:t>
            </w:r>
          </w:p>
        </w:tc>
        <w:tc>
          <w:tcPr>
            <w:tcW w:w="5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364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173</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753"/>
              <w:spacing w:after="0" w:line="142"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537</w:t>
            </w: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400" w:type="dxa"/>
            <w:vAlign w:val="bottom"/>
            <w:gridSpan w:val="2"/>
          </w:tcPr>
          <w:p>
            <w:pPr>
              <w:spacing w:after="0"/>
              <w:rPr>
                <w:sz w:val="20"/>
                <w:szCs w:val="20"/>
                <w:color w:val="auto"/>
              </w:rPr>
            </w:pPr>
            <w:r>
              <w:rPr>
                <w:rFonts w:ascii="Arial" w:cs="Arial" w:eastAsia="Arial" w:hAnsi="Arial"/>
                <w:sz w:val="13"/>
                <w:szCs w:val="13"/>
                <w:color w:val="auto"/>
              </w:rPr>
              <w:t>Total provision</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Charge-offs:</w:t>
            </w: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540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Gross charge-offs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(83)</w:t>
            </w:r>
          </w:p>
        </w:tc>
        <w:tc>
          <w:tcPr>
            <w:tcW w:w="80" w:type="dxa"/>
            <w:vAlign w:val="bottom"/>
          </w:tcPr>
          <w:p>
            <w:pPr>
              <w:spacing w:after="0"/>
              <w:rPr>
                <w:sz w:val="11"/>
                <w:szCs w:val="11"/>
                <w:color w:val="auto"/>
              </w:rPr>
            </w:pPr>
          </w:p>
        </w:tc>
        <w:tc>
          <w:tcPr>
            <w:tcW w:w="116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(17)</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540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Expected future recoveries on current period gross charge-offs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11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60"/>
              <w:spacing w:after="0" w:line="13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5400" w:type="dxa"/>
            <w:vAlign w:val="bottom"/>
            <w:gridSpan w:val="2"/>
            <w:vMerge w:val="restart"/>
          </w:tcPr>
          <w:p>
            <w:pPr>
              <w:spacing w:after="0" w:line="157" w:lineRule="exact"/>
              <w:rPr>
                <w:sz w:val="20"/>
                <w:szCs w:val="20"/>
                <w:color w:val="auto"/>
              </w:rPr>
            </w:pPr>
            <w:r>
              <w:rPr>
                <w:rFonts w:ascii="Arial" w:cs="Arial" w:eastAsia="Arial" w:hAnsi="Arial"/>
                <w:sz w:val="13"/>
                <w:szCs w:val="13"/>
                <w:color w:val="auto"/>
              </w:rPr>
              <w:t>Net charge-offs</w:t>
            </w:r>
            <w:r>
              <w:rPr>
                <w:rFonts w:ascii="Arial" w:cs="Arial" w:eastAsia="Arial" w:hAnsi="Arial"/>
                <w:sz w:val="18"/>
                <w:szCs w:val="18"/>
                <w:color w:val="auto"/>
                <w:vertAlign w:val="superscript"/>
              </w:rPr>
              <w:t>(1)</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4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(72)</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(17)</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(89)</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400" w:type="dxa"/>
            <w:vAlign w:val="bottom"/>
            <w:gridSpan w:val="2"/>
          </w:tcPr>
          <w:p>
            <w:pPr>
              <w:spacing w:after="0" w:line="176" w:lineRule="exact"/>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40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(GAAP)</w:t>
            </w: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314</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165</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479</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5400" w:type="dxa"/>
            <w:vAlign w:val="bottom"/>
            <w:gridSpan w:val="2"/>
          </w:tcPr>
          <w:p>
            <w:pPr>
              <w:spacing w:after="0" w:line="176" w:lineRule="exact"/>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40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excluding expected future recoveries on previously fully</w:t>
            </w:r>
          </w:p>
        </w:tc>
        <w:tc>
          <w:tcPr>
            <w:tcW w:w="44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480</w:t>
            </w:r>
          </w:p>
        </w:tc>
        <w:tc>
          <w:tcPr>
            <w:tcW w:w="26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165</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3"/>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1"/>
                <w:szCs w:val="11"/>
                <w:color w:val="auto"/>
              </w:rPr>
            </w:pPr>
          </w:p>
        </w:tc>
        <w:tc>
          <w:tcPr>
            <w:tcW w:w="5400" w:type="dxa"/>
            <w:vAlign w:val="bottom"/>
            <w:gridSpan w:val="2"/>
          </w:tcPr>
          <w:p>
            <w:pPr>
              <w:ind w:left="120"/>
              <w:spacing w:after="0" w:line="129" w:lineRule="exact"/>
              <w:rPr>
                <w:sz w:val="20"/>
                <w:szCs w:val="20"/>
                <w:color w:val="auto"/>
              </w:rPr>
            </w:pPr>
            <w:r>
              <w:rPr>
                <w:rFonts w:ascii="Arial" w:cs="Arial" w:eastAsia="Arial" w:hAnsi="Arial"/>
                <w:sz w:val="11"/>
                <w:szCs w:val="11"/>
                <w:color w:val="auto"/>
              </w:rPr>
              <w:t>charged-off loans (Non-GAAP Financial Measure)</w:t>
            </w:r>
            <w:r>
              <w:rPr>
                <w:rFonts w:ascii="Arial" w:cs="Arial" w:eastAsia="Arial" w:hAnsi="Arial"/>
                <w:sz w:val="14"/>
                <w:szCs w:val="14"/>
                <w:color w:val="auto"/>
                <w:vertAlign w:val="superscript"/>
              </w:rPr>
              <w:t>(3)</w:t>
            </w:r>
          </w:p>
        </w:tc>
        <w:tc>
          <w:tcPr>
            <w:tcW w:w="44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400" w:type="dxa"/>
            <w:vAlign w:val="bottom"/>
            <w:gridSpan w:val="2"/>
            <w:vMerge w:val="restart"/>
          </w:tcPr>
          <w:p>
            <w:pPr>
              <w:spacing w:after="0" w:line="142" w:lineRule="exact"/>
              <w:rPr>
                <w:sz w:val="20"/>
                <w:szCs w:val="20"/>
                <w:color w:val="auto"/>
              </w:rPr>
            </w:pPr>
            <w:r>
              <w:rPr>
                <w:rFonts w:ascii="Arial" w:cs="Arial" w:eastAsia="Arial" w:hAnsi="Arial"/>
                <w:sz w:val="13"/>
                <w:szCs w:val="13"/>
                <w:color w:val="auto"/>
              </w:rPr>
              <w:t>Net charge-offs as a percentage of average loans in repayment (annualized)</w:t>
            </w: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60" w:type="dxa"/>
            <w:vAlign w:val="bottom"/>
          </w:tcPr>
          <w:p>
            <w:pPr>
              <w:spacing w:after="0"/>
              <w:rPr>
                <w:sz w:val="8"/>
                <w:szCs w:val="8"/>
                <w:color w:val="auto"/>
              </w:rPr>
            </w:pPr>
          </w:p>
        </w:tc>
        <w:tc>
          <w:tcPr>
            <w:tcW w:w="540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140"/>
              <w:spacing w:after="0" w:line="102" w:lineRule="exact"/>
              <w:rPr>
                <w:sz w:val="20"/>
                <w:szCs w:val="20"/>
                <w:color w:val="auto"/>
              </w:rPr>
            </w:pPr>
            <w:r>
              <w:rPr>
                <w:rFonts w:ascii="Arial" w:cs="Arial" w:eastAsia="Arial" w:hAnsi="Arial"/>
                <w:sz w:val="11"/>
                <w:szCs w:val="11"/>
                <w:color w:val="auto"/>
              </w:rPr>
              <w:t>1.91%</w:t>
            </w:r>
          </w:p>
        </w:tc>
        <w:tc>
          <w:tcPr>
            <w:tcW w:w="80" w:type="dxa"/>
            <w:vAlign w:val="bottom"/>
          </w:tcPr>
          <w:p>
            <w:pPr>
              <w:spacing w:after="0"/>
              <w:rPr>
                <w:sz w:val="8"/>
                <w:szCs w:val="8"/>
                <w:color w:val="auto"/>
              </w:rPr>
            </w:pPr>
          </w:p>
        </w:tc>
        <w:tc>
          <w:tcPr>
            <w:tcW w:w="1160" w:type="dxa"/>
            <w:vAlign w:val="bottom"/>
            <w:gridSpan w:val="2"/>
          </w:tcPr>
          <w:p>
            <w:pPr>
              <w:jc w:val="right"/>
              <w:ind w:right="120"/>
              <w:spacing w:after="0" w:line="102" w:lineRule="exact"/>
              <w:rPr>
                <w:sz w:val="20"/>
                <w:szCs w:val="20"/>
                <w:color w:val="auto"/>
              </w:rPr>
            </w:pPr>
            <w:r>
              <w:rPr>
                <w:rFonts w:ascii="Arial" w:cs="Arial" w:eastAsia="Arial" w:hAnsi="Arial"/>
                <w:sz w:val="11"/>
                <w:szCs w:val="11"/>
                <w:color w:val="auto"/>
              </w:rPr>
              <w:t>.29%</w:t>
            </w: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400" w:type="dxa"/>
            <w:vAlign w:val="bottom"/>
            <w:gridSpan w:val="2"/>
          </w:tcPr>
          <w:p>
            <w:pPr>
              <w:spacing w:after="0" w:line="149" w:lineRule="exact"/>
              <w:rPr>
                <w:sz w:val="20"/>
                <w:szCs w:val="20"/>
                <w:color w:val="auto"/>
              </w:rPr>
            </w:pPr>
            <w:r>
              <w:rPr>
                <w:rFonts w:ascii="Arial" w:cs="Arial" w:eastAsia="Arial" w:hAnsi="Arial"/>
                <w:sz w:val="13"/>
                <w:szCs w:val="13"/>
                <w:color w:val="auto"/>
              </w:rPr>
              <w:t>Allowance coverage of charge-offs (annualized)</w:t>
            </w:r>
            <w:r>
              <w:rPr>
                <w:rFonts w:ascii="Arial" w:cs="Arial" w:eastAsia="Arial" w:hAnsi="Arial"/>
                <w:sz w:val="17"/>
                <w:szCs w:val="17"/>
                <w:color w:val="auto"/>
                <w:vertAlign w:val="superscript"/>
              </w:rPr>
              <w:t>(3)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400" w:type="dxa"/>
            <w:vAlign w:val="bottom"/>
            <w:gridSpan w:val="2"/>
          </w:tcPr>
          <w:p>
            <w:pPr>
              <w:spacing w:after="0" w:line="149" w:lineRule="exact"/>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7"/>
                <w:szCs w:val="17"/>
                <w:color w:val="auto"/>
                <w:vertAlign w:val="superscript"/>
              </w:rPr>
              <w:t>(3)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5400" w:type="dxa"/>
            <w:vAlign w:val="bottom"/>
            <w:gridSpan w:val="2"/>
          </w:tcPr>
          <w:p>
            <w:pPr>
              <w:spacing w:after="0" w:line="176" w:lineRule="exact"/>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total loans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15,963</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27,402</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400" w:type="dxa"/>
            <w:vAlign w:val="bottom"/>
            <w:gridSpan w:val="2"/>
          </w:tcPr>
          <w:p>
            <w:pPr>
              <w:spacing w:after="0"/>
              <w:rPr>
                <w:sz w:val="20"/>
                <w:szCs w:val="20"/>
                <w:color w:val="auto"/>
              </w:rPr>
            </w:pPr>
            <w:r>
              <w:rPr>
                <w:rFonts w:ascii="Arial" w:cs="Arial" w:eastAsia="Arial" w:hAnsi="Arial"/>
                <w:sz w:val="13"/>
                <w:szCs w:val="13"/>
                <w:color w:val="auto"/>
              </w:rPr>
              <w:t>Average loans in repayment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15,326</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23,226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loans in repayment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15,335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22,786</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88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160" w:type="dxa"/>
            <w:vAlign w:val="bottom"/>
            <w:gridSpan w:val="2"/>
            <w:shd w:val="clear" w:color="auto" w:fill="D9D9D9"/>
          </w:tcPr>
          <w:p>
            <w:pPr>
              <w:jc w:val="center"/>
              <w:ind w:right="60"/>
              <w:spacing w:after="0"/>
              <w:rPr>
                <w:sz w:val="20"/>
                <w:szCs w:val="20"/>
                <w:color w:val="auto"/>
              </w:rPr>
            </w:pPr>
            <w:r>
              <w:rPr>
                <w:rFonts w:ascii="Arial" w:cs="Arial" w:eastAsia="Arial" w:hAnsi="Arial"/>
                <w:sz w:val="13"/>
                <w:szCs w:val="13"/>
                <w:b w:val="1"/>
                <w:bCs w:val="1"/>
                <w:color w:val="auto"/>
                <w:w w:val="96"/>
              </w:rPr>
              <w:t>QUARTER ENDED</w:t>
            </w:r>
          </w:p>
        </w:tc>
        <w:tc>
          <w:tcPr>
            <w:tcW w:w="2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December 31, 2025</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center"/>
              <w:ind w:right="440"/>
              <w:spacing w:after="0" w:line="111" w:lineRule="exact"/>
              <w:rPr>
                <w:sz w:val="20"/>
                <w:szCs w:val="20"/>
                <w:color w:val="auto"/>
              </w:rPr>
            </w:pPr>
            <w:r>
              <w:rPr>
                <w:rFonts w:ascii="Arial" w:cs="Arial" w:eastAsia="Arial" w:hAnsi="Arial"/>
                <w:sz w:val="12"/>
                <w:szCs w:val="12"/>
                <w:b w:val="1"/>
                <w:bCs w:val="1"/>
                <w:color w:val="auto"/>
              </w:rPr>
              <w:t>Private</w:t>
            </w:r>
          </w:p>
        </w:tc>
        <w:tc>
          <w:tcPr>
            <w:tcW w:w="80" w:type="dxa"/>
            <w:vAlign w:val="bottom"/>
          </w:tcPr>
          <w:p>
            <w:pPr>
              <w:spacing w:after="0"/>
              <w:rPr>
                <w:sz w:val="9"/>
                <w:szCs w:val="9"/>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FFELP</w:t>
            </w: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6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Education</w:t>
            </w: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40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3"/>
              </w:rPr>
              <w:t>Loans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Loans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Total</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40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Allowance at beginning of period</w:t>
            </w:r>
          </w:p>
        </w:tc>
        <w:tc>
          <w:tcPr>
            <w:tcW w:w="5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406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186</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753"/>
              <w:spacing w:after="0" w:line="142"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592</w:t>
            </w: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400" w:type="dxa"/>
            <w:vAlign w:val="bottom"/>
            <w:gridSpan w:val="2"/>
          </w:tcPr>
          <w:p>
            <w:pPr>
              <w:spacing w:after="0"/>
              <w:rPr>
                <w:sz w:val="20"/>
                <w:szCs w:val="20"/>
                <w:color w:val="auto"/>
              </w:rPr>
            </w:pPr>
            <w:r>
              <w:rPr>
                <w:rFonts w:ascii="Arial" w:cs="Arial" w:eastAsia="Arial" w:hAnsi="Arial"/>
                <w:sz w:val="13"/>
                <w:szCs w:val="13"/>
                <w:color w:val="auto"/>
              </w:rPr>
              <w:t>Total provision</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Charge-offs:</w:t>
            </w: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540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Gross charge-offs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(101)</w:t>
            </w:r>
          </w:p>
        </w:tc>
        <w:tc>
          <w:tcPr>
            <w:tcW w:w="80" w:type="dxa"/>
            <w:vAlign w:val="bottom"/>
          </w:tcPr>
          <w:p>
            <w:pPr>
              <w:spacing w:after="0"/>
              <w:rPr>
                <w:sz w:val="11"/>
                <w:szCs w:val="11"/>
                <w:color w:val="auto"/>
              </w:rPr>
            </w:pPr>
          </w:p>
        </w:tc>
        <w:tc>
          <w:tcPr>
            <w:tcW w:w="1160" w:type="dxa"/>
            <w:vAlign w:val="bottom"/>
            <w:gridSpan w:val="2"/>
          </w:tcPr>
          <w:p>
            <w:pPr>
              <w:jc w:val="right"/>
              <w:ind w:right="200"/>
              <w:spacing w:after="0" w:line="136" w:lineRule="exact"/>
              <w:rPr>
                <w:sz w:val="20"/>
                <w:szCs w:val="20"/>
                <w:color w:val="auto"/>
              </w:rPr>
            </w:pPr>
            <w:r>
              <w:rPr>
                <w:rFonts w:ascii="Arial" w:cs="Arial" w:eastAsia="Arial" w:hAnsi="Arial"/>
                <w:sz w:val="13"/>
                <w:szCs w:val="13"/>
                <w:color w:val="auto"/>
              </w:rPr>
              <w:t>(14)</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(115)</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540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Expected future recoveries on current period gross charge-offs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14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60"/>
              <w:spacing w:after="0" w:line="13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5400" w:type="dxa"/>
            <w:vAlign w:val="bottom"/>
            <w:gridSpan w:val="2"/>
            <w:vMerge w:val="restart"/>
          </w:tcPr>
          <w:p>
            <w:pPr>
              <w:spacing w:after="0" w:line="157" w:lineRule="exact"/>
              <w:rPr>
                <w:sz w:val="20"/>
                <w:szCs w:val="20"/>
                <w:color w:val="auto"/>
              </w:rPr>
            </w:pPr>
            <w:r>
              <w:rPr>
                <w:rFonts w:ascii="Arial" w:cs="Arial" w:eastAsia="Arial" w:hAnsi="Arial"/>
                <w:sz w:val="13"/>
                <w:szCs w:val="13"/>
                <w:color w:val="auto"/>
              </w:rPr>
              <w:t>Net charge-offs</w:t>
            </w:r>
            <w:r>
              <w:rPr>
                <w:rFonts w:ascii="Arial" w:cs="Arial" w:eastAsia="Arial" w:hAnsi="Arial"/>
                <w:sz w:val="18"/>
                <w:szCs w:val="18"/>
                <w:color w:val="auto"/>
                <w:vertAlign w:val="superscript"/>
              </w:rPr>
              <w:t>(1)</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4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(87)</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(14)</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(101)</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400" w:type="dxa"/>
            <w:vAlign w:val="bottom"/>
            <w:gridSpan w:val="2"/>
          </w:tcPr>
          <w:p>
            <w:pPr>
              <w:spacing w:after="0" w:line="176" w:lineRule="exact"/>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40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(GAAP)</w:t>
            </w: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364</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173</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537</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400" w:type="dxa"/>
            <w:vAlign w:val="bottom"/>
            <w:gridSpan w:val="2"/>
          </w:tcPr>
          <w:p>
            <w:pPr>
              <w:spacing w:after="0" w:line="176" w:lineRule="exact"/>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5400" w:type="dxa"/>
            <w:vAlign w:val="bottom"/>
            <w:gridSpan w:val="2"/>
          </w:tcPr>
          <w:p>
            <w:pPr>
              <w:spacing w:after="0" w:line="115" w:lineRule="exact"/>
              <w:rPr>
                <w:sz w:val="20"/>
                <w:szCs w:val="20"/>
                <w:color w:val="auto"/>
              </w:rPr>
            </w:pPr>
            <w:r>
              <w:rPr>
                <w:rFonts w:ascii="Arial" w:cs="Arial" w:eastAsia="Arial" w:hAnsi="Arial"/>
                <w:sz w:val="13"/>
                <w:szCs w:val="13"/>
                <w:color w:val="auto"/>
              </w:rPr>
              <w:t>Allowance at end of period excluding expected future recoveries on previously fully</w:t>
            </w:r>
          </w:p>
        </w:tc>
        <w:tc>
          <w:tcPr>
            <w:tcW w:w="44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534</w:t>
            </w:r>
          </w:p>
        </w:tc>
        <w:tc>
          <w:tcPr>
            <w:tcW w:w="26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173</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753"/>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1"/>
                <w:szCs w:val="11"/>
                <w:color w:val="auto"/>
              </w:rPr>
            </w:pPr>
          </w:p>
        </w:tc>
        <w:tc>
          <w:tcPr>
            <w:tcW w:w="5400" w:type="dxa"/>
            <w:vAlign w:val="bottom"/>
            <w:gridSpan w:val="2"/>
          </w:tcPr>
          <w:p>
            <w:pPr>
              <w:ind w:left="120"/>
              <w:spacing w:after="0" w:line="129" w:lineRule="exact"/>
              <w:rPr>
                <w:sz w:val="20"/>
                <w:szCs w:val="20"/>
                <w:color w:val="auto"/>
              </w:rPr>
            </w:pPr>
            <w:r>
              <w:rPr>
                <w:rFonts w:ascii="Arial" w:cs="Arial" w:eastAsia="Arial" w:hAnsi="Arial"/>
                <w:sz w:val="11"/>
                <w:szCs w:val="11"/>
                <w:color w:val="auto"/>
              </w:rPr>
              <w:t>charged-off loans (Non-GAAP Financial Measure)</w:t>
            </w:r>
            <w:r>
              <w:rPr>
                <w:rFonts w:ascii="Arial" w:cs="Arial" w:eastAsia="Arial" w:hAnsi="Arial"/>
                <w:sz w:val="14"/>
                <w:szCs w:val="14"/>
                <w:color w:val="auto"/>
                <w:vertAlign w:val="superscript"/>
              </w:rPr>
              <w:t>(3)</w:t>
            </w:r>
          </w:p>
        </w:tc>
        <w:tc>
          <w:tcPr>
            <w:tcW w:w="44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400" w:type="dxa"/>
            <w:vAlign w:val="bottom"/>
            <w:gridSpan w:val="2"/>
            <w:vMerge w:val="restart"/>
          </w:tcPr>
          <w:p>
            <w:pPr>
              <w:spacing w:after="0" w:line="142" w:lineRule="exact"/>
              <w:rPr>
                <w:sz w:val="20"/>
                <w:szCs w:val="20"/>
                <w:color w:val="auto"/>
              </w:rPr>
            </w:pPr>
            <w:r>
              <w:rPr>
                <w:rFonts w:ascii="Arial" w:cs="Arial" w:eastAsia="Arial" w:hAnsi="Arial"/>
                <w:sz w:val="13"/>
                <w:szCs w:val="13"/>
                <w:color w:val="auto"/>
              </w:rPr>
              <w:t>Net charge-offs as a percentage of average loans in repayment (annualized)</w:t>
            </w: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60" w:type="dxa"/>
            <w:vAlign w:val="bottom"/>
          </w:tcPr>
          <w:p>
            <w:pPr>
              <w:spacing w:after="0"/>
              <w:rPr>
                <w:sz w:val="8"/>
                <w:szCs w:val="8"/>
                <w:color w:val="auto"/>
              </w:rPr>
            </w:pPr>
          </w:p>
        </w:tc>
        <w:tc>
          <w:tcPr>
            <w:tcW w:w="540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140"/>
              <w:spacing w:after="0" w:line="102" w:lineRule="exact"/>
              <w:rPr>
                <w:sz w:val="20"/>
                <w:szCs w:val="20"/>
                <w:color w:val="auto"/>
              </w:rPr>
            </w:pPr>
            <w:r>
              <w:rPr>
                <w:rFonts w:ascii="Arial" w:cs="Arial" w:eastAsia="Arial" w:hAnsi="Arial"/>
                <w:sz w:val="11"/>
                <w:szCs w:val="11"/>
                <w:color w:val="auto"/>
              </w:rPr>
              <w:t>2.26%</w:t>
            </w:r>
          </w:p>
        </w:tc>
        <w:tc>
          <w:tcPr>
            <w:tcW w:w="80" w:type="dxa"/>
            <w:vAlign w:val="bottom"/>
          </w:tcPr>
          <w:p>
            <w:pPr>
              <w:spacing w:after="0"/>
              <w:rPr>
                <w:sz w:val="8"/>
                <w:szCs w:val="8"/>
                <w:color w:val="auto"/>
              </w:rPr>
            </w:pPr>
          </w:p>
        </w:tc>
        <w:tc>
          <w:tcPr>
            <w:tcW w:w="1160" w:type="dxa"/>
            <w:vAlign w:val="bottom"/>
            <w:gridSpan w:val="2"/>
          </w:tcPr>
          <w:p>
            <w:pPr>
              <w:jc w:val="right"/>
              <w:ind w:right="120"/>
              <w:spacing w:after="0" w:line="102" w:lineRule="exact"/>
              <w:rPr>
                <w:sz w:val="20"/>
                <w:szCs w:val="20"/>
                <w:color w:val="auto"/>
              </w:rPr>
            </w:pPr>
            <w:r>
              <w:rPr>
                <w:rFonts w:ascii="Arial" w:cs="Arial" w:eastAsia="Arial" w:hAnsi="Arial"/>
                <w:sz w:val="11"/>
                <w:szCs w:val="11"/>
                <w:color w:val="auto"/>
              </w:rPr>
              <w:t>.23%</w:t>
            </w: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400" w:type="dxa"/>
            <w:vAlign w:val="bottom"/>
            <w:gridSpan w:val="2"/>
          </w:tcPr>
          <w:p>
            <w:pPr>
              <w:spacing w:after="0" w:line="149" w:lineRule="exact"/>
              <w:rPr>
                <w:sz w:val="20"/>
                <w:szCs w:val="20"/>
                <w:color w:val="auto"/>
              </w:rPr>
            </w:pPr>
            <w:r>
              <w:rPr>
                <w:rFonts w:ascii="Arial" w:cs="Arial" w:eastAsia="Arial" w:hAnsi="Arial"/>
                <w:sz w:val="13"/>
                <w:szCs w:val="13"/>
                <w:color w:val="auto"/>
              </w:rPr>
              <w:t>Allowance coverage of charge-offs (annualized)</w:t>
            </w:r>
            <w:r>
              <w:rPr>
                <w:rFonts w:ascii="Arial" w:cs="Arial" w:eastAsia="Arial" w:hAnsi="Arial"/>
                <w:sz w:val="17"/>
                <w:szCs w:val="17"/>
                <w:color w:val="auto"/>
                <w:vertAlign w:val="superscript"/>
              </w:rPr>
              <w:t>(3)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400" w:type="dxa"/>
            <w:vAlign w:val="bottom"/>
            <w:gridSpan w:val="2"/>
          </w:tcPr>
          <w:p>
            <w:pPr>
              <w:spacing w:after="0" w:line="149" w:lineRule="exact"/>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7"/>
                <w:szCs w:val="17"/>
                <w:color w:val="auto"/>
                <w:vertAlign w:val="superscript"/>
              </w:rPr>
              <w:t>(3)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5400" w:type="dxa"/>
            <w:vAlign w:val="bottom"/>
            <w:gridSpan w:val="2"/>
          </w:tcPr>
          <w:p>
            <w:pPr>
              <w:spacing w:after="0" w:line="176" w:lineRule="exact"/>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(Non-GAAP)</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total loans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15,815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28,314</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400" w:type="dxa"/>
            <w:vAlign w:val="bottom"/>
            <w:gridSpan w:val="2"/>
          </w:tcPr>
          <w:p>
            <w:pPr>
              <w:spacing w:after="0"/>
              <w:rPr>
                <w:sz w:val="20"/>
                <w:szCs w:val="20"/>
                <w:color w:val="auto"/>
              </w:rPr>
            </w:pPr>
            <w:r>
              <w:rPr>
                <w:rFonts w:ascii="Arial" w:cs="Arial" w:eastAsia="Arial" w:hAnsi="Arial"/>
                <w:sz w:val="13"/>
                <w:szCs w:val="13"/>
                <w:color w:val="auto"/>
              </w:rPr>
              <w:t>Average loans in repayment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15,268</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24,006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Ending loans in repayment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15,184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23,572</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7"/>
        </w:trPr>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751"/>
        </w:trPr>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-3805555</wp:posOffset>
            </wp:positionV>
            <wp:extent cx="6172200" cy="946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72200" cy="9461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-3616960</wp:posOffset>
            </wp:positionV>
            <wp:extent cx="6172200" cy="939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-4491355</wp:posOffset>
            </wp:positionV>
            <wp:extent cx="6172200" cy="1028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-4293870</wp:posOffset>
            </wp:positionV>
            <wp:extent cx="6172200" cy="102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-4097020</wp:posOffset>
            </wp:positionV>
            <wp:extent cx="6172200"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-1413510</wp:posOffset>
            </wp:positionV>
            <wp:extent cx="6172200" cy="939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-1224915</wp:posOffset>
            </wp:positionV>
            <wp:extent cx="6172200"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72200" cy="9461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-2099310</wp:posOffset>
            </wp:positionV>
            <wp:extent cx="617220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-1902460</wp:posOffset>
            </wp:positionV>
            <wp:extent cx="617220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-1704975</wp:posOffset>
            </wp:positionV>
            <wp:extent cx="6172200" cy="1028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2200" cy="102870"/>
                    </a:xfrm>
                    <a:prstGeom prst="rect">
                      <a:avLst/>
                    </a:prstGeom>
                    <a:noFill/>
                  </pic:spPr>
                </pic:pic>
              </a:graphicData>
            </a:graphic>
          </wp:anchor>
        </w:drawing>
      </w:r>
    </w:p>
    <w:p>
      <w:pPr>
        <w:sectPr>
          <w:pgSz w:w="11900" w:h="16838" w:orient="portrait"/>
          <w:cols w:equalWidth="0" w:num="1">
            <w:col w:w="11040"/>
          </w:cols>
          <w:pgMar w:left="420" w:top="1052"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88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140" w:type="dxa"/>
            <w:vAlign w:val="bottom"/>
            <w:gridSpan w:val="2"/>
            <w:shd w:val="clear" w:color="auto" w:fill="D9D9D9"/>
          </w:tcPr>
          <w:p>
            <w:pPr>
              <w:jc w:val="right"/>
              <w:ind w:right="40"/>
              <w:spacing w:after="0"/>
              <w:rPr>
                <w:sz w:val="20"/>
                <w:szCs w:val="20"/>
                <w:color w:val="auto"/>
              </w:rPr>
            </w:pPr>
            <w:r>
              <w:rPr>
                <w:rFonts w:ascii="Arial" w:cs="Arial" w:eastAsia="Arial" w:hAnsi="Arial"/>
                <w:sz w:val="13"/>
                <w:szCs w:val="13"/>
                <w:b w:val="1"/>
                <w:bCs w:val="1"/>
                <w:color w:val="auto"/>
                <w:w w:val="95"/>
              </w:rPr>
              <w:t>QUARTER ENDED</w:t>
            </w:r>
          </w:p>
        </w:tc>
        <w:tc>
          <w:tcPr>
            <w:tcW w:w="40" w:type="dxa"/>
            <w:vAlign w:val="bottom"/>
            <w:shd w:val="clear" w:color="auto" w:fill="D9D9D9"/>
          </w:tcPr>
          <w:p>
            <w:pPr>
              <w:spacing w:after="0"/>
              <w:rPr>
                <w:sz w:val="18"/>
                <w:szCs w:val="18"/>
                <w:color w:val="auto"/>
              </w:rPr>
            </w:pPr>
          </w:p>
        </w:tc>
        <w:tc>
          <w:tcPr>
            <w:tcW w:w="92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March 31, 2025</w:t>
            </w:r>
          </w:p>
        </w:tc>
        <w:tc>
          <w:tcPr>
            <w:tcW w:w="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center"/>
              <w:ind w:right="440"/>
              <w:spacing w:after="0" w:line="111" w:lineRule="exact"/>
              <w:rPr>
                <w:sz w:val="20"/>
                <w:szCs w:val="20"/>
                <w:color w:val="auto"/>
              </w:rPr>
            </w:pPr>
            <w:r>
              <w:rPr>
                <w:rFonts w:ascii="Arial" w:cs="Arial" w:eastAsia="Arial" w:hAnsi="Arial"/>
                <w:sz w:val="12"/>
                <w:szCs w:val="12"/>
                <w:b w:val="1"/>
                <w:bCs w:val="1"/>
                <w:color w:val="auto"/>
              </w:rPr>
              <w:t>Private</w:t>
            </w:r>
          </w:p>
        </w:tc>
        <w:tc>
          <w:tcPr>
            <w:tcW w:w="80" w:type="dxa"/>
            <w:vAlign w:val="bottom"/>
          </w:tcPr>
          <w:p>
            <w:pPr>
              <w:spacing w:after="0"/>
              <w:rPr>
                <w:sz w:val="9"/>
                <w:szCs w:val="9"/>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rPr>
              <w:t>FFELP</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6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Education</w:t>
            </w:r>
          </w:p>
        </w:tc>
        <w:tc>
          <w:tcPr>
            <w:tcW w:w="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40" w:type="dxa"/>
            <w:vAlign w:val="bottom"/>
            <w:tcBorders>
              <w:bottom w:val="single" w:sz="8" w:color="auto"/>
            </w:tcBorders>
            <w:gridSpan w:val="2"/>
            <w:vMerge w:val="continue"/>
          </w:tcPr>
          <w:p>
            <w:pPr>
              <w:spacing w:after="0"/>
              <w:rPr>
                <w:sz w:val="13"/>
                <w:szCs w:val="13"/>
                <w:color w:val="auto"/>
              </w:rPr>
            </w:pPr>
          </w:p>
        </w:tc>
        <w:tc>
          <w:tcPr>
            <w:tcW w:w="40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3"/>
              </w:rPr>
              <w:t>Loans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Loans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00" w:type="dxa"/>
            <w:vAlign w:val="bottom"/>
            <w:gridSpan w:val="3"/>
            <w:shd w:val="clear" w:color="auto" w:fill="CFF0FC"/>
          </w:tcPr>
          <w:p>
            <w:pPr>
              <w:spacing w:after="0" w:line="142" w:lineRule="exact"/>
              <w:rPr>
                <w:sz w:val="20"/>
                <w:szCs w:val="20"/>
                <w:color w:val="auto"/>
              </w:rPr>
            </w:pPr>
            <w:r>
              <w:rPr>
                <w:rFonts w:ascii="Arial" w:cs="Arial" w:eastAsia="Arial" w:hAnsi="Arial"/>
                <w:sz w:val="13"/>
                <w:szCs w:val="13"/>
                <w:color w:val="auto"/>
              </w:rPr>
              <w:t>Allowance at beginning of period</w:t>
            </w:r>
          </w:p>
        </w:tc>
        <w:tc>
          <w:tcPr>
            <w:tcW w:w="5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441</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180</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773"/>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3"/>
          </w:tcPr>
          <w:p>
            <w:pPr>
              <w:spacing w:after="0"/>
              <w:rPr>
                <w:sz w:val="20"/>
                <w:szCs w:val="20"/>
                <w:color w:val="auto"/>
              </w:rPr>
            </w:pPr>
            <w:r>
              <w:rPr>
                <w:rFonts w:ascii="Arial" w:cs="Arial" w:eastAsia="Arial" w:hAnsi="Arial"/>
                <w:sz w:val="13"/>
                <w:szCs w:val="13"/>
                <w:color w:val="auto"/>
              </w:rPr>
              <w:t>Total provision</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Charge-offs:</w:t>
            </w: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400" w:type="dxa"/>
            <w:vAlign w:val="bottom"/>
            <w:gridSpan w:val="3"/>
          </w:tcPr>
          <w:p>
            <w:pPr>
              <w:ind w:left="80"/>
              <w:spacing w:after="0" w:line="136" w:lineRule="exact"/>
              <w:rPr>
                <w:sz w:val="20"/>
                <w:szCs w:val="20"/>
                <w:color w:val="auto"/>
              </w:rPr>
            </w:pPr>
            <w:r>
              <w:rPr>
                <w:rFonts w:ascii="Arial" w:cs="Arial" w:eastAsia="Arial" w:hAnsi="Arial"/>
                <w:sz w:val="13"/>
                <w:szCs w:val="13"/>
                <w:color w:val="auto"/>
              </w:rPr>
              <w:t>Gross charge-offs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(83)</w:t>
            </w:r>
          </w:p>
        </w:tc>
        <w:tc>
          <w:tcPr>
            <w:tcW w:w="80" w:type="dxa"/>
            <w:vAlign w:val="bottom"/>
          </w:tcPr>
          <w:p>
            <w:pPr>
              <w:spacing w:after="0"/>
              <w:rPr>
                <w:sz w:val="11"/>
                <w:szCs w:val="11"/>
                <w:color w:val="auto"/>
              </w:rPr>
            </w:pPr>
          </w:p>
        </w:tc>
        <w:tc>
          <w:tcPr>
            <w:tcW w:w="114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(6)</w:t>
            </w: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39"/>
        </w:trPr>
        <w:tc>
          <w:tcPr>
            <w:tcW w:w="5400" w:type="dxa"/>
            <w:vAlign w:val="bottom"/>
            <w:gridSpan w:val="3"/>
          </w:tcPr>
          <w:p>
            <w:pPr>
              <w:ind w:left="80"/>
              <w:spacing w:after="0" w:line="139" w:lineRule="exact"/>
              <w:rPr>
                <w:sz w:val="20"/>
                <w:szCs w:val="20"/>
                <w:color w:val="auto"/>
              </w:rPr>
            </w:pPr>
            <w:r>
              <w:rPr>
                <w:rFonts w:ascii="Arial" w:cs="Arial" w:eastAsia="Arial" w:hAnsi="Arial"/>
                <w:sz w:val="13"/>
                <w:szCs w:val="13"/>
                <w:color w:val="auto"/>
              </w:rPr>
              <w:t>Expected future recoveries on current period gross charge-offs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11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jc w:val="right"/>
              <w:spacing w:after="0" w:line="139"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400" w:type="dxa"/>
            <w:vAlign w:val="bottom"/>
            <w:gridSpan w:val="3"/>
            <w:vMerge w:val="restart"/>
          </w:tcPr>
          <w:p>
            <w:pPr>
              <w:spacing w:after="0" w:line="157" w:lineRule="exact"/>
              <w:rPr>
                <w:sz w:val="20"/>
                <w:szCs w:val="20"/>
                <w:color w:val="auto"/>
              </w:rPr>
            </w:pPr>
            <w:r>
              <w:rPr>
                <w:rFonts w:ascii="Arial" w:cs="Arial" w:eastAsia="Arial" w:hAnsi="Arial"/>
                <w:sz w:val="13"/>
                <w:szCs w:val="13"/>
                <w:color w:val="auto"/>
              </w:rPr>
              <w:t>Net charge-offs</w:t>
            </w:r>
            <w:r>
              <w:rPr>
                <w:rFonts w:ascii="Arial" w:cs="Arial" w:eastAsia="Arial" w:hAnsi="Arial"/>
                <w:sz w:val="18"/>
                <w:szCs w:val="18"/>
                <w:color w:val="auto"/>
                <w:vertAlign w:val="superscript"/>
              </w:rPr>
              <w:t>(1)</w:t>
            </w: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540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spacing w:after="0" w:line="115" w:lineRule="exact"/>
              <w:rPr>
                <w:sz w:val="20"/>
                <w:szCs w:val="20"/>
                <w:color w:val="auto"/>
              </w:rPr>
            </w:pPr>
            <w:r>
              <w:rPr>
                <w:rFonts w:ascii="Arial" w:cs="Arial" w:eastAsia="Arial" w:hAnsi="Arial"/>
                <w:sz w:val="13"/>
                <w:szCs w:val="13"/>
                <w:color w:val="auto"/>
              </w:rPr>
              <w:t>(72)</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180"/>
              <w:spacing w:after="0" w:line="115" w:lineRule="exact"/>
              <w:rPr>
                <w:sz w:val="20"/>
                <w:szCs w:val="20"/>
                <w:color w:val="auto"/>
              </w:rPr>
            </w:pPr>
            <w:r>
              <w:rPr>
                <w:rFonts w:ascii="Arial" w:cs="Arial" w:eastAsia="Arial" w:hAnsi="Arial"/>
                <w:sz w:val="13"/>
                <w:szCs w:val="13"/>
                <w:color w:val="auto"/>
              </w:rPr>
              <w:t>(6)</w:t>
            </w: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jc w:val="right"/>
              <w:spacing w:after="0" w:line="115" w:lineRule="exact"/>
              <w:rPr>
                <w:sz w:val="20"/>
                <w:szCs w:val="20"/>
                <w:color w:val="auto"/>
              </w:rPr>
            </w:pPr>
            <w:r>
              <w:rPr>
                <w:rFonts w:ascii="Arial" w:cs="Arial" w:eastAsia="Arial" w:hAnsi="Arial"/>
                <w:sz w:val="13"/>
                <w:szCs w:val="13"/>
                <w:color w:val="auto"/>
              </w:rPr>
              <w:t>(78)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400" w:type="dxa"/>
            <w:vAlign w:val="bottom"/>
            <w:gridSpan w:val="3"/>
          </w:tcPr>
          <w:p>
            <w:pPr>
              <w:spacing w:after="0" w:line="176" w:lineRule="exact"/>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400" w:type="dxa"/>
            <w:vAlign w:val="bottom"/>
            <w:gridSpan w:val="3"/>
          </w:tcPr>
          <w:p>
            <w:pPr>
              <w:spacing w:after="0" w:line="115" w:lineRule="exact"/>
              <w:rPr>
                <w:sz w:val="20"/>
                <w:szCs w:val="20"/>
                <w:color w:val="auto"/>
              </w:rPr>
            </w:pPr>
            <w:r>
              <w:rPr>
                <w:rFonts w:ascii="Arial" w:cs="Arial" w:eastAsia="Arial" w:hAnsi="Arial"/>
                <w:sz w:val="13"/>
                <w:szCs w:val="13"/>
                <w:color w:val="auto"/>
              </w:rPr>
              <w:t>Allowance at end of period (GAAP)</w:t>
            </w: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397</w:t>
            </w: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182</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579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400" w:type="dxa"/>
            <w:vAlign w:val="bottom"/>
            <w:gridSpan w:val="3"/>
          </w:tcPr>
          <w:p>
            <w:pPr>
              <w:spacing w:after="0" w:line="176" w:lineRule="exact"/>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400" w:type="dxa"/>
            <w:vAlign w:val="bottom"/>
            <w:gridSpan w:val="3"/>
          </w:tcPr>
          <w:p>
            <w:pPr>
              <w:spacing w:after="0" w:line="115" w:lineRule="exact"/>
              <w:rPr>
                <w:sz w:val="20"/>
                <w:szCs w:val="20"/>
                <w:color w:val="auto"/>
              </w:rPr>
            </w:pPr>
            <w:r>
              <w:rPr>
                <w:rFonts w:ascii="Arial" w:cs="Arial" w:eastAsia="Arial" w:hAnsi="Arial"/>
                <w:sz w:val="13"/>
                <w:szCs w:val="13"/>
                <w:color w:val="auto"/>
              </w:rPr>
              <w:t>Allowance at end of period excluding expected future recoveries on previously fully</w:t>
            </w:r>
          </w:p>
        </w:tc>
        <w:tc>
          <w:tcPr>
            <w:tcW w:w="44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571</w:t>
            </w:r>
          </w:p>
        </w:tc>
        <w:tc>
          <w:tcPr>
            <w:tcW w:w="26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182</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top w:val="single" w:sz="8" w:color="auto"/>
            </w:tcBorders>
            <w:vMerge w:val="restart"/>
          </w:tcPr>
          <w:p>
            <w:pPr>
              <w:jc w:val="right"/>
              <w:ind w:right="773"/>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400" w:type="dxa"/>
            <w:vAlign w:val="bottom"/>
            <w:gridSpan w:val="3"/>
          </w:tcPr>
          <w:p>
            <w:pPr>
              <w:ind w:left="120"/>
              <w:spacing w:after="0" w:line="129" w:lineRule="exact"/>
              <w:rPr>
                <w:sz w:val="20"/>
                <w:szCs w:val="20"/>
                <w:color w:val="auto"/>
              </w:rPr>
            </w:pPr>
            <w:r>
              <w:rPr>
                <w:rFonts w:ascii="Arial" w:cs="Arial" w:eastAsia="Arial" w:hAnsi="Arial"/>
                <w:sz w:val="11"/>
                <w:szCs w:val="11"/>
                <w:color w:val="auto"/>
              </w:rPr>
              <w:t>charged-off loans (Non-GAAP Financial Measure)</w:t>
            </w:r>
            <w:r>
              <w:rPr>
                <w:rFonts w:ascii="Arial" w:cs="Arial" w:eastAsia="Arial" w:hAnsi="Arial"/>
                <w:sz w:val="14"/>
                <w:szCs w:val="14"/>
                <w:color w:val="auto"/>
                <w:vertAlign w:val="superscript"/>
              </w:rPr>
              <w:t>(3)</w:t>
            </w:r>
          </w:p>
        </w:tc>
        <w:tc>
          <w:tcPr>
            <w:tcW w:w="44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line="142" w:lineRule="exact"/>
              <w:rPr>
                <w:sz w:val="20"/>
                <w:szCs w:val="20"/>
                <w:color w:val="auto"/>
              </w:rPr>
            </w:pPr>
            <w:r>
              <w:rPr>
                <w:rFonts w:ascii="Arial" w:cs="Arial" w:eastAsia="Arial" w:hAnsi="Arial"/>
                <w:sz w:val="13"/>
                <w:szCs w:val="13"/>
                <w:color w:val="auto"/>
              </w:rPr>
              <w:t>Net charge-offs as a percentage of average loans in repayment (annualized)</w:t>
            </w: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0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140"/>
              <w:spacing w:after="0" w:line="102" w:lineRule="exact"/>
              <w:rPr>
                <w:sz w:val="20"/>
                <w:szCs w:val="20"/>
                <w:color w:val="auto"/>
              </w:rPr>
            </w:pPr>
            <w:r>
              <w:rPr>
                <w:rFonts w:ascii="Arial" w:cs="Arial" w:eastAsia="Arial" w:hAnsi="Arial"/>
                <w:sz w:val="11"/>
                <w:szCs w:val="11"/>
                <w:color w:val="auto"/>
              </w:rPr>
              <w:t>1.89%</w:t>
            </w:r>
          </w:p>
        </w:tc>
        <w:tc>
          <w:tcPr>
            <w:tcW w:w="80" w:type="dxa"/>
            <w:vAlign w:val="bottom"/>
          </w:tcPr>
          <w:p>
            <w:pPr>
              <w:spacing w:after="0"/>
              <w:rPr>
                <w:sz w:val="8"/>
                <w:szCs w:val="8"/>
                <w:color w:val="auto"/>
              </w:rPr>
            </w:pPr>
          </w:p>
        </w:tc>
        <w:tc>
          <w:tcPr>
            <w:tcW w:w="1140" w:type="dxa"/>
            <w:vAlign w:val="bottom"/>
            <w:gridSpan w:val="2"/>
          </w:tcPr>
          <w:p>
            <w:pPr>
              <w:jc w:val="right"/>
              <w:ind w:right="100"/>
              <w:spacing w:after="0" w:line="102" w:lineRule="exact"/>
              <w:rPr>
                <w:sz w:val="20"/>
                <w:szCs w:val="20"/>
                <w:color w:val="auto"/>
              </w:rPr>
            </w:pPr>
            <w:r>
              <w:rPr>
                <w:rFonts w:ascii="Arial" w:cs="Arial" w:eastAsia="Arial" w:hAnsi="Arial"/>
                <w:sz w:val="11"/>
                <w:szCs w:val="11"/>
                <w:color w:val="auto"/>
              </w:rPr>
              <w:t>.10%</w:t>
            </w: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400" w:type="dxa"/>
            <w:vAlign w:val="bottom"/>
            <w:gridSpan w:val="3"/>
          </w:tcPr>
          <w:p>
            <w:pPr>
              <w:spacing w:after="0" w:line="149" w:lineRule="exact"/>
              <w:rPr>
                <w:sz w:val="20"/>
                <w:szCs w:val="20"/>
                <w:color w:val="auto"/>
              </w:rPr>
            </w:pPr>
            <w:r>
              <w:rPr>
                <w:rFonts w:ascii="Arial" w:cs="Arial" w:eastAsia="Arial" w:hAnsi="Arial"/>
                <w:sz w:val="13"/>
                <w:szCs w:val="13"/>
                <w:color w:val="auto"/>
              </w:rPr>
              <w:t>Allowance coverage of charge-offs (annualized)</w:t>
            </w:r>
            <w:r>
              <w:rPr>
                <w:rFonts w:ascii="Arial" w:cs="Arial" w:eastAsia="Arial" w:hAnsi="Arial"/>
                <w:sz w:val="17"/>
                <w:szCs w:val="17"/>
                <w:color w:val="auto"/>
                <w:vertAlign w:val="superscript"/>
              </w:rPr>
              <w:t>(3)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ind w:left="40"/>
              <w:spacing w:after="0"/>
              <w:rPr>
                <w:sz w:val="20"/>
                <w:szCs w:val="20"/>
                <w:color w:val="auto"/>
              </w:rPr>
            </w:pPr>
            <w:r>
              <w:rPr>
                <w:rFonts w:ascii="Arial" w:cs="Arial" w:eastAsia="Arial" w:hAnsi="Arial"/>
                <w:sz w:val="13"/>
                <w:szCs w:val="13"/>
                <w:color w:val="auto"/>
              </w:rPr>
              <w:t>(Non-GAAP)</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3"/>
          </w:tcPr>
          <w:p>
            <w:pPr>
              <w:spacing w:after="0" w:line="149" w:lineRule="exact"/>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7"/>
                <w:szCs w:val="17"/>
                <w:color w:val="auto"/>
                <w:vertAlign w:val="superscript"/>
              </w:rPr>
              <w:t>(3)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2"/>
                <w:szCs w:val="12"/>
                <w:color w:val="auto"/>
              </w:rPr>
            </w:pPr>
          </w:p>
        </w:tc>
        <w:tc>
          <w:tcPr>
            <w:tcW w:w="920" w:type="dxa"/>
            <w:vAlign w:val="bottom"/>
          </w:tcPr>
          <w:p>
            <w:pPr>
              <w:ind w:left="40"/>
              <w:spacing w:after="0"/>
              <w:rPr>
                <w:sz w:val="20"/>
                <w:szCs w:val="20"/>
                <w:color w:val="auto"/>
              </w:rPr>
            </w:pPr>
            <w:r>
              <w:rPr>
                <w:rFonts w:ascii="Arial" w:cs="Arial" w:eastAsia="Arial" w:hAnsi="Arial"/>
                <w:sz w:val="13"/>
                <w:szCs w:val="13"/>
                <w:color w:val="auto"/>
              </w:rPr>
              <w:t>(Non-GAAP)</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0" w:type="dxa"/>
            <w:vAlign w:val="bottom"/>
            <w:gridSpan w:val="3"/>
          </w:tcPr>
          <w:p>
            <w:pPr>
              <w:spacing w:after="0" w:line="176" w:lineRule="exact"/>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4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3"/>
                <w:szCs w:val="13"/>
                <w:color w:val="auto"/>
              </w:rPr>
              <w:t>(Non-GAAP)</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4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Ending total loans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16,087</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30,426</w:t>
            </w: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3"/>
          </w:tcPr>
          <w:p>
            <w:pPr>
              <w:spacing w:after="0"/>
              <w:rPr>
                <w:sz w:val="20"/>
                <w:szCs w:val="20"/>
                <w:color w:val="auto"/>
              </w:rPr>
            </w:pPr>
            <w:r>
              <w:rPr>
                <w:rFonts w:ascii="Arial" w:cs="Arial" w:eastAsia="Arial" w:hAnsi="Arial"/>
                <w:sz w:val="13"/>
                <w:szCs w:val="13"/>
                <w:color w:val="auto"/>
              </w:rPr>
              <w:t>Average loans in repayment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15,472</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25,459</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Ending loans in repayment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15,420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24,930</w:t>
            </w: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-753745</wp:posOffset>
            </wp:positionV>
            <wp:extent cx="6172200"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72200" cy="946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-565150</wp:posOffset>
            </wp:positionV>
            <wp:extent cx="6172200" cy="93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72200" cy="939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-1439545</wp:posOffset>
            </wp:positionV>
            <wp:extent cx="617220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-1242695</wp:posOffset>
            </wp:positionV>
            <wp:extent cx="617220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72200" cy="1028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-1045210</wp:posOffset>
            </wp:positionV>
            <wp:extent cx="617220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72200" cy="102870"/>
                    </a:xfrm>
                    <a:prstGeom prst="rect">
                      <a:avLst/>
                    </a:prstGeom>
                    <a:noFill/>
                  </pic:spPr>
                </pic:pic>
              </a:graphicData>
            </a:graphic>
          </wp:anchor>
        </w:drawing>
      </w:r>
    </w:p>
    <w:p>
      <w:pPr>
        <w:spacing w:after="0" w:line="124" w:lineRule="exact"/>
        <w:rPr>
          <w:sz w:val="20"/>
          <w:szCs w:val="20"/>
          <w:color w:val="auto"/>
        </w:rPr>
      </w:pPr>
    </w:p>
    <w:p>
      <w:pPr>
        <w:jc w:val="both"/>
        <w:ind w:left="220" w:right="120" w:hanging="216"/>
        <w:spacing w:after="0" w:line="211" w:lineRule="auto"/>
        <w:tabs>
          <w:tab w:leader="none" w:pos="207"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Charge-offs are reported net of expected recoveries. For Private Education Loans, we charge off the estimated loss of a defaulted loan balance by charging off the entire defaulted loan balance and estimating recoveries on a pool basis. These estimated recoveries are referred to as “expected future recoveries on previously fully charged-off loans.” For FFELP Loans, the recovery is received at the time of charge-off.</w:t>
      </w:r>
    </w:p>
    <w:p>
      <w:pPr>
        <w:spacing w:after="0" w:line="105" w:lineRule="exact"/>
        <w:rPr>
          <w:rFonts w:ascii="Arial" w:cs="Arial" w:eastAsia="Arial" w:hAnsi="Arial"/>
          <w:sz w:val="17"/>
          <w:szCs w:val="17"/>
          <w:color w:val="auto"/>
          <w:vertAlign w:val="superscript"/>
        </w:rPr>
      </w:pPr>
    </w:p>
    <w:p>
      <w:pPr>
        <w:ind w:left="220" w:right="20" w:hanging="216"/>
        <w:spacing w:after="0" w:line="214" w:lineRule="auto"/>
        <w:tabs>
          <w:tab w:leader="none" w:pos="187"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At the end of each month, for Private Education Loans that are 212 or more days past due, we charge off the estimated loss of a defaulted loan balance by charging off the entire loan balance and estimating recoveries on a pool basis. These estimated recoveries are referred to as “expected future recoveries on previously fully charged-off loans.” If actual periodic recoveries are less than expected, the difference is immediately reflected as a reduction to expected future recoveries on previously fully charged-off loans. If actual periodic recoveries are greater than expected, they will be reflected as a recovery through the allowance for Private Education Loan losses once the cumulative recovery amount exceeds the cumulative amount originally expected to be recovered. The following table summarizes the activity in the expected future recoveries on previously fully charged-off loans:</w:t>
      </w:r>
    </w:p>
    <w:p>
      <w:pPr>
        <w:spacing w:after="0" w:line="121"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00" w:type="dxa"/>
            <w:vAlign w:val="bottom"/>
            <w:shd w:val="clear" w:color="auto" w:fill="D9D9D9"/>
          </w:tcPr>
          <w:p>
            <w:pPr>
              <w:spacing w:after="0"/>
              <w:rPr>
                <w:sz w:val="13"/>
                <w:szCs w:val="13"/>
                <w:color w:val="auto"/>
              </w:rPr>
            </w:pPr>
          </w:p>
        </w:tc>
        <w:tc>
          <w:tcPr>
            <w:tcW w:w="540" w:type="dxa"/>
            <w:vAlign w:val="bottom"/>
            <w:shd w:val="clear" w:color="auto" w:fill="D9D9D9"/>
          </w:tcPr>
          <w:p>
            <w:pPr>
              <w:spacing w:after="0"/>
              <w:rPr>
                <w:sz w:val="13"/>
                <w:szCs w:val="13"/>
                <w:color w:val="auto"/>
              </w:rPr>
            </w:pPr>
          </w:p>
        </w:tc>
        <w:tc>
          <w:tcPr>
            <w:tcW w:w="60" w:type="dxa"/>
            <w:vAlign w:val="bottom"/>
            <w:shd w:val="clear" w:color="auto" w:fill="D9D9D9"/>
          </w:tcPr>
          <w:p>
            <w:pPr>
              <w:spacing w:after="0"/>
              <w:rPr>
                <w:sz w:val="13"/>
                <w:szCs w:val="13"/>
                <w:color w:val="auto"/>
              </w:rPr>
            </w:pPr>
          </w:p>
        </w:tc>
        <w:tc>
          <w:tcPr>
            <w:tcW w:w="1360" w:type="dxa"/>
            <w:vAlign w:val="bottom"/>
            <w:gridSpan w:val="4"/>
            <w:shd w:val="clear" w:color="auto" w:fill="D9D9D9"/>
          </w:tcPr>
          <w:p>
            <w:pPr>
              <w:jc w:val="right"/>
              <w:ind w:right="160"/>
              <w:spacing w:after="0"/>
              <w:rPr>
                <w:sz w:val="20"/>
                <w:szCs w:val="20"/>
                <w:color w:val="auto"/>
              </w:rPr>
            </w:pPr>
            <w:r>
              <w:rPr>
                <w:rFonts w:ascii="Arial" w:cs="Arial" w:eastAsia="Arial" w:hAnsi="Arial"/>
                <w:sz w:val="13"/>
                <w:szCs w:val="13"/>
                <w:b w:val="1"/>
                <w:bCs w:val="1"/>
                <w:color w:val="auto"/>
                <w:w w:val="96"/>
              </w:rPr>
              <w:t>QUARTERS ENDED</w:t>
            </w:r>
          </w:p>
        </w:tc>
        <w:tc>
          <w:tcPr>
            <w:tcW w:w="6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7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r>
      <w:tr>
        <w:trPr>
          <w:trHeight w:val="117"/>
        </w:trPr>
        <w:tc>
          <w:tcPr>
            <w:tcW w:w="11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right"/>
              <w:ind w:right="280"/>
              <w:spacing w:after="0" w:line="117"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17" w:lineRule="exact"/>
              <w:rPr>
                <w:sz w:val="20"/>
                <w:szCs w:val="20"/>
                <w:color w:val="auto"/>
              </w:rPr>
            </w:pPr>
            <w:r>
              <w:rPr>
                <w:rFonts w:ascii="Arial" w:cs="Arial" w:eastAsia="Arial" w:hAnsi="Arial"/>
                <w:sz w:val="13"/>
                <w:szCs w:val="13"/>
                <w:b w:val="1"/>
                <w:bCs w:val="1"/>
                <w:color w:val="auto"/>
                <w:w w:val="93"/>
              </w:rPr>
              <w:t>March 31,</w:t>
            </w:r>
          </w:p>
        </w:tc>
      </w:tr>
      <w:tr>
        <w:trPr>
          <w:trHeight w:val="153"/>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(Dollars in millions)</w:t>
            </w:r>
          </w:p>
        </w:tc>
        <w:tc>
          <w:tcPr>
            <w:tcW w:w="4280" w:type="dxa"/>
            <w:vAlign w:val="bottom"/>
          </w:tcPr>
          <w:p>
            <w:pPr>
              <w:spacing w:after="0"/>
              <w:rPr>
                <w:sz w:val="13"/>
                <w:szCs w:val="13"/>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March 31, 2026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3"/>
                <w:szCs w:val="13"/>
                <w:color w:val="auto"/>
              </w:rPr>
            </w:pPr>
          </w:p>
        </w:tc>
      </w:tr>
      <w:tr>
        <w:trPr>
          <w:trHeight w:val="142"/>
        </w:trPr>
        <w:tc>
          <w:tcPr>
            <w:tcW w:w="5460" w:type="dxa"/>
            <w:vAlign w:val="bottom"/>
            <w:gridSpan w:val="2"/>
            <w:shd w:val="clear" w:color="auto" w:fill="CFF0FC"/>
          </w:tcPr>
          <w:p>
            <w:pPr>
              <w:ind w:left="20"/>
              <w:spacing w:after="0" w:line="142" w:lineRule="exact"/>
              <w:rPr>
                <w:sz w:val="20"/>
                <w:szCs w:val="20"/>
                <w:color w:val="auto"/>
              </w:rPr>
            </w:pPr>
            <w:r>
              <w:rPr>
                <w:rFonts w:ascii="Arial" w:cs="Arial" w:eastAsia="Arial" w:hAnsi="Arial"/>
                <w:sz w:val="13"/>
                <w:szCs w:val="13"/>
                <w:color w:val="auto"/>
              </w:rPr>
              <w:t>Beginning of period expected future recoveries on previously fully charged-off loans</w:t>
            </w:r>
          </w:p>
        </w:tc>
        <w:tc>
          <w:tcPr>
            <w:tcW w:w="4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170</w:t>
            </w:r>
          </w:p>
        </w:tc>
        <w:tc>
          <w:tcPr>
            <w:tcW w:w="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172</w:t>
            </w:r>
          </w:p>
        </w:tc>
        <w:tc>
          <w:tcPr>
            <w:tcW w:w="12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179</w:t>
            </w:r>
          </w:p>
        </w:tc>
        <w:tc>
          <w:tcPr>
            <w:tcW w:w="80" w:type="dxa"/>
            <w:vAlign w:val="bottom"/>
            <w:shd w:val="clear" w:color="auto" w:fill="CFF0FC"/>
          </w:tcPr>
          <w:p>
            <w:pPr>
              <w:spacing w:after="0"/>
              <w:rPr>
                <w:sz w:val="12"/>
                <w:szCs w:val="12"/>
                <w:color w:val="auto"/>
              </w:rPr>
            </w:pPr>
          </w:p>
        </w:tc>
      </w:tr>
      <w:tr>
        <w:trPr>
          <w:trHeight w:val="149"/>
        </w:trPr>
        <w:tc>
          <w:tcPr>
            <w:tcW w:w="5460" w:type="dxa"/>
            <w:vAlign w:val="bottom"/>
            <w:gridSpan w:val="2"/>
          </w:tcPr>
          <w:p>
            <w:pPr>
              <w:ind w:left="20"/>
              <w:spacing w:after="0"/>
              <w:rPr>
                <w:sz w:val="20"/>
                <w:szCs w:val="20"/>
                <w:color w:val="auto"/>
              </w:rPr>
            </w:pPr>
            <w:r>
              <w:rPr>
                <w:rFonts w:ascii="Arial" w:cs="Arial" w:eastAsia="Arial" w:hAnsi="Arial"/>
                <w:sz w:val="13"/>
                <w:szCs w:val="13"/>
                <w:color w:val="auto"/>
              </w:rPr>
              <w:t>Expected future recoveries of current period defaults</w:t>
            </w: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2"/>
                <w:szCs w:val="12"/>
                <w:color w:val="auto"/>
              </w:rPr>
            </w:pPr>
          </w:p>
        </w:tc>
      </w:tr>
      <w:tr>
        <w:trPr>
          <w:trHeight w:val="148"/>
        </w:trPr>
        <w:tc>
          <w:tcPr>
            <w:tcW w:w="54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Recoveries (cash collected)</w:t>
            </w:r>
          </w:p>
        </w:tc>
        <w:tc>
          <w:tcPr>
            <w:tcW w:w="4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w:t>
            </w:r>
          </w:p>
        </w:tc>
      </w:tr>
      <w:tr>
        <w:trPr>
          <w:trHeight w:val="149"/>
        </w:trPr>
        <w:tc>
          <w:tcPr>
            <w:tcW w:w="5460" w:type="dxa"/>
            <w:vAlign w:val="bottom"/>
            <w:gridSpan w:val="2"/>
          </w:tcPr>
          <w:p>
            <w:pPr>
              <w:ind w:left="20"/>
              <w:spacing w:after="0"/>
              <w:rPr>
                <w:sz w:val="20"/>
                <w:szCs w:val="20"/>
                <w:color w:val="auto"/>
              </w:rPr>
            </w:pPr>
            <w:r>
              <w:rPr>
                <w:rFonts w:ascii="Arial" w:cs="Arial" w:eastAsia="Arial" w:hAnsi="Arial"/>
                <w:sz w:val="13"/>
                <w:szCs w:val="13"/>
                <w:color w:val="auto"/>
              </w:rPr>
              <w:t>Charge-offs (as a result of lower recovery expectations)</w:t>
            </w:r>
          </w:p>
        </w:tc>
        <w:tc>
          <w:tcPr>
            <w:tcW w:w="40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r>
      <w:tr>
        <w:trPr>
          <w:trHeight w:val="182"/>
        </w:trPr>
        <w:tc>
          <w:tcPr>
            <w:tcW w:w="5460" w:type="dxa"/>
            <w:vAlign w:val="bottom"/>
            <w:tcBorders>
              <w:bottom w:val="single" w:sz="8" w:color="CFF0FC"/>
            </w:tcBorders>
            <w:gridSpan w:val="2"/>
            <w:shd w:val="clear" w:color="auto" w:fill="CFF0FC"/>
          </w:tcPr>
          <w:p>
            <w:pPr>
              <w:ind w:left="20"/>
              <w:spacing w:after="0" w:line="142" w:lineRule="exact"/>
              <w:rPr>
                <w:sz w:val="20"/>
                <w:szCs w:val="20"/>
                <w:color w:val="auto"/>
              </w:rPr>
            </w:pPr>
            <w:r>
              <w:rPr>
                <w:rFonts w:ascii="Arial" w:cs="Arial" w:eastAsia="Arial" w:hAnsi="Arial"/>
                <w:sz w:val="13"/>
                <w:szCs w:val="13"/>
                <w:color w:val="auto"/>
              </w:rPr>
              <w:t>End of period expected future recoveries on previously fully charged-off loans</w:t>
            </w:r>
          </w:p>
        </w:tc>
        <w:tc>
          <w:tcPr>
            <w:tcW w:w="4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166</w:t>
            </w: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170</w:t>
            </w: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174</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57"/>
        </w:trPr>
        <w:tc>
          <w:tcPr>
            <w:tcW w:w="5460" w:type="dxa"/>
            <w:vAlign w:val="bottom"/>
            <w:gridSpan w:val="2"/>
          </w:tcPr>
          <w:p>
            <w:pPr>
              <w:ind w:left="20"/>
              <w:spacing w:after="0"/>
              <w:rPr>
                <w:sz w:val="20"/>
                <w:szCs w:val="20"/>
                <w:color w:val="auto"/>
              </w:rPr>
            </w:pPr>
            <w:r>
              <w:rPr>
                <w:rFonts w:ascii="Arial" w:cs="Arial" w:eastAsia="Arial" w:hAnsi="Arial"/>
                <w:sz w:val="13"/>
                <w:szCs w:val="13"/>
                <w:color w:val="auto"/>
              </w:rPr>
              <w:t>Change in balance during period</w:t>
            </w:r>
          </w:p>
        </w:tc>
        <w:tc>
          <w:tcPr>
            <w:tcW w:w="4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4374515</wp:posOffset>
            </wp:positionH>
            <wp:positionV relativeFrom="paragraph">
              <wp:posOffset>-137160</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-120015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-137160</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-120015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-137160</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-120015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4" w:lineRule="exact"/>
        <w:rPr>
          <w:sz w:val="20"/>
          <w:szCs w:val="20"/>
          <w:color w:val="auto"/>
        </w:rPr>
      </w:pPr>
    </w:p>
    <w:p>
      <w:pPr>
        <w:ind w:left="240" w:hanging="236"/>
        <w:spacing w:after="0"/>
        <w:tabs>
          <w:tab w:leader="none" w:pos="24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For Private Education Loans, the item is a non-GAAP financial measure. For a description and reconciliation, see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4" w:right="1099" w:bottom="1440" w:gutter="0" w:footer="0" w:header="0"/>
        </w:sectPr>
      </w:pPr>
    </w:p>
    <w:bookmarkStart w:id="16" w:name="page17"/>
    <w:bookmarkEnd w:id="16"/>
    <w:p>
      <w:pPr>
        <w:ind w:left="1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72200" cy="205740"/>
                    </a:xfrm>
                    <a:prstGeom prst="rect">
                      <a:avLst/>
                    </a:prstGeom>
                    <a:noFill/>
                  </pic:spPr>
                </pic:pic>
              </a:graphicData>
            </a:graphic>
          </wp:anchor>
        </w:drawing>
        <w:t>LIQUIDITY AND CAPITAL RESOURCES</w:t>
      </w:r>
    </w:p>
    <w:p>
      <w:pPr>
        <w:spacing w:after="0" w:line="25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expect to fund our ongoing liquidity needs, including the repayment of $1.2 billion of senior unsecured notes that mature in the short term (i.e., over the next 12 months) and the remaining $4.1 billion of senior unsecured notes that mature in the long term (from 2027 to 2043 with 76% maturing by 2032), through a number of sources. These sources include our cash on hand, unencumbered FFELP Loan and Private Education Refinance Loan portfolios (see “Sources of Primary Liquidity” below), the predictable operating cash flows provided by operating activities, the repayment of principal on unencumbered education loan assets, and the distribution of overcollateralization from our securitization trusts. We may also, depending on market conditions and availability, draw down on our secured FFELP Loan and Private Education Loan asset-backed commercial paper (ABCP) facilities, issue term asset-backed securities (ABS), enter into additional Private Education Loan and FFELP Loan ABS repurchase facilities, or issue additional unsecured debt.</w:t>
      </w:r>
    </w:p>
    <w:p>
      <w:pPr>
        <w:spacing w:after="0" w:line="156"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We originate Private Education Loans (a portion of which is obtained through a forward purchase agreement). We also have purchased and may purchase, in future periods, Private Education Loan portfolios from third parties. Those originations and purchases are part of our ongoing liquidity needs. We repurchased 2.3 million shares of common stock for $23 million in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6172200"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72200" cy="205740"/>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SOURCES OF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Primary Liquidity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3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Ending Balances:</w:t>
            </w:r>
          </w:p>
        </w:tc>
        <w:tc>
          <w:tcPr>
            <w:tcW w:w="140" w:type="dxa"/>
            <w:vAlign w:val="bottom"/>
            <w:tcBorders>
              <w:left w:val="single" w:sz="8" w:color="CFF0FC"/>
            </w:tcBorders>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Unrestricted cash</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621</w:t>
            </w:r>
          </w:p>
        </w:tc>
        <w:tc>
          <w:tcPr>
            <w:tcW w:w="7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637</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Unencumbered Private Education Refinance Loans</w:t>
            </w:r>
          </w:p>
        </w:tc>
        <w:tc>
          <w:tcPr>
            <w:tcW w:w="140" w:type="dxa"/>
            <w:vAlign w:val="bottom"/>
            <w:tcBorders>
              <w:left w:val="single" w:sz="8" w:color="CFF0FC"/>
            </w:tcBorders>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w:t>
            </w:r>
          </w:p>
        </w:tc>
        <w:tc>
          <w:tcPr>
            <w:tcW w:w="20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Unencumbered FFELP Loans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140" w:type="dxa"/>
            <w:vAlign w:val="bottom"/>
            <w:tcBorders>
              <w:left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1,107</w:t>
            </w:r>
          </w:p>
        </w:tc>
        <w:tc>
          <w:tcPr>
            <w:tcW w:w="720" w:type="dxa"/>
            <w:vAlign w:val="bottom"/>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1,249</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340" w:type="dxa"/>
            <w:vAlign w:val="bottom"/>
            <w:tcBorders>
              <w:top w:val="single" w:sz="8" w:color="CFF0FC"/>
            </w:tcBorders>
          </w:tcPr>
          <w:p>
            <w:pPr>
              <w:spacing w:after="0"/>
              <w:rPr>
                <w:sz w:val="15"/>
                <w:szCs w:val="15"/>
                <w:color w:val="auto"/>
              </w:rPr>
            </w:pPr>
          </w:p>
        </w:tc>
        <w:tc>
          <w:tcPr>
            <w:tcW w:w="38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380" w:type="dxa"/>
            <w:vAlign w:val="bottom"/>
            <w:tcBorders>
              <w:top w:val="single" w:sz="8" w:color="auto"/>
            </w:tcBorders>
            <w:gridSpan w:val="2"/>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800" w:type="dxa"/>
            <w:vAlign w:val="bottom"/>
            <w:vMerge w:val="restart"/>
          </w:tcPr>
          <w:p>
            <w:pPr>
              <w:spacing w:after="0"/>
              <w:rPr>
                <w:sz w:val="14"/>
                <w:szCs w:val="14"/>
                <w:color w:val="auto"/>
              </w:rPr>
            </w:pPr>
          </w:p>
        </w:tc>
        <w:tc>
          <w:tcPr>
            <w:tcW w:w="140" w:type="dxa"/>
            <w:vAlign w:val="bottom"/>
            <w:tcBorders>
              <w:left w:val="single" w:sz="8" w:color="D9D9D9"/>
            </w:tcBorders>
            <w:shd w:val="clear" w:color="auto" w:fill="D9D9D9"/>
          </w:tcPr>
          <w:p>
            <w:pPr>
              <w:spacing w:after="0"/>
              <w:rPr>
                <w:sz w:val="14"/>
                <w:szCs w:val="14"/>
                <w:color w:val="auto"/>
              </w:rPr>
            </w:pPr>
          </w:p>
        </w:tc>
        <w:tc>
          <w:tcPr>
            <w:tcW w:w="1240" w:type="dxa"/>
            <w:vAlign w:val="bottom"/>
            <w:shd w:val="clear" w:color="auto" w:fill="D9D9D9"/>
          </w:tcPr>
          <w:p>
            <w:pPr>
              <w:spacing w:after="0"/>
              <w:rPr>
                <w:sz w:val="14"/>
                <w:szCs w:val="14"/>
                <w:color w:val="auto"/>
              </w:rPr>
            </w:pPr>
          </w:p>
        </w:tc>
        <w:tc>
          <w:tcPr>
            <w:tcW w:w="1760" w:type="dxa"/>
            <w:vAlign w:val="bottom"/>
            <w:tcBorders>
              <w:right w:val="single" w:sz="8" w:color="D9D9D9"/>
            </w:tcBorders>
            <w:gridSpan w:val="4"/>
            <w:shd w:val="clear" w:color="auto" w:fill="D9D9D9"/>
          </w:tcPr>
          <w:p>
            <w:pPr>
              <w:ind w:left="180"/>
              <w:spacing w:after="0"/>
              <w:rPr>
                <w:sz w:val="20"/>
                <w:szCs w:val="20"/>
                <w:color w:val="auto"/>
              </w:rPr>
            </w:pPr>
            <w:r>
              <w:rPr>
                <w:rFonts w:ascii="Arial" w:cs="Arial" w:eastAsia="Arial" w:hAnsi="Arial"/>
                <w:sz w:val="14"/>
                <w:szCs w:val="14"/>
                <w:b w:val="1"/>
                <w:bCs w:val="1"/>
                <w:color w:val="auto"/>
              </w:rPr>
              <w:t>QUARTERS ENDED</w:t>
            </w:r>
          </w:p>
        </w:tc>
        <w:tc>
          <w:tcPr>
            <w:tcW w:w="12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Average Balances:</w:t>
            </w:r>
          </w:p>
        </w:tc>
        <w:tc>
          <w:tcPr>
            <w:tcW w:w="140" w:type="dxa"/>
            <w:vAlign w:val="bottom"/>
            <w:tcBorders>
              <w:left w:val="single" w:sz="8" w:color="CFF0FC"/>
            </w:tcBorders>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Unrestricted cash</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553</w:t>
            </w:r>
          </w:p>
        </w:tc>
        <w:tc>
          <w:tcPr>
            <w:tcW w:w="7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589</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Unencumbered Private Education Refinance Loans</w:t>
            </w:r>
          </w:p>
        </w:tc>
        <w:tc>
          <w:tcPr>
            <w:tcW w:w="140" w:type="dxa"/>
            <w:vAlign w:val="bottom"/>
            <w:tcBorders>
              <w:left w:val="single" w:sz="8" w:color="CFF0FC"/>
            </w:tcBorders>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w:t>
            </w:r>
          </w:p>
        </w:tc>
        <w:tc>
          <w:tcPr>
            <w:tcW w:w="200" w:type="dxa"/>
            <w:vAlign w:val="bottom"/>
            <w:tcBorders>
              <w:right w:val="single" w:sz="8" w:color="CFF0FC"/>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684</w:t>
            </w: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Unencumbered FFELP Loans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140" w:type="dxa"/>
            <w:vAlign w:val="bottom"/>
            <w:tcBorders>
              <w:lef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1,297</w:t>
            </w:r>
          </w:p>
        </w:tc>
        <w:tc>
          <w:tcPr>
            <w:tcW w:w="200" w:type="dxa"/>
            <w:vAlign w:val="bottom"/>
            <w:tcBorders>
              <w:right w:val="single" w:sz="8" w:color="CFF0FC"/>
            </w:tcBorders>
            <w:shd w:val="clear" w:color="auto" w:fill="CFF0FC"/>
          </w:tcPr>
          <w:p>
            <w:pPr>
              <w:spacing w:after="0"/>
              <w:rPr>
                <w:sz w:val="17"/>
                <w:szCs w:val="17"/>
                <w:color w:val="auto"/>
              </w:rPr>
            </w:pPr>
          </w:p>
        </w:tc>
        <w:tc>
          <w:tcPr>
            <w:tcW w:w="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1,344</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3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4142740</wp:posOffset>
            </wp:positionH>
            <wp:positionV relativeFrom="paragraph">
              <wp:posOffset>-1002665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-984885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-1002665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-984885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-1002665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-984885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-24765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-24765</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-7620</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52" w:right="10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Sources of Additional Liquidity</w:t>
      </w:r>
    </w:p>
    <w:p>
      <w:pPr>
        <w:spacing w:after="0" w:line="203"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Liquidity may also be available under our secured credit facilities. Maximum borrowing capacity under the FFELP Loan and Private Education Loan ABCP facilities will vary and be subject to each agreement’s borrowing conditions, including, among others, facility size, current usage and availability of qualifying collateral from unencumbered loans. The following tables detail the additional borrowing capacity of these facilities with maturity dates ranging from June 2026 to April 2029.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3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March 31, 2026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Ending Balances:</w:t>
            </w:r>
          </w:p>
        </w:tc>
        <w:tc>
          <w:tcPr>
            <w:tcW w:w="140" w:type="dxa"/>
            <w:vAlign w:val="bottom"/>
            <w:tcBorders>
              <w:left w:val="single" w:sz="8" w:color="CFF0FC"/>
            </w:tcBorders>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Private Education Loan ABCP facilities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1,461</w:t>
            </w:r>
          </w:p>
        </w:tc>
        <w:tc>
          <w:tcPr>
            <w:tcW w:w="40" w:type="dxa"/>
            <w:vAlign w:val="bottom"/>
          </w:tcPr>
          <w:p>
            <w:pPr>
              <w:spacing w:after="0"/>
              <w:rPr>
                <w:sz w:val="16"/>
                <w:szCs w:val="16"/>
                <w:color w:val="auto"/>
              </w:rPr>
            </w:pPr>
          </w:p>
        </w:tc>
        <w:tc>
          <w:tcPr>
            <w:tcW w:w="7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FFELP Loan ABCP facilities</w:t>
            </w:r>
          </w:p>
        </w:tc>
        <w:tc>
          <w:tcPr>
            <w:tcW w:w="140" w:type="dxa"/>
            <w:vAlign w:val="bottom"/>
            <w:tcBorders>
              <w:left w:val="single" w:sz="8" w:color="CFF0FC"/>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4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1,604</w:t>
            </w:r>
          </w:p>
        </w:tc>
        <w:tc>
          <w:tcPr>
            <w:tcW w:w="40" w:type="dxa"/>
            <w:vAlign w:val="bottom"/>
          </w:tcPr>
          <w:p>
            <w:pPr>
              <w:spacing w:after="0"/>
              <w:rPr>
                <w:sz w:val="15"/>
                <w:szCs w:val="15"/>
                <w:color w:val="auto"/>
              </w:rPr>
            </w:pPr>
          </w:p>
        </w:tc>
        <w:tc>
          <w:tcPr>
            <w:tcW w:w="700" w:type="dxa"/>
            <w:vAlign w:val="bottom"/>
            <w:gridSpan w:val="3"/>
          </w:tcPr>
          <w:p>
            <w:pPr>
              <w:ind w:left="160"/>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1,882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1,849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4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800" w:type="dxa"/>
            <w:vAlign w:val="bottom"/>
            <w:vMerge w:val="restart"/>
          </w:tcPr>
          <w:p>
            <w:pPr>
              <w:spacing w:after="0"/>
              <w:rPr>
                <w:sz w:val="14"/>
                <w:szCs w:val="14"/>
                <w:color w:val="auto"/>
              </w:rPr>
            </w:pPr>
          </w:p>
        </w:tc>
        <w:tc>
          <w:tcPr>
            <w:tcW w:w="140" w:type="dxa"/>
            <w:vAlign w:val="bottom"/>
            <w:tcBorders>
              <w:left w:val="single" w:sz="8" w:color="D9D9D9"/>
            </w:tcBorders>
            <w:shd w:val="clear" w:color="auto" w:fill="D9D9D9"/>
          </w:tcPr>
          <w:p>
            <w:pPr>
              <w:spacing w:after="0"/>
              <w:rPr>
                <w:sz w:val="14"/>
                <w:szCs w:val="14"/>
                <w:color w:val="auto"/>
              </w:rPr>
            </w:pPr>
          </w:p>
        </w:tc>
        <w:tc>
          <w:tcPr>
            <w:tcW w:w="124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1700" w:type="dxa"/>
            <w:vAlign w:val="bottom"/>
            <w:gridSpan w:val="6"/>
            <w:shd w:val="clear" w:color="auto" w:fill="D9D9D9"/>
          </w:tcPr>
          <w:p>
            <w:pPr>
              <w:ind w:left="140"/>
              <w:spacing w:after="0"/>
              <w:rPr>
                <w:sz w:val="20"/>
                <w:szCs w:val="20"/>
                <w:color w:val="auto"/>
              </w:rPr>
            </w:pPr>
            <w:r>
              <w:rPr>
                <w:rFonts w:ascii="Arial" w:cs="Arial" w:eastAsia="Arial" w:hAnsi="Arial"/>
                <w:sz w:val="14"/>
                <w:szCs w:val="14"/>
                <w:b w:val="1"/>
                <w:bCs w:val="1"/>
                <w:color w:val="auto"/>
              </w:rPr>
              <w:t>QUARTERS ENDED</w:t>
            </w:r>
          </w:p>
        </w:tc>
        <w:tc>
          <w:tcPr>
            <w:tcW w:w="1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Average Balances:</w:t>
            </w:r>
          </w:p>
        </w:tc>
        <w:tc>
          <w:tcPr>
            <w:tcW w:w="140" w:type="dxa"/>
            <w:vAlign w:val="bottom"/>
            <w:tcBorders>
              <w:left w:val="single" w:sz="8" w:color="CFF0FC"/>
            </w:tcBorders>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Private Education Loan ABCP facilities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1,661</w:t>
            </w:r>
          </w:p>
        </w:tc>
        <w:tc>
          <w:tcPr>
            <w:tcW w:w="70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2,051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FFELP Loan ABCP facilities</w:t>
            </w:r>
          </w:p>
        </w:tc>
        <w:tc>
          <w:tcPr>
            <w:tcW w:w="140" w:type="dxa"/>
            <w:vAlign w:val="bottom"/>
            <w:tcBorders>
              <w:left w:val="single" w:sz="8" w:color="CFF0FC"/>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1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184</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4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1,824</w:t>
            </w:r>
          </w:p>
        </w:tc>
        <w:tc>
          <w:tcPr>
            <w:tcW w:w="700" w:type="dxa"/>
            <w:vAlign w:val="bottom"/>
            <w:gridSpan w:val="3"/>
          </w:tcPr>
          <w:p>
            <w:pPr>
              <w:ind w:left="200"/>
              <w:spacing w:after="0" w:line="183"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2,235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1,796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4142740</wp:posOffset>
            </wp:positionH>
            <wp:positionV relativeFrom="paragraph">
              <wp:posOffset>-1079500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-1079500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-1079500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-153670</wp:posOffset>
            </wp:positionV>
            <wp:extent cx="59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-153670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-153670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7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At March 31, 2026, we had a total of $2.8 billion of unencumbered tangible assets inclusive of those listed in the table above as sources of primary liquidity. Total unencumbered education loans comprised $1.2 billion of our unencumbered tangible assets of which $1.2 billion and $44 million related to Private Education Loans and FFELP Loans, respectively. In addition, as of March 31, 2026, we had $4.8 billion of encumbered net assets (i.e., overcollateralization) in our various financing facilities (consolidated variable interest entities). We enter into repurchase facilities at times to borrow against the encumbered net assets of these financing vehicles. As of March 31, 2026, $0.5 billion of repurchase facility borrowings were outstanding.</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encumbered and unencumbered assets and their net impact on total Tangible Equity.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billions)</w:t>
            </w:r>
          </w:p>
        </w:tc>
        <w:tc>
          <w:tcPr>
            <w:tcW w:w="4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68"/>
        </w:trPr>
        <w:tc>
          <w:tcPr>
            <w:tcW w:w="6100" w:type="dxa"/>
            <w:vAlign w:val="bottom"/>
            <w:gridSpan w:val="2"/>
            <w:shd w:val="clear" w:color="auto" w:fill="CFF0FC"/>
          </w:tcPr>
          <w:p>
            <w:pPr>
              <w:spacing w:after="0" w:line="168" w:lineRule="exact"/>
              <w:rPr>
                <w:sz w:val="20"/>
                <w:szCs w:val="20"/>
                <w:color w:val="auto"/>
              </w:rPr>
            </w:pPr>
            <w:r>
              <w:rPr>
                <w:rFonts w:ascii="Arial" w:cs="Arial" w:eastAsia="Arial" w:hAnsi="Arial"/>
                <w:sz w:val="16"/>
                <w:szCs w:val="16"/>
                <w:color w:val="auto"/>
              </w:rPr>
              <w:t>Net assets of consolidated variable interest entities</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3"/>
        </w:trPr>
        <w:tc>
          <w:tcPr>
            <w:tcW w:w="61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(encumbered assets) — Private Education Loans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7"/>
                <w:szCs w:val="17"/>
                <w:color w:val="auto"/>
              </w:rPr>
            </w:pPr>
          </w:p>
        </w:tc>
      </w:tr>
      <w:tr>
        <w:trPr>
          <w:trHeight w:val="175"/>
        </w:trPr>
        <w:tc>
          <w:tcPr>
            <w:tcW w:w="6100" w:type="dxa"/>
            <w:vAlign w:val="bottom"/>
            <w:gridSpan w:val="2"/>
          </w:tcPr>
          <w:p>
            <w:pPr>
              <w:spacing w:after="0" w:line="175" w:lineRule="exact"/>
              <w:rPr>
                <w:sz w:val="20"/>
                <w:szCs w:val="20"/>
                <w:color w:val="auto"/>
              </w:rPr>
            </w:pPr>
            <w:r>
              <w:rPr>
                <w:rFonts w:ascii="Arial" w:cs="Arial" w:eastAsia="Arial" w:hAnsi="Arial"/>
                <w:sz w:val="16"/>
                <w:szCs w:val="16"/>
                <w:color w:val="auto"/>
              </w:rPr>
              <w:t>Net assets of consolidated variable interest entities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100" w:type="dxa"/>
            <w:vAlign w:val="bottom"/>
            <w:gridSpan w:val="2"/>
          </w:tcPr>
          <w:p>
            <w:pPr>
              <w:ind w:left="140"/>
              <w:spacing w:after="0"/>
              <w:rPr>
                <w:sz w:val="20"/>
                <w:szCs w:val="20"/>
                <w:color w:val="auto"/>
              </w:rPr>
            </w:pPr>
            <w:r>
              <w:rPr>
                <w:rFonts w:ascii="Arial" w:cs="Arial" w:eastAsia="Arial" w:hAnsi="Arial"/>
                <w:sz w:val="16"/>
                <w:szCs w:val="16"/>
                <w:color w:val="auto"/>
              </w:rPr>
              <w:t>(encumbered assets) — FFELP Loans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r>
      <w:tr>
        <w:trPr>
          <w:trHeight w:val="189"/>
        </w:trPr>
        <w:tc>
          <w:tcPr>
            <w:tcW w:w="610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Tangible unencumbered assets</w:t>
            </w:r>
            <w:r>
              <w:rPr>
                <w:rFonts w:ascii="Arial" w:cs="Arial" w:eastAsia="Arial" w:hAnsi="Arial"/>
                <w:sz w:val="21"/>
                <w:szCs w:val="21"/>
                <w:color w:val="auto"/>
                <w:vertAlign w:val="superscript"/>
              </w:rPr>
              <w:t>(1)</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6"/>
                <w:szCs w:val="16"/>
                <w:color w:val="auto"/>
              </w:rPr>
            </w:pPr>
          </w:p>
        </w:tc>
      </w:tr>
      <w:tr>
        <w:trPr>
          <w:trHeight w:val="189"/>
        </w:trPr>
        <w:tc>
          <w:tcPr>
            <w:tcW w:w="6100" w:type="dxa"/>
            <w:vAlign w:val="bottom"/>
            <w:gridSpan w:val="2"/>
          </w:tcPr>
          <w:p>
            <w:pPr>
              <w:spacing w:after="0"/>
              <w:rPr>
                <w:sz w:val="20"/>
                <w:szCs w:val="20"/>
                <w:color w:val="auto"/>
              </w:rPr>
            </w:pPr>
            <w:r>
              <w:rPr>
                <w:rFonts w:ascii="Arial" w:cs="Arial" w:eastAsia="Arial" w:hAnsi="Arial"/>
                <w:sz w:val="16"/>
                <w:szCs w:val="16"/>
                <w:color w:val="auto"/>
              </w:rPr>
              <w:t>Senior unsecured debt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r>
      <w:tr>
        <w:trPr>
          <w:trHeight w:val="189"/>
        </w:trPr>
        <w:tc>
          <w:tcPr>
            <w:tcW w:w="610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Mark-to-market on unsecured hedged debt</w:t>
            </w:r>
            <w:r>
              <w:rPr>
                <w:rFonts w:ascii="Arial" w:cs="Arial" w:eastAsia="Arial" w:hAnsi="Arial"/>
                <w:sz w:val="21"/>
                <w:szCs w:val="21"/>
                <w:color w:val="auto"/>
                <w:vertAlign w:val="superscript"/>
              </w:rPr>
              <w:t>(2)</w:t>
            </w:r>
          </w:p>
        </w:tc>
        <w:tc>
          <w:tcPr>
            <w:tcW w:w="1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r>
      <w:tr>
        <w:trPr>
          <w:trHeight w:val="189"/>
        </w:trPr>
        <w:tc>
          <w:tcPr>
            <w:tcW w:w="6100" w:type="dxa"/>
            <w:vAlign w:val="bottom"/>
            <w:gridSpan w:val="2"/>
          </w:tcPr>
          <w:p>
            <w:pPr>
              <w:spacing w:after="0"/>
              <w:rPr>
                <w:sz w:val="20"/>
                <w:szCs w:val="20"/>
                <w:color w:val="auto"/>
              </w:rPr>
            </w:pPr>
            <w:r>
              <w:rPr>
                <w:rFonts w:ascii="Arial" w:cs="Arial" w:eastAsia="Arial" w:hAnsi="Arial"/>
                <w:sz w:val="16"/>
                <w:szCs w:val="16"/>
                <w:color w:val="auto"/>
              </w:rPr>
              <w:t>Other liabilities, net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10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6"/>
                <w:szCs w:val="16"/>
                <w:color w:val="auto"/>
              </w:rPr>
              <w:t xml:space="preserve">Total Tangible Equity </w:t>
            </w:r>
            <w:r>
              <w:rPr>
                <w:rFonts w:ascii="Arial" w:cs="Arial" w:eastAsia="Arial" w:hAnsi="Arial"/>
                <w:sz w:val="21"/>
                <w:szCs w:val="21"/>
                <w:color w:val="auto"/>
                <w:vertAlign w:val="superscript"/>
              </w:rPr>
              <w:t>(3)</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7"/>
                <w:szCs w:val="17"/>
                <w:color w:val="auto"/>
              </w:rPr>
            </w:pPr>
          </w:p>
        </w:tc>
      </w:tr>
      <w:tr>
        <w:trPr>
          <w:trHeight w:val="20"/>
        </w:trPr>
        <w:tc>
          <w:tcPr>
            <w:tcW w:w="1300" w:type="dxa"/>
            <w:vAlign w:val="bottom"/>
            <w:tcBorders>
              <w:top w:val="single" w:sz="8" w:color="CFF0FC"/>
            </w:tcBorders>
            <w:shd w:val="clear" w:color="auto" w:fill="CFF0FC"/>
          </w:tcPr>
          <w:p>
            <w:pPr>
              <w:spacing w:after="0" w:line="20" w:lineRule="exact"/>
              <w:rPr>
                <w:sz w:val="1"/>
                <w:szCs w:val="1"/>
                <w:color w:val="auto"/>
              </w:rPr>
            </w:pPr>
          </w:p>
        </w:tc>
        <w:tc>
          <w:tcPr>
            <w:tcW w:w="4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-24765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-8255</wp:posOffset>
            </wp:positionV>
            <wp:extent cx="59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-24765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-8255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111125</wp:posOffset>
            </wp:positionV>
            <wp:extent cx="7372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99" w:lineRule="exact"/>
        <w:rPr>
          <w:sz w:val="20"/>
          <w:szCs w:val="20"/>
          <w:color w:val="auto"/>
        </w:rPr>
      </w:pPr>
    </w:p>
    <w:p>
      <w:pPr>
        <w:ind w:left="320" w:hanging="316"/>
        <w:spacing w:after="0"/>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Excludes goodwill and acquired intangible assets.</w:t>
      </w:r>
    </w:p>
    <w:p>
      <w:pPr>
        <w:spacing w:after="0" w:line="47" w:lineRule="exact"/>
        <w:rPr>
          <w:rFonts w:ascii="Arial" w:cs="Arial" w:eastAsia="Arial" w:hAnsi="Arial"/>
          <w:sz w:val="19"/>
          <w:szCs w:val="19"/>
          <w:color w:val="auto"/>
          <w:vertAlign w:val="superscript"/>
        </w:rPr>
      </w:pPr>
    </w:p>
    <w:p>
      <w:pPr>
        <w:ind w:left="220" w:right="220" w:hanging="216"/>
        <w:spacing w:after="0" w:line="217" w:lineRule="auto"/>
        <w:tabs>
          <w:tab w:leader="none" w:pos="319"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At March 31, 2026, December 31, 2025, and March 31, 2025, there were $(60) million, $(50) million and $(123) million, respectively, of net gains (losses) on derivatives hedging this debt in unencumbered assets, which partially offset these gains (losses).</w:t>
      </w:r>
    </w:p>
    <w:p>
      <w:pPr>
        <w:spacing w:after="0" w:line="12" w:lineRule="exact"/>
        <w:rPr>
          <w:rFonts w:ascii="Arial" w:cs="Arial" w:eastAsia="Arial" w:hAnsi="Arial"/>
          <w:sz w:val="19"/>
          <w:szCs w:val="19"/>
          <w:color w:val="auto"/>
          <w:vertAlign w:val="superscript"/>
        </w:rPr>
      </w:pPr>
    </w:p>
    <w:p>
      <w:pPr>
        <w:ind w:left="200" w:hanging="196"/>
        <w:spacing w:after="0"/>
        <w:tabs>
          <w:tab w:leader="none" w:pos="20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Item is a non-GAAP financial measure. For a description and reconciliation, see “Non-GAAP Financial Measures.”</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18" w:name="page19"/>
    <w:bookmarkEnd w:id="18"/>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1974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72200" cy="197485"/>
                    </a:xfrm>
                    <a:prstGeom prst="rect">
                      <a:avLst/>
                    </a:prstGeom>
                    <a:noFill/>
                  </pic:spPr>
                </pic:pic>
              </a:graphicData>
            </a:graphic>
          </wp:anchor>
        </w:drawing>
        <w:t>NON-GAAP FINANCIAL MEASURES</w:t>
      </w:r>
    </w:p>
    <w:p>
      <w:pPr>
        <w:spacing w:after="0" w:line="28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In addition to financial results reported on a GAAP basis, Navient also provides certain performance measures which are non-GAAP financial measures. We present the following non-GAAP financial measures: (1) Core Earnings, (2) Tangible Equity (as well as the Adjusted Tangible Equity Ratio) and (3) Allowance for Loan Losses Excluding Expected Future Recoveries on Previously Fully Charged-off Loans. Definitions for the non-GAAP financial measures and reconciliations are provided below, except that reconciliations of forward-looking non-GAAP financial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gains/losses resulting from our use of derivative instruments to hedge our economic risks.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Core Earnings</w:t>
      </w:r>
    </w:p>
    <w:p>
      <w:pPr>
        <w:spacing w:after="0" w:line="11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prepare financial statements and present financial results in accordance with GAAP. However, we also evaluate our business segments and present financial results on a basis that differs from GAAP. We refer to this different basis of presentation as Core Earnings. We provide this Core Earnings basis of presentation on a consolidated basis and for each business segment because this is what we review internally when making management decisions regarding our performance and how we allocate resources. We also refer to this information in our presentations with credit rating agencies, lenders and investors. Because our Core Earnings basis of presentation corresponds to our segment financial presentations, we are required by GAAP to provide certain Core Earnings disclosures in the notes to our consolidated financial statements for our business segments.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Core Earnings are not a substitute for reported results under GAAP. We use Core Earnings to manage our business segments because Core Earnings reflect adjustments to GAAP financial results for two items, discussed below, that can create significant volatility mostly due to timing factors generally beyond the control of management. Accordingly, we believe that Core Earnings provide management with a useful basis from which to better evaluate results from ongoing operations against the business plan or against results from prior periods. Consequently, we disclose this information because we believe it provides investors with additional information regarding the operational and performance indicators that are most closely assessed by management. When compared to GAAP results, the two items we remove to result in our Core Earnings presentations are:</w:t>
      </w:r>
    </w:p>
    <w:p>
      <w:pPr>
        <w:spacing w:after="0" w:line="73" w:lineRule="exact"/>
        <w:rPr>
          <w:sz w:val="20"/>
          <w:szCs w:val="20"/>
          <w:color w:val="auto"/>
        </w:rPr>
      </w:pPr>
    </w:p>
    <w:p>
      <w:pPr>
        <w:ind w:left="1080" w:hanging="558"/>
        <w:spacing w:after="0" w:line="286" w:lineRule="auto"/>
        <w:tabs>
          <w:tab w:leader="none" w:pos="8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Mark-to-market gains/losses resulting from our use of derivative instruments to hedge our economic risks that do not qualify for hedge accounting treatment or do qualify for hedge accounting treatment but result in ineffectiveness; and</w:t>
      </w:r>
    </w:p>
    <w:p>
      <w:pPr>
        <w:spacing w:after="0" w:line="47" w:lineRule="exact"/>
        <w:rPr>
          <w:rFonts w:ascii="Arial" w:cs="Arial" w:eastAsia="Arial" w:hAnsi="Arial"/>
          <w:sz w:val="16"/>
          <w:szCs w:val="16"/>
          <w:color w:val="auto"/>
        </w:rPr>
      </w:pPr>
    </w:p>
    <w:p>
      <w:pPr>
        <w:ind w:left="880" w:hanging="358"/>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accounting for goodwill and acquired intangible assets.</w:t>
      </w:r>
    </w:p>
    <w:p>
      <w:pPr>
        <w:spacing w:after="0" w:line="22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While GAAP provides a uniform, comprehensive basis of accounting, for the reasons described above, our Core Earnings basis of presentation does not. Core Earnings are subject to certain general and specific limitations that investors should carefully consider. For example, there is no comprehensive, authoritative guidance for management reporting. Our Core Earnings are not defined terms within GAAP and may not be comparable to similarly titled measures reported by other companies. Accordingly, our Core Earnings presentation does not represent a comprehensive basis of accounting. Investors, therefore, may not be able to compare our performance with that of other financial services companies based upon Core Earnings. Core Earnings results are only meant to supplement GAAP results by providing additional information regarding the operational and performance indicators that are most closely used by management, our Board of Directors, credit rating agencies, lenders and investors to assess performance.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25" w:right="1099" w:bottom="1440" w:gutter="0" w:footer="0" w:header="0"/>
        </w:sectPr>
      </w:pPr>
    </w:p>
    <w:bookmarkStart w:id="19" w:name="page20"/>
    <w:bookmarkEnd w:id="19"/>
    <w:p>
      <w:pPr>
        <w:jc w:val="both"/>
        <w:ind w:right="40"/>
        <w:spacing w:after="0" w:line="266" w:lineRule="auto"/>
        <w:rPr>
          <w:sz w:val="20"/>
          <w:szCs w:val="20"/>
          <w:color w:val="auto"/>
        </w:rPr>
      </w:pPr>
      <w:r>
        <w:rPr>
          <w:rFonts w:ascii="Arial" w:cs="Arial" w:eastAsia="Arial" w:hAnsi="Arial"/>
          <w:sz w:val="16"/>
          <w:szCs w:val="16"/>
          <w:color w:val="auto"/>
        </w:rPr>
        <w:t>The following tables show our consolidated GAAP results, Core Earnings results (including for each reportable segment) along with the adjustments made to the income/expense items to reconcile the consolidated GAAP results to the Core Earnings results as required by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76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2380" w:type="dxa"/>
            <w:vAlign w:val="bottom"/>
            <w:gridSpan w:val="11"/>
            <w:shd w:val="clear" w:color="auto" w:fill="D9D9D9"/>
          </w:tcPr>
          <w:p>
            <w:pPr>
              <w:jc w:val="right"/>
              <w:ind w:right="440"/>
              <w:spacing w:after="0"/>
              <w:rPr>
                <w:sz w:val="20"/>
                <w:szCs w:val="20"/>
                <w:color w:val="auto"/>
              </w:rPr>
            </w:pPr>
            <w:r>
              <w:rPr>
                <w:rFonts w:ascii="Arial" w:cs="Arial" w:eastAsia="Arial" w:hAnsi="Arial"/>
                <w:sz w:val="11"/>
                <w:szCs w:val="11"/>
                <w:b w:val="1"/>
                <w:bCs w:val="1"/>
                <w:color w:val="auto"/>
              </w:rPr>
              <w:t>QUARTER ENDED MARCH 31, 2026</w:t>
            </w:r>
          </w:p>
        </w:tc>
        <w:tc>
          <w:tcPr>
            <w:tcW w:w="100" w:type="dxa"/>
            <w:vAlign w:val="bottom"/>
            <w:tcBorders>
              <w:right w:val="single" w:sz="8" w:color="D9D9D9"/>
            </w:tcBorders>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74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34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3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Adjustments</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right w:val="single" w:sz="8" w:color="auto"/>
            </w:tcBorders>
            <w:gridSpan w:val="3"/>
            <w:vMerge w:val="restart"/>
          </w:tcPr>
          <w:p>
            <w:pPr>
              <w:jc w:val="center"/>
              <w:ind w:right="260"/>
              <w:spacing w:after="0"/>
              <w:rPr>
                <w:sz w:val="20"/>
                <w:szCs w:val="20"/>
                <w:color w:val="auto"/>
              </w:rPr>
            </w:pPr>
            <w:r>
              <w:rPr>
                <w:rFonts w:ascii="Arial" w:cs="Arial" w:eastAsia="Arial" w:hAnsi="Arial"/>
                <w:sz w:val="11"/>
                <w:szCs w:val="11"/>
                <w:b w:val="1"/>
                <w:bCs w:val="1"/>
                <w:color w:val="auto"/>
                <w:w w:val="98"/>
              </w:rPr>
              <w:t>Total</w:t>
            </w: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5"/>
          </w:tcPr>
          <w:p>
            <w:pPr>
              <w:ind w:left="140"/>
              <w:spacing w:after="0" w:line="122" w:lineRule="exact"/>
              <w:rPr>
                <w:sz w:val="20"/>
                <w:szCs w:val="20"/>
                <w:color w:val="auto"/>
              </w:rPr>
            </w:pPr>
            <w:r>
              <w:rPr>
                <w:rFonts w:ascii="Arial" w:cs="Arial" w:eastAsia="Arial" w:hAnsi="Arial"/>
                <w:sz w:val="11"/>
                <w:szCs w:val="11"/>
                <w:b w:val="1"/>
                <w:bCs w:val="1"/>
                <w:color w:val="auto"/>
                <w:w w:val="99"/>
              </w:rPr>
              <w:t>Reportable Segments</w:t>
            </w: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right w:val="single" w:sz="8" w:color="auto"/>
            </w:tcBorders>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w w:val="96"/>
              </w:rPr>
              <w:t>Federal</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Total</w:t>
            </w:r>
          </w:p>
        </w:tc>
        <w:tc>
          <w:tcPr>
            <w:tcW w:w="80" w:type="dxa"/>
            <w:vAlign w:val="bottom"/>
          </w:tcPr>
          <w:p>
            <w:pPr>
              <w:spacing w:after="0"/>
              <w:rPr>
                <w:sz w:val="9"/>
                <w:szCs w:val="9"/>
                <w:color w:val="auto"/>
              </w:rPr>
            </w:pPr>
          </w:p>
        </w:tc>
        <w:tc>
          <w:tcPr>
            <w:tcW w:w="780" w:type="dxa"/>
            <w:vAlign w:val="bottom"/>
            <w:gridSpan w:val="3"/>
          </w:tcPr>
          <w:p>
            <w:pPr>
              <w:jc w:val="right"/>
              <w:ind w:right="260"/>
              <w:spacing w:after="0" w:line="108" w:lineRule="exact"/>
              <w:rPr>
                <w:sz w:val="20"/>
                <w:szCs w:val="20"/>
                <w:color w:val="auto"/>
              </w:rPr>
            </w:pPr>
            <w:r>
              <w:rPr>
                <w:rFonts w:ascii="Arial" w:cs="Arial" w:eastAsia="Arial" w:hAnsi="Arial"/>
                <w:sz w:val="11"/>
                <w:szCs w:val="11"/>
                <w:b w:val="1"/>
                <w:bCs w:val="1"/>
                <w:color w:val="auto"/>
              </w:rPr>
              <w:t>Reclassi-</w:t>
            </w:r>
          </w:p>
        </w:tc>
        <w:tc>
          <w:tcPr>
            <w:tcW w:w="120" w:type="dxa"/>
            <w:vAlign w:val="bottom"/>
          </w:tcPr>
          <w:p>
            <w:pPr>
              <w:spacing w:after="0"/>
              <w:rPr>
                <w:sz w:val="9"/>
                <w:szCs w:val="9"/>
                <w:color w:val="auto"/>
              </w:rPr>
            </w:pPr>
          </w:p>
        </w:tc>
        <w:tc>
          <w:tcPr>
            <w:tcW w:w="940" w:type="dxa"/>
            <w:vAlign w:val="bottom"/>
            <w:gridSpan w:val="2"/>
          </w:tcPr>
          <w:p>
            <w:pPr>
              <w:jc w:val="right"/>
              <w:ind w:right="360"/>
              <w:spacing w:after="0" w:line="108" w:lineRule="exact"/>
              <w:rPr>
                <w:sz w:val="20"/>
                <w:szCs w:val="20"/>
                <w:color w:val="auto"/>
              </w:rPr>
            </w:pPr>
            <w:r>
              <w:rPr>
                <w:rFonts w:ascii="Arial" w:cs="Arial" w:eastAsia="Arial" w:hAnsi="Arial"/>
                <w:sz w:val="11"/>
                <w:szCs w:val="11"/>
                <w:b w:val="1"/>
                <w:bCs w:val="1"/>
                <w:color w:val="auto"/>
              </w:rPr>
              <w:t>Additions/</w:t>
            </w:r>
          </w:p>
        </w:tc>
        <w:tc>
          <w:tcPr>
            <w:tcW w:w="180" w:type="dxa"/>
            <w:vAlign w:val="bottom"/>
          </w:tcPr>
          <w:p>
            <w:pPr>
              <w:spacing w:after="0"/>
              <w:rPr>
                <w:sz w:val="9"/>
                <w:szCs w:val="9"/>
                <w:color w:val="auto"/>
              </w:rPr>
            </w:pPr>
          </w:p>
        </w:tc>
        <w:tc>
          <w:tcPr>
            <w:tcW w:w="760" w:type="dxa"/>
            <w:vAlign w:val="bottom"/>
            <w:gridSpan w:val="2"/>
          </w:tcPr>
          <w:p>
            <w:pPr>
              <w:jc w:val="right"/>
              <w:ind w:right="40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right w:val="single" w:sz="8" w:color="auto"/>
            </w:tcBorders>
            <w:gridSpan w:val="3"/>
          </w:tcPr>
          <w:p>
            <w:pPr>
              <w:jc w:val="center"/>
              <w:ind w:right="260"/>
              <w:spacing w:after="0" w:line="108" w:lineRule="exact"/>
              <w:rPr>
                <w:sz w:val="20"/>
                <w:szCs w:val="20"/>
                <w:color w:val="auto"/>
              </w:rPr>
            </w:pPr>
            <w:r>
              <w:rPr>
                <w:rFonts w:ascii="Arial" w:cs="Arial" w:eastAsia="Arial" w:hAnsi="Arial"/>
                <w:sz w:val="11"/>
                <w:szCs w:val="11"/>
                <w:b w:val="1"/>
                <w:bCs w:val="1"/>
                <w:color w:val="auto"/>
              </w:rPr>
              <w:t>Core</w:t>
            </w:r>
          </w:p>
        </w:tc>
        <w:tc>
          <w:tcPr>
            <w:tcW w:w="40" w:type="dxa"/>
            <w:vAlign w:val="bottom"/>
          </w:tcPr>
          <w:p>
            <w:pPr>
              <w:spacing w:after="0"/>
              <w:rPr>
                <w:sz w:val="9"/>
                <w:szCs w:val="9"/>
                <w:color w:val="auto"/>
              </w:rPr>
            </w:pPr>
          </w:p>
        </w:tc>
        <w:tc>
          <w:tcPr>
            <w:tcW w:w="800" w:type="dxa"/>
            <w:vAlign w:val="bottom"/>
            <w:gridSpan w:val="3"/>
          </w:tcPr>
          <w:p>
            <w:pPr>
              <w:jc w:val="right"/>
              <w:ind w:right="200"/>
              <w:spacing w:after="0" w:line="108" w:lineRule="exact"/>
              <w:rPr>
                <w:sz w:val="20"/>
                <w:szCs w:val="20"/>
                <w:color w:val="auto"/>
              </w:rPr>
            </w:pPr>
            <w:r>
              <w:rPr>
                <w:rFonts w:ascii="Arial" w:cs="Arial" w:eastAsia="Arial" w:hAnsi="Arial"/>
                <w:sz w:val="11"/>
                <w:szCs w:val="11"/>
                <w:b w:val="1"/>
                <w:bCs w:val="1"/>
                <w:color w:val="auto"/>
              </w:rPr>
              <w:t>Consumer</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tcPr>
          <w:p>
            <w:pPr>
              <w:jc w:val="center"/>
              <w:ind w:right="300"/>
              <w:spacing w:after="0" w:line="108" w:lineRule="exact"/>
              <w:rPr>
                <w:sz w:val="20"/>
                <w:szCs w:val="20"/>
                <w:color w:val="auto"/>
              </w:rPr>
            </w:pPr>
            <w:r>
              <w:rPr>
                <w:rFonts w:ascii="Arial" w:cs="Arial" w:eastAsia="Arial" w:hAnsi="Arial"/>
                <w:sz w:val="11"/>
                <w:szCs w:val="11"/>
                <w:b w:val="1"/>
                <w:bCs w:val="1"/>
                <w:color w:val="auto"/>
              </w:rPr>
              <w:t>Education</w:t>
            </w:r>
          </w:p>
        </w:tc>
        <w:tc>
          <w:tcPr>
            <w:tcW w:w="80" w:type="dxa"/>
            <w:vAlign w:val="bottom"/>
          </w:tcPr>
          <w:p>
            <w:pPr>
              <w:spacing w:after="0"/>
              <w:rPr>
                <w:sz w:val="9"/>
                <w:szCs w:val="9"/>
                <w:color w:val="auto"/>
              </w:rPr>
            </w:pPr>
          </w:p>
        </w:tc>
        <w:tc>
          <w:tcPr>
            <w:tcW w:w="62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Business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(Dollars in millions)</w:t>
            </w:r>
          </w:p>
        </w:tc>
        <w:tc>
          <w:tcPr>
            <w:tcW w:w="120" w:type="dxa"/>
            <w:vAlign w:val="bottom"/>
          </w:tcPr>
          <w:p>
            <w:pPr>
              <w:spacing w:after="0"/>
              <w:rPr>
                <w:sz w:val="12"/>
                <w:szCs w:val="12"/>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GAAP</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7"/>
              </w:rPr>
              <w:t>fications</w:t>
            </w:r>
          </w:p>
        </w:tc>
        <w:tc>
          <w:tcPr>
            <w:tcW w:w="106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(Subtractions)</w:t>
            </w:r>
          </w:p>
        </w:tc>
        <w:tc>
          <w:tcPr>
            <w:tcW w:w="940" w:type="dxa"/>
            <w:vAlign w:val="bottom"/>
            <w:gridSpan w:val="3"/>
          </w:tcPr>
          <w:p>
            <w:pPr>
              <w:jc w:val="right"/>
              <w:ind w:right="140"/>
              <w:spacing w:after="0" w:line="149" w:lineRule="exact"/>
              <w:rPr>
                <w:sz w:val="20"/>
                <w:szCs w:val="20"/>
                <w:color w:val="auto"/>
              </w:rPr>
            </w:pPr>
            <w:r>
              <w:rPr>
                <w:rFonts w:ascii="Arial" w:cs="Arial" w:eastAsia="Arial" w:hAnsi="Arial"/>
                <w:sz w:val="11"/>
                <w:szCs w:val="11"/>
                <w:b w:val="1"/>
                <w:bCs w:val="1"/>
                <w:color w:val="auto"/>
                <w:w w:val="96"/>
              </w:rPr>
              <w:t xml:space="preserve">Adjustments </w:t>
            </w:r>
            <w:r>
              <w:rPr>
                <w:rFonts w:ascii="Arial" w:cs="Arial" w:eastAsia="Arial" w:hAnsi="Arial"/>
                <w:sz w:val="14"/>
                <w:szCs w:val="14"/>
                <w:b w:val="1"/>
                <w:bCs w:val="1"/>
                <w:color w:val="auto"/>
                <w:w w:val="96"/>
                <w:vertAlign w:val="superscript"/>
              </w:rPr>
              <w:t>(1)</w:t>
            </w:r>
          </w:p>
        </w:tc>
        <w:tc>
          <w:tcPr>
            <w:tcW w:w="80" w:type="dxa"/>
            <w:vAlign w:val="bottom"/>
          </w:tcPr>
          <w:p>
            <w:pPr>
              <w:spacing w:after="0"/>
              <w:rPr>
                <w:sz w:val="12"/>
                <w:szCs w:val="12"/>
                <w:color w:val="auto"/>
              </w:rPr>
            </w:pPr>
          </w:p>
        </w:tc>
        <w:tc>
          <w:tcPr>
            <w:tcW w:w="70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1"/>
                <w:szCs w:val="11"/>
                <w:b w:val="1"/>
                <w:bCs w:val="1"/>
                <w:color w:val="auto"/>
                <w:w w:val="97"/>
              </w:rPr>
              <w:t>Earnings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Lending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8"/>
              </w:rPr>
              <w:t>Loans</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Processing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28"/>
        </w:trPr>
        <w:tc>
          <w:tcPr>
            <w:tcW w:w="10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rPr>
              <w:t>Interest income:</w:t>
            </w:r>
          </w:p>
        </w:tc>
        <w:tc>
          <w:tcPr>
            <w:tcW w:w="860" w:type="dxa"/>
            <w:vAlign w:val="bottom"/>
            <w:gridSpan w:val="3"/>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Education loans</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678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277</w:t>
            </w:r>
          </w:p>
        </w:tc>
        <w:tc>
          <w:tcPr>
            <w:tcW w:w="100" w:type="dxa"/>
            <w:vAlign w:val="bottom"/>
          </w:tcPr>
          <w:p>
            <w:pPr>
              <w:spacing w:after="0"/>
              <w:rPr>
                <w:sz w:val="11"/>
                <w:szCs w:val="11"/>
                <w:color w:val="auto"/>
              </w:rPr>
            </w:pP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jc w:val="right"/>
              <w:ind w:right="226"/>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ind w:left="200"/>
              <w:spacing w:after="0" w:line="135" w:lineRule="exact"/>
              <w:rPr>
                <w:sz w:val="20"/>
                <w:szCs w:val="20"/>
                <w:color w:val="auto"/>
              </w:rPr>
            </w:pPr>
            <w:r>
              <w:rPr>
                <w:rFonts w:ascii="Arial" w:cs="Arial" w:eastAsia="Arial" w:hAnsi="Arial"/>
                <w:sz w:val="13"/>
                <w:szCs w:val="13"/>
                <w:color w:val="auto"/>
                <w:w w:val="91"/>
              </w:rPr>
              <w:t>—</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60" w:type="dxa"/>
            <w:vAlign w:val="bottom"/>
            <w:tcBorders>
              <w:bottom w:val="single" w:sz="8" w:color="CFF0FC"/>
            </w:tcBorders>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Cash and investments</w:t>
            </w:r>
          </w:p>
        </w:tc>
        <w:tc>
          <w:tcPr>
            <w:tcW w:w="1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8</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ind w:left="20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60" w:type="dxa"/>
            <w:vAlign w:val="bottom"/>
            <w:gridSpan w:val="5"/>
          </w:tcPr>
          <w:p>
            <w:pPr>
              <w:spacing w:after="0" w:line="129" w:lineRule="exact"/>
              <w:rPr>
                <w:sz w:val="20"/>
                <w:szCs w:val="20"/>
                <w:color w:val="auto"/>
              </w:rPr>
            </w:pPr>
            <w:r>
              <w:rPr>
                <w:rFonts w:ascii="Arial" w:cs="Arial" w:eastAsia="Arial" w:hAnsi="Arial"/>
                <w:sz w:val="13"/>
                <w:szCs w:val="13"/>
                <w:color w:val="auto"/>
              </w:rPr>
              <w:t>Total interest income</w:t>
            </w:r>
          </w:p>
        </w:tc>
        <w:tc>
          <w:tcPr>
            <w:tcW w:w="1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695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281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409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20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Borders>
              <w:bottom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Total interest expense</w:t>
            </w:r>
          </w:p>
        </w:tc>
        <w:tc>
          <w:tcPr>
            <w:tcW w:w="1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564</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181</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363</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ind w:left="20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60" w:type="dxa"/>
            <w:vAlign w:val="bottom"/>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60" w:type="dxa"/>
            <w:vAlign w:val="bottom"/>
            <w:gridSpan w:val="5"/>
          </w:tcPr>
          <w:p>
            <w:pPr>
              <w:ind w:left="100"/>
              <w:spacing w:after="0"/>
              <w:rPr>
                <w:sz w:val="20"/>
                <w:szCs w:val="20"/>
                <w:color w:val="auto"/>
              </w:rPr>
            </w:pPr>
            <w:r>
              <w:rPr>
                <w:rFonts w:ascii="Arial" w:cs="Arial" w:eastAsia="Arial" w:hAnsi="Arial"/>
                <w:sz w:val="13"/>
                <w:szCs w:val="13"/>
                <w:color w:val="auto"/>
              </w:rPr>
              <w:t>(loss)</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131</w:t>
            </w:r>
          </w:p>
        </w:tc>
        <w:tc>
          <w:tcPr>
            <w:tcW w:w="14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180" w:type="dxa"/>
            <w:vAlign w:val="bottom"/>
          </w:tcPr>
          <w:p>
            <w:pPr>
              <w:jc w:val="right"/>
              <w:ind w:right="4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126</w:t>
            </w: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17"/>
        </w:trPr>
        <w:tc>
          <w:tcPr>
            <w:tcW w:w="186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Less: provisions for loan</w:t>
            </w:r>
          </w:p>
        </w:tc>
        <w:tc>
          <w:tcPr>
            <w:tcW w:w="12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860" w:type="dxa"/>
            <w:vAlign w:val="bottom"/>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losses</w:t>
            </w:r>
          </w:p>
        </w:tc>
        <w:tc>
          <w:tcPr>
            <w:tcW w:w="12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2"/>
            <w:vMerge w:val="continue"/>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86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(loss) after provisions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5"/>
          </w:tcPr>
          <w:p>
            <w:pPr>
              <w:ind w:left="100"/>
              <w:spacing w:after="0"/>
              <w:rPr>
                <w:sz w:val="20"/>
                <w:szCs w:val="20"/>
                <w:color w:val="auto"/>
              </w:rPr>
            </w:pPr>
            <w:r>
              <w:rPr>
                <w:rFonts w:ascii="Arial" w:cs="Arial" w:eastAsia="Arial" w:hAnsi="Arial"/>
                <w:sz w:val="13"/>
                <w:szCs w:val="13"/>
                <w:color w:val="auto"/>
              </w:rPr>
              <w:t>for loan losses</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5"/>
        </w:trPr>
        <w:tc>
          <w:tcPr>
            <w:tcW w:w="186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income (loss):</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Servicing revenue</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20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86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Asset recovery and</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60" w:type="dxa"/>
            <w:vAlign w:val="bottom"/>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business processing</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5"/>
            <w:shd w:val="clear" w:color="auto" w:fill="CFF0FC"/>
          </w:tcPr>
          <w:p>
            <w:pPr>
              <w:ind w:left="200"/>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Other revenue</w:t>
            </w: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ind w:left="20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other income</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color w:val="auto"/>
              </w:rPr>
              <w:t>(5)</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spacing w:after="0" w:line="135" w:lineRule="exact"/>
              <w:rPr>
                <w:sz w:val="20"/>
                <w:szCs w:val="20"/>
                <w:color w:val="auto"/>
              </w:rPr>
            </w:pPr>
            <w:r>
              <w:rPr>
                <w:rFonts w:ascii="Arial" w:cs="Arial" w:eastAsia="Arial" w:hAnsi="Arial"/>
                <w:sz w:val="13"/>
                <w:szCs w:val="13"/>
                <w:color w:val="auto"/>
              </w:rPr>
              <w:t>Expenses: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Direct operating</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60" w:type="dxa"/>
            <w:vAlign w:val="bottom"/>
            <w:gridSpan w:val="5"/>
            <w:shd w:val="clear" w:color="auto" w:fill="CFF0FC"/>
          </w:tcPr>
          <w:p>
            <w:pPr>
              <w:ind w:left="200"/>
              <w:spacing w:after="0"/>
              <w:rPr>
                <w:sz w:val="20"/>
                <w:szCs w:val="20"/>
                <w:color w:val="auto"/>
              </w:rPr>
            </w:pPr>
            <w:r>
              <w:rPr>
                <w:rFonts w:ascii="Arial" w:cs="Arial" w:eastAsia="Arial" w:hAnsi="Arial"/>
                <w:sz w:val="13"/>
                <w:szCs w:val="13"/>
                <w:color w:val="auto"/>
              </w:rPr>
              <w:t>expenses</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86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Unallocated shared</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vMerge w:val="restart"/>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vMerge w:val="restart"/>
          </w:tcPr>
          <w:p>
            <w:pPr>
              <w:ind w:left="20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860" w:type="dxa"/>
            <w:vAlign w:val="bottom"/>
            <w:gridSpan w:val="5"/>
          </w:tcPr>
          <w:p>
            <w:pPr>
              <w:ind w:left="200"/>
              <w:spacing w:after="0" w:line="139" w:lineRule="exact"/>
              <w:rPr>
                <w:sz w:val="20"/>
                <w:szCs w:val="20"/>
                <w:color w:val="auto"/>
              </w:rPr>
            </w:pPr>
            <w:r>
              <w:rPr>
                <w:rFonts w:ascii="Arial" w:cs="Arial" w:eastAsia="Arial" w:hAnsi="Arial"/>
                <w:sz w:val="13"/>
                <w:szCs w:val="13"/>
                <w:color w:val="auto"/>
              </w:rPr>
              <w:t>services expenses</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60" w:type="dxa"/>
            <w:vAlign w:val="bottom"/>
            <w:gridSpan w:val="5"/>
            <w:shd w:val="clear" w:color="auto" w:fill="CFF0FC"/>
          </w:tcPr>
          <w:p>
            <w:pPr>
              <w:ind w:left="100"/>
              <w:spacing w:after="0" w:line="129" w:lineRule="exact"/>
              <w:rPr>
                <w:sz w:val="20"/>
                <w:szCs w:val="20"/>
                <w:color w:val="auto"/>
              </w:rPr>
            </w:pPr>
            <w:r>
              <w:rPr>
                <w:rFonts w:ascii="Arial" w:cs="Arial" w:eastAsia="Arial" w:hAnsi="Arial"/>
                <w:sz w:val="13"/>
                <w:szCs w:val="13"/>
                <w:color w:val="auto"/>
              </w:rPr>
              <w:t>Operating expenses</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89</w:t>
            </w: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39</w:t>
            </w: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16</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Goodwill and acquired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intangible asset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impairment and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5"/>
          </w:tcPr>
          <w:p>
            <w:pPr>
              <w:ind w:left="200"/>
              <w:spacing w:after="0"/>
              <w:rPr>
                <w:sz w:val="20"/>
                <w:szCs w:val="20"/>
                <w:color w:val="auto"/>
              </w:rPr>
            </w:pPr>
            <w:r>
              <w:rPr>
                <w:rFonts w:ascii="Arial" w:cs="Arial" w:eastAsia="Arial" w:hAnsi="Arial"/>
                <w:sz w:val="13"/>
                <w:szCs w:val="13"/>
                <w:color w:val="auto"/>
              </w:rPr>
              <w:t>amortization</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86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Restructuring/other</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60" w:type="dxa"/>
            <w:vAlign w:val="bottom"/>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reorganization</w:t>
            </w:r>
          </w:p>
        </w:tc>
        <w:tc>
          <w:tcPr>
            <w:tcW w:w="1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vMerge w:val="restart"/>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60" w:type="dxa"/>
            <w:vAlign w:val="bottom"/>
            <w:tcBorders>
              <w:bottom w:val="single" w:sz="8" w:color="CFF0FC"/>
            </w:tcBorders>
            <w:gridSpan w:val="5"/>
            <w:shd w:val="clear" w:color="auto" w:fill="CFF0FC"/>
          </w:tcPr>
          <w:p>
            <w:pPr>
              <w:ind w:left="200"/>
              <w:spacing w:after="0" w:line="139" w:lineRule="exact"/>
              <w:rPr>
                <w:sz w:val="20"/>
                <w:szCs w:val="20"/>
                <w:color w:val="auto"/>
              </w:rPr>
            </w:pPr>
            <w:r>
              <w:rPr>
                <w:rFonts w:ascii="Arial" w:cs="Arial" w:eastAsia="Arial" w:hAnsi="Arial"/>
                <w:sz w:val="13"/>
                <w:szCs w:val="13"/>
                <w:color w:val="auto"/>
              </w:rPr>
              <w:t>expenses</w:t>
            </w:r>
          </w:p>
        </w:tc>
        <w:tc>
          <w:tcPr>
            <w:tcW w:w="12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gridSpan w:val="2"/>
            <w:vMerge w:val="continue"/>
            <w:shd w:val="clear" w:color="auto" w:fill="CFF0FC"/>
          </w:tcPr>
          <w:p>
            <w:pPr>
              <w:spacing w:after="0"/>
              <w:rPr>
                <w:sz w:val="12"/>
                <w:szCs w:val="12"/>
                <w:color w:val="auto"/>
              </w:rPr>
            </w:pPr>
          </w:p>
        </w:tc>
        <w:tc>
          <w:tcPr>
            <w:tcW w:w="140" w:type="dxa"/>
            <w:vAlign w:val="bottom"/>
            <w:tcBorders>
              <w:bottom w:val="single" w:sz="8" w:color="CFF0FC"/>
              <w:right w:val="single" w:sz="8" w:color="auto"/>
            </w:tcBorders>
            <w:vMerge w:val="continue"/>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gridSpan w:val="2"/>
            <w:vMerge w:val="continue"/>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60" w:type="dxa"/>
            <w:vAlign w:val="bottom"/>
            <w:gridSpan w:val="5"/>
          </w:tcPr>
          <w:p>
            <w:pPr>
              <w:spacing w:after="0" w:line="129" w:lineRule="exact"/>
              <w:rPr>
                <w:sz w:val="20"/>
                <w:szCs w:val="20"/>
                <w:color w:val="auto"/>
              </w:rPr>
            </w:pPr>
            <w:r>
              <w:rPr>
                <w:rFonts w:ascii="Arial" w:cs="Arial" w:eastAsia="Arial" w:hAnsi="Arial"/>
                <w:sz w:val="13"/>
                <w:szCs w:val="13"/>
                <w:color w:val="auto"/>
              </w:rPr>
              <w:t>Total expenses</w:t>
            </w:r>
          </w:p>
        </w:tc>
        <w:tc>
          <w:tcPr>
            <w:tcW w:w="1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93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(4)</w:t>
            </w:r>
          </w:p>
        </w:tc>
        <w:tc>
          <w:tcPr>
            <w:tcW w:w="18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89</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20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6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Income (loss) before</w:t>
            </w:r>
          </w:p>
        </w:tc>
        <w:tc>
          <w:tcPr>
            <w:tcW w:w="12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6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income tax expense</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(benefit)</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08"/>
        </w:trPr>
        <w:tc>
          <w:tcPr>
            <w:tcW w:w="1860" w:type="dxa"/>
            <w:vAlign w:val="bottom"/>
            <w:gridSpan w:val="5"/>
          </w:tcPr>
          <w:p>
            <w:pPr>
              <w:spacing w:after="0" w:line="108" w:lineRule="exact"/>
              <w:rPr>
                <w:sz w:val="20"/>
                <w:szCs w:val="20"/>
                <w:color w:val="auto"/>
              </w:rPr>
            </w:pPr>
            <w:r>
              <w:rPr>
                <w:rFonts w:ascii="Arial" w:cs="Arial" w:eastAsia="Arial" w:hAnsi="Arial"/>
                <w:sz w:val="12"/>
                <w:szCs w:val="12"/>
                <w:color w:val="auto"/>
              </w:rPr>
              <w:t>Income tax expense</w:t>
            </w: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(8)</w:t>
            </w:r>
          </w:p>
        </w:tc>
        <w:tc>
          <w:tcPr>
            <w:tcW w:w="180" w:type="dxa"/>
            <w:vAlign w:val="bottom"/>
          </w:tcPr>
          <w:p>
            <w:pPr>
              <w:spacing w:after="0"/>
              <w:rPr>
                <w:sz w:val="9"/>
                <w:szCs w:val="9"/>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rPr>
              <w:t>7</w:t>
            </w: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vMerge w:val="restart"/>
          </w:tcPr>
          <w:p>
            <w:pPr>
              <w:ind w:left="20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9"/>
        </w:trPr>
        <w:tc>
          <w:tcPr>
            <w:tcW w:w="1860" w:type="dxa"/>
            <w:vAlign w:val="bottom"/>
            <w:gridSpan w:val="5"/>
          </w:tcPr>
          <w:p>
            <w:pPr>
              <w:ind w:left="100"/>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60" w:type="dxa"/>
            <w:vAlign w:val="bottom"/>
            <w:gridSpan w:val="5"/>
          </w:tcPr>
          <w:p>
            <w:pPr>
              <w:spacing w:after="0" w:line="129" w:lineRule="exact"/>
              <w:rPr>
                <w:sz w:val="20"/>
                <w:szCs w:val="20"/>
                <w:color w:val="auto"/>
              </w:rPr>
            </w:pPr>
            <w:r>
              <w:rPr>
                <w:rFonts w:ascii="Arial" w:cs="Arial" w:eastAsia="Arial" w:hAnsi="Arial"/>
                <w:sz w:val="13"/>
                <w:szCs w:val="13"/>
                <w:color w:val="auto"/>
              </w:rPr>
              <w:t>Net income (loss)</w:t>
            </w: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w:t>
            </w:r>
          </w:p>
        </w:tc>
        <w:tc>
          <w:tcPr>
            <w:tcW w:w="1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0"/>
              <w:spacing w:after="0" w:line="115"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19</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bottom w:val="single" w:sz="8" w:color="auto"/>
            </w:tcBorders>
            <w:gridSpan w:val="2"/>
          </w:tcPr>
          <w:p>
            <w:pPr>
              <w:jc w:val="right"/>
              <w:ind w:right="226"/>
              <w:spacing w:after="0" w:line="115"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ind w:left="200"/>
              <w:spacing w:after="0" w:line="11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4"/>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620" w:type="dxa"/>
            <w:vAlign w:val="bottom"/>
            <w:gridSpan w:val="8"/>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4"/>
                <w:szCs w:val="14"/>
                <w:color w:val="auto"/>
              </w:rPr>
              <w:t xml:space="preserve">  Core Earnings adjustments to GAAP:</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spacing w:after="0"/>
              <w:rPr>
                <w:sz w:val="17"/>
                <w:szCs w:val="17"/>
                <w:color w:val="auto"/>
              </w:rPr>
            </w:pPr>
          </w:p>
        </w:tc>
        <w:tc>
          <w:tcPr>
            <w:tcW w:w="880" w:type="dxa"/>
            <w:vAlign w:val="bottom"/>
            <w:gridSpan w:val="3"/>
          </w:tcPr>
          <w:p>
            <w:pPr>
              <w:spacing w:after="0"/>
              <w:rPr>
                <w:sz w:val="17"/>
                <w:szCs w:val="17"/>
                <w:color w:val="auto"/>
              </w:rPr>
            </w:pPr>
          </w:p>
        </w:tc>
        <w:tc>
          <w:tcPr>
            <w:tcW w:w="1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2140" w:type="dxa"/>
            <w:vAlign w:val="bottom"/>
            <w:gridSpan w:val="9"/>
            <w:shd w:val="clear" w:color="auto" w:fill="D9D9D9"/>
          </w:tcPr>
          <w:p>
            <w:pPr>
              <w:jc w:val="center"/>
              <w:ind w:left="218"/>
              <w:spacing w:after="0" w:line="122" w:lineRule="exact"/>
              <w:rPr>
                <w:sz w:val="20"/>
                <w:szCs w:val="20"/>
                <w:color w:val="auto"/>
              </w:rPr>
            </w:pPr>
            <w:r>
              <w:rPr>
                <w:rFonts w:ascii="Arial" w:cs="Arial" w:eastAsia="Arial" w:hAnsi="Arial"/>
                <w:sz w:val="11"/>
                <w:szCs w:val="11"/>
                <w:b w:val="1"/>
                <w:bCs w:val="1"/>
                <w:color w:val="auto"/>
                <w:w w:val="97"/>
              </w:rPr>
              <w:t>QUARTER ENDED MARCH 31, 2026</w:t>
            </w:r>
          </w:p>
        </w:tc>
        <w:tc>
          <w:tcPr>
            <w:tcW w:w="34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tcPr>
          <w:p>
            <w:pPr>
              <w:jc w:val="center"/>
              <w:ind w:right="20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4"/>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Net Impact of</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4"/>
          </w:tcPr>
          <w:p>
            <w:pPr>
              <w:jc w:val="center"/>
              <w:ind w:right="320"/>
              <w:spacing w:after="0" w:line="122" w:lineRule="exact"/>
              <w:rPr>
                <w:sz w:val="20"/>
                <w:szCs w:val="20"/>
                <w:color w:val="auto"/>
              </w:rPr>
            </w:pPr>
            <w:r>
              <w:rPr>
                <w:rFonts w:ascii="Arial" w:cs="Arial" w:eastAsia="Arial" w:hAnsi="Arial"/>
                <w:sz w:val="11"/>
                <w:szCs w:val="11"/>
                <w:b w:val="1"/>
                <w:bCs w:val="1"/>
                <w:color w:val="auto"/>
                <w:w w:val="98"/>
              </w:rPr>
              <w:t>Derivative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rPr>
              <w:t>Acquired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5"/>
              </w:rPr>
              <w:t>(Dollars in millions)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center"/>
              <w:ind w:right="118"/>
              <w:spacing w:after="0"/>
              <w:rPr>
                <w:sz w:val="20"/>
                <w:szCs w:val="20"/>
                <w:color w:val="auto"/>
              </w:rPr>
            </w:pPr>
            <w:r>
              <w:rPr>
                <w:rFonts w:ascii="Arial" w:cs="Arial" w:eastAsia="Arial" w:hAnsi="Arial"/>
                <w:sz w:val="11"/>
                <w:szCs w:val="11"/>
                <w:b w:val="1"/>
                <w:bCs w:val="1"/>
                <w:color w:val="auto"/>
                <w:w w:val="92"/>
              </w:rPr>
              <w:t>Accounting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6"/>
              </w:rPr>
              <w:t>Intangibles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Total</w:t>
            </w: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4060" w:type="dxa"/>
            <w:vAlign w:val="bottom"/>
            <w:gridSpan w:val="14"/>
            <w:shd w:val="clear" w:color="auto" w:fill="CFF0FC"/>
          </w:tcPr>
          <w:p>
            <w:pPr>
              <w:ind w:left="20"/>
              <w:spacing w:after="0" w:line="129" w:lineRule="exact"/>
              <w:rPr>
                <w:sz w:val="20"/>
                <w:szCs w:val="20"/>
                <w:color w:val="auto"/>
              </w:rPr>
            </w:pPr>
            <w:r>
              <w:rPr>
                <w:rFonts w:ascii="Arial" w:cs="Arial" w:eastAsia="Arial" w:hAnsi="Arial"/>
                <w:sz w:val="13"/>
                <w:szCs w:val="13"/>
                <w:color w:val="auto"/>
              </w:rPr>
              <w:t>Net interest income (loss) after provisions for loan losses</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tcBorders>
              <w:right w:val="single" w:sz="8" w:color="CFF0FC"/>
            </w:tcBorders>
            <w:gridSpan w:val="3"/>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(5)</w:t>
            </w:r>
          </w:p>
        </w:tc>
        <w:tc>
          <w:tcPr>
            <w:tcW w:w="1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ind w:left="80"/>
              <w:spacing w:after="0" w:line="129"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360" w:type="dxa"/>
            <w:vAlign w:val="bottom"/>
            <w:gridSpan w:val="3"/>
            <w:shd w:val="clear" w:color="auto" w:fill="CFF0FC"/>
          </w:tcPr>
          <w:p>
            <w:pPr>
              <w:jc w:val="right"/>
              <w:spacing w:after="0" w:line="129" w:lineRule="exact"/>
              <w:rPr>
                <w:sz w:val="20"/>
                <w:szCs w:val="20"/>
                <w:color w:val="auto"/>
              </w:rPr>
            </w:pPr>
            <w:r>
              <w:rPr>
                <w:rFonts w:ascii="Arial" w:cs="Arial" w:eastAsia="Arial" w:hAnsi="Arial"/>
                <w:sz w:val="13"/>
                <w:szCs w:val="13"/>
                <w:color w:val="auto"/>
              </w:rPr>
              <w:t>(5)</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500" w:type="dxa"/>
            <w:vAlign w:val="bottom"/>
            <w:gridSpan w:val="5"/>
          </w:tcPr>
          <w:p>
            <w:pPr>
              <w:ind w:left="20"/>
              <w:spacing w:after="0" w:line="135" w:lineRule="exact"/>
              <w:rPr>
                <w:sz w:val="20"/>
                <w:szCs w:val="20"/>
                <w:color w:val="auto"/>
              </w:rPr>
            </w:pPr>
            <w:r>
              <w:rPr>
                <w:rFonts w:ascii="Arial" w:cs="Arial" w:eastAsia="Arial" w:hAnsi="Arial"/>
                <w:sz w:val="13"/>
                <w:szCs w:val="13"/>
                <w:color w:val="auto"/>
              </w:rPr>
              <w:t>Total other income (loss)</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4060" w:type="dxa"/>
            <w:vAlign w:val="bottom"/>
            <w:gridSpan w:val="14"/>
            <w:shd w:val="clear" w:color="auto" w:fill="CFF0FC"/>
          </w:tcPr>
          <w:p>
            <w:pPr>
              <w:ind w:left="20"/>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gridSpan w:val="3"/>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60" w:type="dxa"/>
            <w:vAlign w:val="bottom"/>
            <w:gridSpan w:val="3"/>
            <w:shd w:val="clear" w:color="auto" w:fill="CFF0FC"/>
          </w:tcPr>
          <w:p>
            <w:pPr>
              <w:jc w:val="right"/>
              <w:spacing w:after="0" w:line="135" w:lineRule="exact"/>
              <w:rPr>
                <w:sz w:val="20"/>
                <w:szCs w:val="20"/>
                <w:color w:val="auto"/>
              </w:rPr>
            </w:pPr>
            <w:r>
              <w:rPr>
                <w:rFonts w:ascii="Arial" w:cs="Arial" w:eastAsia="Arial" w:hAnsi="Arial"/>
                <w:sz w:val="13"/>
                <w:szCs w:val="13"/>
                <w:color w:val="auto"/>
              </w:rPr>
              <w:t>(4)</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80" w:type="dxa"/>
            <w:vAlign w:val="bottom"/>
          </w:tcPr>
          <w:p>
            <w:pPr>
              <w:spacing w:after="0"/>
              <w:rPr>
                <w:sz w:val="11"/>
                <w:szCs w:val="11"/>
                <w:color w:val="auto"/>
              </w:rPr>
            </w:pPr>
          </w:p>
        </w:tc>
        <w:tc>
          <w:tcPr>
            <w:tcW w:w="3000" w:type="dxa"/>
            <w:vAlign w:val="bottom"/>
            <w:gridSpan w:val="11"/>
          </w:tcPr>
          <w:p>
            <w:pPr>
              <w:ind w:left="20"/>
              <w:spacing w:after="0" w:line="129" w:lineRule="exact"/>
              <w:rPr>
                <w:sz w:val="20"/>
                <w:szCs w:val="20"/>
                <w:color w:val="auto"/>
              </w:rPr>
            </w:pPr>
            <w:r>
              <w:rPr>
                <w:rFonts w:ascii="Arial" w:cs="Arial" w:eastAsia="Arial" w:hAnsi="Arial"/>
                <w:sz w:val="13"/>
                <w:szCs w:val="13"/>
                <w:color w:val="auto"/>
              </w:rPr>
              <w:t>Total Core Earnings adjustments to GAAP</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gridSpan w:val="2"/>
          </w:tcPr>
          <w:p>
            <w:pPr>
              <w:jc w:val="right"/>
              <w:ind w:right="120"/>
              <w:spacing w:after="0" w:line="115" w:lineRule="exact"/>
              <w:rPr>
                <w:sz w:val="20"/>
                <w:szCs w:val="20"/>
                <w:color w:val="auto"/>
              </w:rPr>
            </w:pPr>
            <w:r>
              <w:rPr>
                <w:rFonts w:ascii="Arial" w:cs="Arial" w:eastAsia="Arial" w:hAnsi="Arial"/>
                <w:sz w:val="13"/>
                <w:szCs w:val="13"/>
                <w:color w:val="auto"/>
                <w:w w:val="82"/>
              </w:rPr>
              <w:t>$</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gridSpan w:val="2"/>
          </w:tcPr>
          <w:p>
            <w:pPr>
              <w:jc w:val="right"/>
              <w:ind w:right="20"/>
              <w:spacing w:after="0" w:line="11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gridSpan w:val="3"/>
          </w:tcPr>
          <w:p>
            <w:pPr>
              <w:jc w:val="right"/>
              <w:spacing w:after="0" w:line="129" w:lineRule="exact"/>
              <w:rPr>
                <w:sz w:val="20"/>
                <w:szCs w:val="20"/>
                <w:color w:val="auto"/>
              </w:rPr>
            </w:pPr>
            <w:r>
              <w:rPr>
                <w:rFonts w:ascii="Arial" w:cs="Arial" w:eastAsia="Arial" w:hAnsi="Arial"/>
                <w:sz w:val="13"/>
                <w:szCs w:val="13"/>
                <w:color w:val="auto"/>
              </w:rPr>
              <w:t>(6)</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0" w:type="dxa"/>
            <w:vAlign w:val="bottom"/>
          </w:tcPr>
          <w:p>
            <w:pPr>
              <w:spacing w:after="0"/>
              <w:rPr>
                <w:sz w:val="10"/>
                <w:szCs w:val="10"/>
                <w:color w:val="auto"/>
              </w:rPr>
            </w:pPr>
          </w:p>
        </w:tc>
        <w:tc>
          <w:tcPr>
            <w:tcW w:w="2140" w:type="dxa"/>
            <w:vAlign w:val="bottom"/>
            <w:gridSpan w:val="7"/>
            <w:shd w:val="clear" w:color="auto" w:fill="CFF0FC"/>
          </w:tcPr>
          <w:p>
            <w:pPr>
              <w:ind w:left="20"/>
              <w:spacing w:after="0" w:line="116" w:lineRule="exact"/>
              <w:rPr>
                <w:sz w:val="20"/>
                <w:szCs w:val="20"/>
                <w:color w:val="auto"/>
              </w:rPr>
            </w:pPr>
            <w:r>
              <w:rPr>
                <w:rFonts w:ascii="Arial" w:cs="Arial" w:eastAsia="Arial" w:hAnsi="Arial"/>
                <w:sz w:val="13"/>
                <w:szCs w:val="13"/>
                <w:color w:val="auto"/>
              </w:rPr>
              <w:t>Income tax expense (benefit)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360" w:type="dxa"/>
            <w:vAlign w:val="bottom"/>
            <w:gridSpan w:val="3"/>
            <w:shd w:val="clear" w:color="auto" w:fill="CFF0FC"/>
          </w:tcPr>
          <w:p>
            <w:pPr>
              <w:jc w:val="right"/>
              <w:spacing w:after="0" w:line="116" w:lineRule="exact"/>
              <w:rPr>
                <w:sz w:val="20"/>
                <w:szCs w:val="20"/>
                <w:color w:val="auto"/>
              </w:rPr>
            </w:pPr>
            <w:r>
              <w:rPr>
                <w:rFonts w:ascii="Arial" w:cs="Arial" w:eastAsia="Arial" w:hAnsi="Arial"/>
                <w:sz w:val="13"/>
                <w:szCs w:val="13"/>
                <w:color w:val="auto"/>
              </w:rPr>
              <w:t>(8)</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tcPr>
          <w:p>
            <w:pPr>
              <w:spacing w:after="0"/>
              <w:rPr>
                <w:sz w:val="11"/>
                <w:szCs w:val="11"/>
                <w:color w:val="auto"/>
              </w:rPr>
            </w:pPr>
          </w:p>
        </w:tc>
        <w:tc>
          <w:tcPr>
            <w:tcW w:w="1380" w:type="dxa"/>
            <w:vAlign w:val="bottom"/>
            <w:gridSpan w:val="4"/>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80"/>
              <w:spacing w:after="0" w:line="129"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2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-4516755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-4516755</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-4516755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-4516755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-4516755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-4516755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-4516755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-4516755</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-4516755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-4337050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-4337050</wp:posOffset>
            </wp:positionV>
            <wp:extent cx="596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-4337050</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-4337050</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-4337050</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-4337050</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-4337050</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-4337050</wp:posOffset>
            </wp:positionV>
            <wp:extent cx="596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-4337050</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-3994150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-3994150</wp:posOffset>
            </wp:positionV>
            <wp:extent cx="596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-3994150</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-3994150</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-3994150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-3994150</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-3994150</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-3994150</wp:posOffset>
            </wp:positionV>
            <wp:extent cx="596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-3994150</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-2013585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-2013585</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-2013585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-2013585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-2013585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-2013585</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-2013585</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-2013585</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-2013585</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-325120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-325120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-325120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-119380</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260" w:hanging="256"/>
        <w:spacing w:after="0"/>
        <w:tabs>
          <w:tab w:leader="none" w:pos="260"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jc w:val="right"/>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9" w:right="10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70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480" w:type="dxa"/>
            <w:vAlign w:val="bottom"/>
            <w:gridSpan w:val="10"/>
            <w:shd w:val="clear" w:color="auto" w:fill="D9D9D9"/>
          </w:tcPr>
          <w:p>
            <w:pPr>
              <w:jc w:val="right"/>
              <w:ind w:right="337"/>
              <w:spacing w:after="0"/>
              <w:rPr>
                <w:sz w:val="20"/>
                <w:szCs w:val="20"/>
                <w:color w:val="auto"/>
              </w:rPr>
            </w:pPr>
            <w:r>
              <w:rPr>
                <w:rFonts w:ascii="Arial" w:cs="Arial" w:eastAsia="Arial" w:hAnsi="Arial"/>
                <w:sz w:val="11"/>
                <w:szCs w:val="11"/>
                <w:b w:val="1"/>
                <w:bCs w:val="1"/>
                <w:color w:val="auto"/>
                <w:w w:val="99"/>
              </w:rPr>
              <w:t>QUARTER ENDED DECEMBER 31, 2025</w:t>
            </w:r>
          </w:p>
        </w:tc>
        <w:tc>
          <w:tcPr>
            <w:tcW w:w="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340" w:type="dxa"/>
            <w:vAlign w:val="bottom"/>
            <w:tcBorders>
              <w:left w:val="single" w:sz="8" w:color="D9D9D9"/>
            </w:tcBorders>
            <w:shd w:val="clear" w:color="auto" w:fill="D9D9D9"/>
          </w:tcPr>
          <w:p>
            <w:pPr>
              <w:spacing w:after="0"/>
              <w:rPr>
                <w:sz w:val="10"/>
                <w:szCs w:val="10"/>
                <w:color w:val="auto"/>
              </w:rPr>
            </w:pPr>
          </w:p>
        </w:tc>
        <w:tc>
          <w:tcPr>
            <w:tcW w:w="32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tcBorders>
              <w:right w:val="single" w:sz="8" w:color="D9D9D9"/>
            </w:tcBorders>
            <w:shd w:val="clear" w:color="auto" w:fill="D9D9D9"/>
          </w:tcPr>
          <w:p>
            <w:pPr>
              <w:spacing w:after="0"/>
              <w:rPr>
                <w:sz w:val="10"/>
                <w:szCs w:val="10"/>
                <w:color w:val="auto"/>
              </w:rPr>
            </w:pPr>
          </w:p>
        </w:tc>
        <w:tc>
          <w:tcPr>
            <w:tcW w:w="3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8"/>
              </w:rPr>
              <w:t>Adjustments</w:t>
            </w: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jc w:val="right"/>
              <w:ind w:right="117"/>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tcPr>
          <w:p>
            <w:pPr>
              <w:jc w:val="right"/>
              <w:spacing w:after="0" w:line="122" w:lineRule="exact"/>
              <w:rPr>
                <w:sz w:val="20"/>
                <w:szCs w:val="20"/>
                <w:color w:val="auto"/>
              </w:rPr>
            </w:pPr>
            <w:r>
              <w:rPr>
                <w:rFonts w:ascii="Arial" w:cs="Arial" w:eastAsia="Arial" w:hAnsi="Arial"/>
                <w:sz w:val="11"/>
                <w:szCs w:val="11"/>
                <w:b w:val="1"/>
                <w:bCs w:val="1"/>
                <w:color w:val="auto"/>
                <w:w w:val="97"/>
              </w:rPr>
              <w:t>Reportable Segments</w:t>
            </w: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w w:val="96"/>
              </w:rPr>
              <w:t>Federal</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32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w w:val="99"/>
              </w:rPr>
              <w:t>Reclassi-</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300"/>
              <w:spacing w:after="0" w:line="108" w:lineRule="exact"/>
              <w:rPr>
                <w:sz w:val="20"/>
                <w:szCs w:val="20"/>
                <w:color w:val="auto"/>
              </w:rPr>
            </w:pPr>
            <w:r>
              <w:rPr>
                <w:rFonts w:ascii="Arial" w:cs="Arial" w:eastAsia="Arial" w:hAnsi="Arial"/>
                <w:sz w:val="11"/>
                <w:szCs w:val="11"/>
                <w:b w:val="1"/>
                <w:bCs w:val="1"/>
                <w:color w:val="auto"/>
              </w:rPr>
              <w:t>Additions/</w:t>
            </w:r>
          </w:p>
        </w:tc>
        <w:tc>
          <w:tcPr>
            <w:tcW w:w="120" w:type="dxa"/>
            <w:vAlign w:val="bottom"/>
          </w:tcPr>
          <w:p>
            <w:pPr>
              <w:spacing w:after="0"/>
              <w:rPr>
                <w:sz w:val="9"/>
                <w:szCs w:val="9"/>
                <w:color w:val="auto"/>
              </w:rPr>
            </w:pPr>
          </w:p>
        </w:tc>
        <w:tc>
          <w:tcPr>
            <w:tcW w:w="880" w:type="dxa"/>
            <w:vAlign w:val="bottom"/>
            <w:gridSpan w:val="2"/>
          </w:tcPr>
          <w:p>
            <w:pPr>
              <w:jc w:val="right"/>
              <w:ind w:right="460"/>
              <w:spacing w:after="0" w:line="108" w:lineRule="exact"/>
              <w:rPr>
                <w:sz w:val="20"/>
                <w:szCs w:val="20"/>
                <w:color w:val="auto"/>
              </w:rPr>
            </w:pPr>
            <w:r>
              <w:rPr>
                <w:rFonts w:ascii="Arial" w:cs="Arial" w:eastAsia="Arial" w:hAnsi="Arial"/>
                <w:sz w:val="11"/>
                <w:szCs w:val="11"/>
                <w:b w:val="1"/>
                <w:bCs w:val="1"/>
                <w:color w:val="auto"/>
              </w:rPr>
              <w:t>Total</w:t>
            </w:r>
          </w:p>
        </w:tc>
        <w:tc>
          <w:tcPr>
            <w:tcW w:w="120" w:type="dxa"/>
            <w:vAlign w:val="bottom"/>
          </w:tcPr>
          <w:p>
            <w:pPr>
              <w:spacing w:after="0"/>
              <w:rPr>
                <w:sz w:val="9"/>
                <w:szCs w:val="9"/>
                <w:color w:val="auto"/>
              </w:rPr>
            </w:pPr>
          </w:p>
        </w:tc>
        <w:tc>
          <w:tcPr>
            <w:tcW w:w="500" w:type="dxa"/>
            <w:vAlign w:val="bottom"/>
            <w:gridSpan w:val="2"/>
          </w:tcPr>
          <w:p>
            <w:pPr>
              <w:jc w:val="right"/>
              <w:ind w:right="137"/>
              <w:spacing w:after="0" w:line="108" w:lineRule="exact"/>
              <w:rPr>
                <w:sz w:val="20"/>
                <w:szCs w:val="20"/>
                <w:color w:val="auto"/>
              </w:rPr>
            </w:pPr>
            <w:r>
              <w:rPr>
                <w:rFonts w:ascii="Arial" w:cs="Arial" w:eastAsia="Arial" w:hAnsi="Arial"/>
                <w:sz w:val="11"/>
                <w:szCs w:val="11"/>
                <w:b w:val="1"/>
                <w:bCs w:val="1"/>
                <w:color w:val="auto"/>
              </w:rPr>
              <w:t>Core</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97"/>
              <w:spacing w:after="0" w:line="108" w:lineRule="exact"/>
              <w:rPr>
                <w:sz w:val="20"/>
                <w:szCs w:val="20"/>
                <w:color w:val="auto"/>
              </w:rPr>
            </w:pPr>
            <w:r>
              <w:rPr>
                <w:rFonts w:ascii="Arial" w:cs="Arial" w:eastAsia="Arial" w:hAnsi="Arial"/>
                <w:sz w:val="11"/>
                <w:szCs w:val="11"/>
                <w:b w:val="1"/>
                <w:bCs w:val="1"/>
                <w:color w:val="auto"/>
                <w:w w:val="95"/>
              </w:rPr>
              <w:t>Consumer</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Education</w:t>
            </w:r>
          </w:p>
        </w:tc>
        <w:tc>
          <w:tcPr>
            <w:tcW w:w="660" w:type="dxa"/>
            <w:vAlign w:val="bottom"/>
            <w:gridSpan w:val="2"/>
          </w:tcPr>
          <w:p>
            <w:pPr>
              <w:ind w:left="60"/>
              <w:spacing w:after="0" w:line="108" w:lineRule="exact"/>
              <w:rPr>
                <w:sz w:val="20"/>
                <w:szCs w:val="20"/>
                <w:color w:val="auto"/>
              </w:rPr>
            </w:pPr>
            <w:r>
              <w:rPr>
                <w:rFonts w:ascii="Arial" w:cs="Arial" w:eastAsia="Arial" w:hAnsi="Arial"/>
                <w:sz w:val="11"/>
                <w:szCs w:val="11"/>
                <w:b w:val="1"/>
                <w:bCs w:val="1"/>
                <w:color w:val="auto"/>
              </w:rPr>
              <w:t>Business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(Dollars in millions)</w:t>
            </w:r>
          </w:p>
        </w:tc>
        <w:tc>
          <w:tcPr>
            <w:tcW w:w="12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GAAP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fications</w:t>
            </w:r>
          </w:p>
        </w:tc>
        <w:tc>
          <w:tcPr>
            <w:tcW w:w="8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(Subtractions)</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1"/>
                <w:szCs w:val="11"/>
                <w:b w:val="1"/>
                <w:bCs w:val="1"/>
                <w:color w:val="auto"/>
                <w:w w:val="97"/>
              </w:rPr>
              <w:t>Adjustments</w:t>
            </w:r>
            <w:r>
              <w:rPr>
                <w:rFonts w:ascii="Arial" w:cs="Arial" w:eastAsia="Arial" w:hAnsi="Arial"/>
                <w:sz w:val="14"/>
                <w:szCs w:val="14"/>
                <w:b w:val="1"/>
                <w:bCs w:val="1"/>
                <w:color w:val="auto"/>
                <w:w w:val="97"/>
                <w:vertAlign w:val="superscript"/>
              </w:rPr>
              <w:t>(1)</w:t>
            </w:r>
          </w:p>
        </w:tc>
        <w:tc>
          <w:tcPr>
            <w:tcW w:w="620" w:type="dxa"/>
            <w:vAlign w:val="bottom"/>
            <w:gridSpan w:val="3"/>
          </w:tcPr>
          <w:p>
            <w:pPr>
              <w:jc w:val="right"/>
              <w:ind w:right="17"/>
              <w:spacing w:after="0"/>
              <w:rPr>
                <w:sz w:val="20"/>
                <w:szCs w:val="20"/>
                <w:color w:val="auto"/>
              </w:rPr>
            </w:pPr>
            <w:r>
              <w:rPr>
                <w:rFonts w:ascii="Arial" w:cs="Arial" w:eastAsia="Arial" w:hAnsi="Arial"/>
                <w:sz w:val="11"/>
                <w:szCs w:val="11"/>
                <w:b w:val="1"/>
                <w:bCs w:val="1"/>
                <w:color w:val="auto"/>
              </w:rPr>
              <w:t>Earnings</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1"/>
                <w:szCs w:val="11"/>
                <w:b w:val="1"/>
                <w:bCs w:val="1"/>
                <w:color w:val="auto"/>
              </w:rPr>
              <w:t>Lending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8"/>
              </w:rPr>
              <w:t>Loans</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Processing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1"/>
              </w:rPr>
              <w:t>Other</w:t>
            </w:r>
          </w:p>
        </w:tc>
        <w:tc>
          <w:tcPr>
            <w:tcW w:w="0" w:type="dxa"/>
            <w:vAlign w:val="bottom"/>
          </w:tcPr>
          <w:p>
            <w:pPr>
              <w:spacing w:after="0"/>
              <w:rPr>
                <w:sz w:val="1"/>
                <w:szCs w:val="1"/>
                <w:color w:val="auto"/>
              </w:rPr>
            </w:pPr>
          </w:p>
        </w:tc>
      </w:tr>
      <w:tr>
        <w:trPr>
          <w:trHeight w:val="128"/>
        </w:trPr>
        <w:tc>
          <w:tcPr>
            <w:tcW w:w="10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rPr>
              <w:t>Interest income:</w:t>
            </w:r>
          </w:p>
        </w:tc>
        <w:tc>
          <w:tcPr>
            <w:tcW w:w="860" w:type="dxa"/>
            <w:vAlign w:val="bottom"/>
            <w:gridSpan w:val="3"/>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tcBorders>
              <w:top w:val="single" w:sz="8" w:color="auto"/>
              <w:left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right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Education loans</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444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jc w:val="right"/>
              <w:ind w:right="224"/>
              <w:spacing w:after="0"/>
              <w:rPr>
                <w:sz w:val="20"/>
                <w:szCs w:val="20"/>
                <w:color w:val="auto"/>
              </w:rPr>
            </w:pPr>
            <w:r>
              <w:rPr>
                <w:rFonts w:ascii="Arial" w:cs="Arial" w:eastAsia="Arial" w:hAnsi="Arial"/>
                <w:sz w:val="10"/>
                <w:szCs w:val="10"/>
                <w:color w:val="auto"/>
                <w:w w:val="71"/>
              </w:rPr>
              <w:t>$</w:t>
            </w:r>
          </w:p>
        </w:tc>
        <w:tc>
          <w:tcPr>
            <w:tcW w:w="320" w:type="dxa"/>
            <w:vAlign w:val="bottom"/>
          </w:tcPr>
          <w:p>
            <w:pPr>
              <w:ind w:left="180"/>
              <w:spacing w:after="0" w:line="135" w:lineRule="exact"/>
              <w:rPr>
                <w:sz w:val="20"/>
                <w:szCs w:val="20"/>
                <w:color w:val="auto"/>
              </w:rPr>
            </w:pPr>
            <w:r>
              <w:rPr>
                <w:rFonts w:ascii="Arial" w:cs="Arial" w:eastAsia="Arial" w:hAnsi="Arial"/>
                <w:sz w:val="13"/>
                <w:szCs w:val="13"/>
                <w:color w:val="auto"/>
                <w:w w:val="91"/>
              </w:rPr>
              <w:t>—</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60" w:type="dxa"/>
            <w:vAlign w:val="bottom"/>
            <w:tcBorders>
              <w:bottom w:val="single" w:sz="8" w:color="CFF0FC"/>
            </w:tcBorders>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Cash and investments</w:t>
            </w:r>
          </w:p>
        </w:tc>
        <w:tc>
          <w:tcPr>
            <w:tcW w:w="1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9</w:t>
            </w:r>
          </w:p>
        </w:tc>
        <w:tc>
          <w:tcPr>
            <w:tcW w:w="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left w:val="single" w:sz="8" w:color="CFF0FC"/>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ind w:left="180"/>
              <w:spacing w:after="0" w:line="135" w:lineRule="exact"/>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right w:val="single" w:sz="8" w:color="CFF0FC"/>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60" w:type="dxa"/>
            <w:vAlign w:val="bottom"/>
            <w:gridSpan w:val="5"/>
          </w:tcPr>
          <w:p>
            <w:pPr>
              <w:spacing w:after="0" w:line="129" w:lineRule="exact"/>
              <w:rPr>
                <w:sz w:val="20"/>
                <w:szCs w:val="20"/>
                <w:color w:val="auto"/>
              </w:rPr>
            </w:pPr>
            <w:r>
              <w:rPr>
                <w:rFonts w:ascii="Arial" w:cs="Arial" w:eastAsia="Arial" w:hAnsi="Arial"/>
                <w:sz w:val="13"/>
                <w:szCs w:val="13"/>
                <w:color w:val="auto"/>
              </w:rPr>
              <w:t>Total interest income</w:t>
            </w:r>
          </w:p>
        </w:tc>
        <w:tc>
          <w:tcPr>
            <w:tcW w:w="1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746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288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453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ind w:left="180"/>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Borders>
              <w:bottom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Total interest expense</w:t>
            </w:r>
          </w:p>
        </w:tc>
        <w:tc>
          <w:tcPr>
            <w:tcW w:w="1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628</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184</w:t>
            </w:r>
          </w:p>
        </w:tc>
        <w:tc>
          <w:tcPr>
            <w:tcW w:w="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409</w:t>
            </w:r>
          </w:p>
        </w:tc>
        <w:tc>
          <w:tcPr>
            <w:tcW w:w="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left w:val="single" w:sz="8" w:color="CFF0FC"/>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ind w:left="180"/>
              <w:spacing w:after="0" w:line="135" w:lineRule="exact"/>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right w:val="single" w:sz="8" w:color="CFF0FC"/>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60" w:type="dxa"/>
            <w:vAlign w:val="bottom"/>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60" w:type="dxa"/>
            <w:vAlign w:val="bottom"/>
            <w:gridSpan w:val="5"/>
          </w:tcPr>
          <w:p>
            <w:pPr>
              <w:ind w:left="100"/>
              <w:spacing w:after="0"/>
              <w:rPr>
                <w:sz w:val="20"/>
                <w:szCs w:val="20"/>
                <w:color w:val="auto"/>
              </w:rPr>
            </w:pPr>
            <w:r>
              <w:rPr>
                <w:rFonts w:ascii="Arial" w:cs="Arial" w:eastAsia="Arial" w:hAnsi="Arial"/>
                <w:sz w:val="13"/>
                <w:szCs w:val="13"/>
                <w:color w:val="auto"/>
              </w:rPr>
              <w:t>(loss)</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118</w:t>
            </w:r>
          </w:p>
        </w:tc>
        <w:tc>
          <w:tcPr>
            <w:tcW w:w="1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129</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ind w:left="1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17"/>
        </w:trPr>
        <w:tc>
          <w:tcPr>
            <w:tcW w:w="186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Less: provisions for loan</w:t>
            </w:r>
          </w:p>
        </w:tc>
        <w:tc>
          <w:tcPr>
            <w:tcW w:w="12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12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320" w:type="dxa"/>
            <w:vAlign w:val="bottom"/>
            <w:vMerge w:val="restart"/>
            <w:shd w:val="clear" w:color="auto" w:fill="CFF0FC"/>
          </w:tcPr>
          <w:p>
            <w:pPr>
              <w:ind w:left="1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860" w:type="dxa"/>
            <w:vAlign w:val="bottom"/>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losses</w:t>
            </w:r>
          </w:p>
        </w:tc>
        <w:tc>
          <w:tcPr>
            <w:tcW w:w="12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2"/>
            <w:vMerge w:val="continue"/>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tcBorders>
              <w:left w:val="single" w:sz="8" w:color="CFF0FC"/>
            </w:tcBorders>
            <w:shd w:val="clear" w:color="auto" w:fill="CFF0FC"/>
          </w:tcPr>
          <w:p>
            <w:pPr>
              <w:spacing w:after="0"/>
              <w:rPr>
                <w:sz w:val="12"/>
                <w:szCs w:val="12"/>
                <w:color w:val="auto"/>
              </w:rPr>
            </w:pPr>
          </w:p>
        </w:tc>
        <w:tc>
          <w:tcPr>
            <w:tcW w:w="3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86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CFF0FC"/>
              <w:right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(loss) after provisions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5"/>
          </w:tcPr>
          <w:p>
            <w:pPr>
              <w:ind w:left="100"/>
              <w:spacing w:after="0"/>
              <w:rPr>
                <w:sz w:val="20"/>
                <w:szCs w:val="20"/>
                <w:color w:val="auto"/>
              </w:rPr>
            </w:pPr>
            <w:r>
              <w:rPr>
                <w:rFonts w:ascii="Arial" w:cs="Arial" w:eastAsia="Arial" w:hAnsi="Arial"/>
                <w:sz w:val="13"/>
                <w:szCs w:val="13"/>
                <w:color w:val="auto"/>
              </w:rPr>
              <w:t>for loan losses</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ind w:left="1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186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income (loss):</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tcBorders>
              <w:lef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Servicing revenue</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ind w:left="180"/>
              <w:spacing w:after="0" w:line="135"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86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Asset recovery and</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60" w:type="dxa"/>
            <w:vAlign w:val="bottom"/>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business processing</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tcBorders>
              <w:lef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5"/>
            <w:shd w:val="clear" w:color="auto" w:fill="CFF0FC"/>
          </w:tcPr>
          <w:p>
            <w:pPr>
              <w:ind w:left="200"/>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FF0FC"/>
            </w:tcBorders>
            <w:shd w:val="clear" w:color="auto" w:fill="CFF0FC"/>
          </w:tcPr>
          <w:p>
            <w:pPr>
              <w:spacing w:after="0"/>
              <w:rPr>
                <w:sz w:val="13"/>
                <w:szCs w:val="13"/>
                <w:color w:val="auto"/>
              </w:rPr>
            </w:pPr>
          </w:p>
        </w:tc>
        <w:tc>
          <w:tcPr>
            <w:tcW w:w="320" w:type="dxa"/>
            <w:vAlign w:val="bottom"/>
            <w:shd w:val="clear" w:color="auto" w:fill="CFF0FC"/>
          </w:tcPr>
          <w:p>
            <w:pPr>
              <w:ind w:left="1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6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Other revenue</w:t>
            </w: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ind w:left="180"/>
              <w:spacing w:after="0" w:line="135"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6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other income</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color w:val="auto"/>
              </w:rPr>
              <w:t>(3)</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15</w:t>
            </w: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3</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tcBorders>
              <w:left w:val="single" w:sz="8" w:color="CFF0FC"/>
            </w:tcBorders>
            <w:shd w:val="clear" w:color="auto" w:fill="CFF0FC"/>
          </w:tcPr>
          <w:p>
            <w:pPr>
              <w:spacing w:after="0"/>
              <w:rPr>
                <w:sz w:val="11"/>
                <w:szCs w:val="11"/>
                <w:color w:val="auto"/>
              </w:rPr>
            </w:pPr>
          </w:p>
        </w:tc>
        <w:tc>
          <w:tcPr>
            <w:tcW w:w="320" w:type="dxa"/>
            <w:vAlign w:val="bottom"/>
            <w:shd w:val="clear" w:color="auto" w:fill="CFF0FC"/>
          </w:tcPr>
          <w:p>
            <w:pPr>
              <w:ind w:left="180"/>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spacing w:after="0" w:line="135" w:lineRule="exact"/>
              <w:rPr>
                <w:sz w:val="20"/>
                <w:szCs w:val="20"/>
                <w:color w:val="auto"/>
              </w:rPr>
            </w:pPr>
            <w:r>
              <w:rPr>
                <w:rFonts w:ascii="Arial" w:cs="Arial" w:eastAsia="Arial" w:hAnsi="Arial"/>
                <w:sz w:val="13"/>
                <w:szCs w:val="13"/>
                <w:color w:val="auto"/>
              </w:rPr>
              <w:t>Expenses: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Direct operating</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60" w:type="dxa"/>
            <w:vAlign w:val="bottom"/>
            <w:gridSpan w:val="5"/>
            <w:shd w:val="clear" w:color="auto" w:fill="CFF0FC"/>
          </w:tcPr>
          <w:p>
            <w:pPr>
              <w:ind w:left="200"/>
              <w:spacing w:after="0"/>
              <w:rPr>
                <w:sz w:val="20"/>
                <w:szCs w:val="20"/>
                <w:color w:val="auto"/>
              </w:rPr>
            </w:pPr>
            <w:r>
              <w:rPr>
                <w:rFonts w:ascii="Arial" w:cs="Arial" w:eastAsia="Arial" w:hAnsi="Arial"/>
                <w:sz w:val="13"/>
                <w:szCs w:val="13"/>
                <w:color w:val="auto"/>
              </w:rPr>
              <w:t>expenses</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tcBorders>
              <w:left w:val="single" w:sz="8" w:color="CFF0FC"/>
            </w:tcBorders>
            <w:shd w:val="clear" w:color="auto" w:fill="CFF0FC"/>
          </w:tcPr>
          <w:p>
            <w:pPr>
              <w:spacing w:after="0"/>
              <w:rPr>
                <w:sz w:val="13"/>
                <w:szCs w:val="13"/>
                <w:color w:val="auto"/>
              </w:rPr>
            </w:pPr>
          </w:p>
        </w:tc>
        <w:tc>
          <w:tcPr>
            <w:tcW w:w="320" w:type="dxa"/>
            <w:vAlign w:val="bottom"/>
            <w:shd w:val="clear" w:color="auto" w:fill="CFF0FC"/>
          </w:tcPr>
          <w:p>
            <w:pPr>
              <w:ind w:left="1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86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Unallocated shared</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vMerge w:val="restart"/>
          </w:tcPr>
          <w:p>
            <w:pPr>
              <w:ind w:left="1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860" w:type="dxa"/>
            <w:vAlign w:val="bottom"/>
            <w:gridSpan w:val="5"/>
          </w:tcPr>
          <w:p>
            <w:pPr>
              <w:ind w:left="200"/>
              <w:spacing w:after="0" w:line="139" w:lineRule="exact"/>
              <w:rPr>
                <w:sz w:val="20"/>
                <w:szCs w:val="20"/>
                <w:color w:val="auto"/>
              </w:rPr>
            </w:pPr>
            <w:r>
              <w:rPr>
                <w:rFonts w:ascii="Arial" w:cs="Arial" w:eastAsia="Arial" w:hAnsi="Arial"/>
                <w:sz w:val="13"/>
                <w:szCs w:val="13"/>
                <w:color w:val="auto"/>
              </w:rPr>
              <w:t>services expenses</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60" w:type="dxa"/>
            <w:vAlign w:val="bottom"/>
            <w:gridSpan w:val="5"/>
            <w:shd w:val="clear" w:color="auto" w:fill="CFF0FC"/>
          </w:tcPr>
          <w:p>
            <w:pPr>
              <w:ind w:left="100"/>
              <w:spacing w:after="0" w:line="129" w:lineRule="exact"/>
              <w:rPr>
                <w:sz w:val="20"/>
                <w:szCs w:val="20"/>
                <w:color w:val="auto"/>
              </w:rPr>
            </w:pPr>
            <w:r>
              <w:rPr>
                <w:rFonts w:ascii="Arial" w:cs="Arial" w:eastAsia="Arial" w:hAnsi="Arial"/>
                <w:sz w:val="13"/>
                <w:szCs w:val="13"/>
                <w:color w:val="auto"/>
              </w:rPr>
              <w:t>Operating expenses</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88</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88</w:t>
            </w: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32</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16</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tcBorders>
              <w:left w:val="single" w:sz="8" w:color="CFF0FC"/>
            </w:tcBorders>
            <w:shd w:val="clear" w:color="auto" w:fill="CFF0FC"/>
          </w:tcPr>
          <w:p>
            <w:pPr>
              <w:spacing w:after="0"/>
              <w:rPr>
                <w:sz w:val="11"/>
                <w:szCs w:val="11"/>
                <w:color w:val="auto"/>
              </w:rPr>
            </w:pPr>
          </w:p>
        </w:tc>
        <w:tc>
          <w:tcPr>
            <w:tcW w:w="320" w:type="dxa"/>
            <w:vAlign w:val="bottom"/>
            <w:shd w:val="clear" w:color="auto" w:fill="CFF0FC"/>
          </w:tcPr>
          <w:p>
            <w:pPr>
              <w:ind w:left="180"/>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Goodwill and acquired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intangible asset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impairment and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5"/>
          </w:tcPr>
          <w:p>
            <w:pPr>
              <w:ind w:left="200"/>
              <w:spacing w:after="0"/>
              <w:rPr>
                <w:sz w:val="20"/>
                <w:szCs w:val="20"/>
                <w:color w:val="auto"/>
              </w:rPr>
            </w:pPr>
            <w:r>
              <w:rPr>
                <w:rFonts w:ascii="Arial" w:cs="Arial" w:eastAsia="Arial" w:hAnsi="Arial"/>
                <w:sz w:val="13"/>
                <w:szCs w:val="13"/>
                <w:color w:val="auto"/>
              </w:rPr>
              <w:t>amortization</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320" w:type="dxa"/>
            <w:vAlign w:val="bottom"/>
          </w:tcPr>
          <w:p>
            <w:pPr>
              <w:ind w:left="1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86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Restructuring/other</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60" w:type="dxa"/>
            <w:vAlign w:val="bottom"/>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reorganization</w:t>
            </w:r>
          </w:p>
        </w:tc>
        <w:tc>
          <w:tcPr>
            <w:tcW w:w="1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FF0FC"/>
          </w:tcPr>
          <w:p>
            <w:pPr>
              <w:spacing w:after="0"/>
              <w:rPr>
                <w:sz w:val="11"/>
                <w:szCs w:val="11"/>
                <w:color w:val="auto"/>
              </w:rPr>
            </w:pPr>
          </w:p>
        </w:tc>
        <w:tc>
          <w:tcPr>
            <w:tcW w:w="340" w:type="dxa"/>
            <w:vAlign w:val="bottom"/>
            <w:tcBorders>
              <w:left w:val="single" w:sz="8" w:color="CFF0FC"/>
            </w:tcBorders>
            <w:shd w:val="clear" w:color="auto" w:fill="CFF0FC"/>
          </w:tcPr>
          <w:p>
            <w:pPr>
              <w:spacing w:after="0"/>
              <w:rPr>
                <w:sz w:val="11"/>
                <w:szCs w:val="11"/>
                <w:color w:val="auto"/>
              </w:rPr>
            </w:pPr>
          </w:p>
        </w:tc>
        <w:tc>
          <w:tcPr>
            <w:tcW w:w="320" w:type="dxa"/>
            <w:vAlign w:val="bottom"/>
            <w:vMerge w:val="restart"/>
            <w:shd w:val="clear" w:color="auto" w:fill="CFF0FC"/>
          </w:tcPr>
          <w:p>
            <w:pPr>
              <w:ind w:left="1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60" w:type="dxa"/>
            <w:vAlign w:val="bottom"/>
            <w:tcBorders>
              <w:bottom w:val="single" w:sz="8" w:color="CFF0FC"/>
            </w:tcBorders>
            <w:gridSpan w:val="5"/>
            <w:shd w:val="clear" w:color="auto" w:fill="CFF0FC"/>
          </w:tcPr>
          <w:p>
            <w:pPr>
              <w:ind w:left="200"/>
              <w:spacing w:after="0" w:line="139" w:lineRule="exact"/>
              <w:rPr>
                <w:sz w:val="20"/>
                <w:szCs w:val="20"/>
                <w:color w:val="auto"/>
              </w:rPr>
            </w:pPr>
            <w:r>
              <w:rPr>
                <w:rFonts w:ascii="Arial" w:cs="Arial" w:eastAsia="Arial" w:hAnsi="Arial"/>
                <w:sz w:val="13"/>
                <w:szCs w:val="13"/>
                <w:color w:val="auto"/>
              </w:rPr>
              <w:t>expenses</w:t>
            </w:r>
          </w:p>
        </w:tc>
        <w:tc>
          <w:tcPr>
            <w:tcW w:w="12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gridSpan w:val="2"/>
            <w:vMerge w:val="continue"/>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gridSpan w:val="2"/>
            <w:vMerge w:val="continue"/>
            <w:shd w:val="clear" w:color="auto" w:fill="CFF0FC"/>
          </w:tcPr>
          <w:p>
            <w:pPr>
              <w:spacing w:after="0"/>
              <w:rPr>
                <w:sz w:val="12"/>
                <w:szCs w:val="12"/>
                <w:color w:val="auto"/>
              </w:rPr>
            </w:pPr>
          </w:p>
        </w:tc>
        <w:tc>
          <w:tcPr>
            <w:tcW w:w="340" w:type="dxa"/>
            <w:vAlign w:val="bottom"/>
            <w:tcBorders>
              <w:left w:val="single" w:sz="8" w:color="CFF0FC"/>
              <w:bottom w:val="single" w:sz="8" w:color="auto"/>
            </w:tcBorders>
            <w:shd w:val="clear" w:color="auto" w:fill="CFF0FC"/>
          </w:tcPr>
          <w:p>
            <w:pPr>
              <w:spacing w:after="0"/>
              <w:rPr>
                <w:sz w:val="12"/>
                <w:szCs w:val="12"/>
                <w:color w:val="auto"/>
              </w:rPr>
            </w:pPr>
          </w:p>
        </w:tc>
        <w:tc>
          <w:tcPr>
            <w:tcW w:w="32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right w:val="single" w:sz="8" w:color="CFF0FC"/>
            </w:tcBorders>
            <w:shd w:val="clear" w:color="auto" w:fill="CFF0FC"/>
          </w:tcPr>
          <w:p>
            <w:pPr>
              <w:spacing w:after="0"/>
              <w:rPr>
                <w:sz w:val="12"/>
                <w:szCs w:val="12"/>
                <w:color w:val="auto"/>
              </w:rPr>
            </w:pPr>
          </w:p>
        </w:tc>
        <w:tc>
          <w:tcPr>
            <w:tcW w:w="3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60" w:type="dxa"/>
            <w:vAlign w:val="bottom"/>
            <w:gridSpan w:val="5"/>
          </w:tcPr>
          <w:p>
            <w:pPr>
              <w:spacing w:after="0" w:line="129" w:lineRule="exact"/>
              <w:rPr>
                <w:sz w:val="20"/>
                <w:szCs w:val="20"/>
                <w:color w:val="auto"/>
              </w:rPr>
            </w:pPr>
            <w:r>
              <w:rPr>
                <w:rFonts w:ascii="Arial" w:cs="Arial" w:eastAsia="Arial" w:hAnsi="Arial"/>
                <w:sz w:val="13"/>
                <w:szCs w:val="13"/>
                <w:color w:val="auto"/>
              </w:rPr>
              <w:t>Total expenses</w:t>
            </w:r>
          </w:p>
        </w:tc>
        <w:tc>
          <w:tcPr>
            <w:tcW w:w="1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100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99</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16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ind w:left="180"/>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6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Income (loss) before</w:t>
            </w:r>
          </w:p>
        </w:tc>
        <w:tc>
          <w:tcPr>
            <w:tcW w:w="12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tcBorders>
              <w:top w:val="single" w:sz="8" w:color="auto"/>
              <w:left w:val="single" w:sz="8" w:color="CFF0FC"/>
            </w:tcBorders>
            <w:shd w:val="clear" w:color="auto" w:fill="CFF0FC"/>
          </w:tcPr>
          <w:p>
            <w:pPr>
              <w:spacing w:after="0"/>
              <w:rPr>
                <w:sz w:val="9"/>
                <w:szCs w:val="9"/>
                <w:color w:val="auto"/>
              </w:rPr>
            </w:pPr>
          </w:p>
        </w:tc>
        <w:tc>
          <w:tcPr>
            <w:tcW w:w="32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right w:val="single" w:sz="8" w:color="CFF0FC"/>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6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income tax expense</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tcBorders>
              <w:lef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(benefit)</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tcBorders>
              <w:left w:val="single" w:sz="8" w:color="CFF0FC"/>
            </w:tcBorders>
            <w:shd w:val="clear" w:color="auto" w:fill="CFF0FC"/>
          </w:tcPr>
          <w:p>
            <w:pPr>
              <w:spacing w:after="0"/>
              <w:rPr>
                <w:sz w:val="13"/>
                <w:szCs w:val="13"/>
                <w:color w:val="auto"/>
              </w:rPr>
            </w:pPr>
          </w:p>
        </w:tc>
        <w:tc>
          <w:tcPr>
            <w:tcW w:w="320" w:type="dxa"/>
            <w:vAlign w:val="bottom"/>
            <w:shd w:val="clear" w:color="auto" w:fill="CFF0FC"/>
          </w:tcPr>
          <w:p>
            <w:pPr>
              <w:ind w:left="1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17"/>
        </w:trPr>
        <w:tc>
          <w:tcPr>
            <w:tcW w:w="1860" w:type="dxa"/>
            <w:vAlign w:val="bottom"/>
            <w:gridSpan w:val="5"/>
          </w:tcPr>
          <w:p>
            <w:pPr>
              <w:spacing w:after="0" w:line="117" w:lineRule="exact"/>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right w:val="single" w:sz="8" w:color="auto"/>
            </w:tcBorders>
            <w:gridSpan w:val="3"/>
            <w:vMerge w:val="restart"/>
          </w:tcPr>
          <w:p>
            <w:pPr>
              <w:jc w:val="right"/>
              <w:ind w:right="26"/>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vMerge w:val="restart"/>
          </w:tcPr>
          <w:p>
            <w:pPr>
              <w:ind w:left="1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39"/>
        </w:trPr>
        <w:tc>
          <w:tcPr>
            <w:tcW w:w="1860" w:type="dxa"/>
            <w:vAlign w:val="bottom"/>
            <w:gridSpan w:val="5"/>
          </w:tcPr>
          <w:p>
            <w:pPr>
              <w:ind w:left="100"/>
              <w:spacing w:after="0" w:line="139" w:lineRule="exact"/>
              <w:rPr>
                <w:sz w:val="20"/>
                <w:szCs w:val="20"/>
                <w:color w:val="auto"/>
              </w:rPr>
            </w:pPr>
            <w:r>
              <w:rPr>
                <w:rFonts w:ascii="Arial" w:cs="Arial" w:eastAsia="Arial" w:hAnsi="Arial"/>
                <w:sz w:val="13"/>
                <w:szCs w:val="13"/>
                <w:color w:val="auto"/>
              </w:rPr>
              <w:t>(benefit)(2)</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right w:val="single" w:sz="8" w:color="auto"/>
            </w:tcBorders>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86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Net income (loss)</w:t>
            </w:r>
          </w:p>
        </w:tc>
        <w:tc>
          <w:tcPr>
            <w:tcW w:w="12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FF0FC"/>
          </w:tcPr>
          <w:p>
            <w:pPr>
              <w:jc w:val="right"/>
              <w:ind w:right="100"/>
              <w:spacing w:after="0" w:line="115" w:lineRule="exact"/>
              <w:rPr>
                <w:sz w:val="20"/>
                <w:szCs w:val="20"/>
                <w:color w:val="auto"/>
              </w:rPr>
            </w:pPr>
            <w:r>
              <w:rPr>
                <w:rFonts w:ascii="Arial" w:cs="Arial" w:eastAsia="Arial" w:hAnsi="Arial"/>
                <w:sz w:val="13"/>
                <w:szCs w:val="13"/>
                <w:color w:val="auto"/>
              </w:rPr>
              <w:t>(5)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line="11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3"/>
                <w:szCs w:val="13"/>
                <w:color w:val="auto"/>
              </w:rPr>
              <w:t>2</w:t>
            </w:r>
          </w:p>
        </w:tc>
        <w:tc>
          <w:tcPr>
            <w:tcW w:w="1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3"/>
                <w:szCs w:val="13"/>
                <w:color w:val="auto"/>
              </w:rPr>
              <w:t>25</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27</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jc w:val="right"/>
              <w:ind w:right="22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ind w:left="180"/>
              <w:spacing w:after="0" w:line="115"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80" w:type="dxa"/>
            <w:vAlign w:val="bottom"/>
            <w:tcBorders>
              <w:top w:val="single" w:sz="8" w:color="CFF0FC"/>
              <w:bottom w:val="single" w:sz="8" w:color="auto"/>
            </w:tcBorders>
          </w:tcPr>
          <w:p>
            <w:pPr>
              <w:spacing w:after="0"/>
              <w:rPr>
                <w:sz w:val="10"/>
                <w:szCs w:val="10"/>
                <w:color w:val="auto"/>
              </w:rPr>
            </w:pPr>
          </w:p>
        </w:tc>
        <w:tc>
          <w:tcPr>
            <w:tcW w:w="520" w:type="dxa"/>
            <w:vAlign w:val="bottom"/>
            <w:tcBorders>
              <w:top w:val="single" w:sz="8" w:color="CFF0FC"/>
              <w:bottom w:val="single" w:sz="8" w:color="auto"/>
            </w:tcBorders>
          </w:tcPr>
          <w:p>
            <w:pPr>
              <w:spacing w:after="0"/>
              <w:rPr>
                <w:sz w:val="10"/>
                <w:szCs w:val="10"/>
                <w:color w:val="auto"/>
              </w:rPr>
            </w:pPr>
          </w:p>
        </w:tc>
        <w:tc>
          <w:tcPr>
            <w:tcW w:w="160" w:type="dxa"/>
            <w:vAlign w:val="bottom"/>
            <w:tcBorders>
              <w:top w:val="single" w:sz="8" w:color="CFF0FC"/>
              <w:bottom w:val="single" w:sz="8" w:color="auto"/>
            </w:tcBorders>
          </w:tcPr>
          <w:p>
            <w:pPr>
              <w:spacing w:after="0"/>
              <w:rPr>
                <w:sz w:val="10"/>
                <w:szCs w:val="10"/>
                <w:color w:val="auto"/>
              </w:rPr>
            </w:pPr>
          </w:p>
        </w:tc>
        <w:tc>
          <w:tcPr>
            <w:tcW w:w="340" w:type="dxa"/>
            <w:vAlign w:val="bottom"/>
            <w:tcBorders>
              <w:top w:val="single" w:sz="8" w:color="CFF0FC"/>
            </w:tcBorders>
          </w:tcPr>
          <w:p>
            <w:pPr>
              <w:spacing w:after="0"/>
              <w:rPr>
                <w:sz w:val="10"/>
                <w:szCs w:val="10"/>
                <w:color w:val="auto"/>
              </w:rPr>
            </w:pPr>
          </w:p>
        </w:tc>
        <w:tc>
          <w:tcPr>
            <w:tcW w:w="36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gridSpan w:val="2"/>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620" w:type="dxa"/>
            <w:vAlign w:val="bottom"/>
            <w:gridSpan w:val="8"/>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4"/>
                <w:szCs w:val="14"/>
                <w:color w:val="auto"/>
              </w:rPr>
              <w:t xml:space="preserve">  Core Earnings adjustments to GAAP:</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90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20" w:type="dxa"/>
            <w:vAlign w:val="bottom"/>
            <w:tcBorders>
              <w:right w:val="single" w:sz="8" w:color="D9D9D9"/>
            </w:tcBorders>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2420" w:type="dxa"/>
            <w:vAlign w:val="bottom"/>
            <w:gridSpan w:val="11"/>
            <w:shd w:val="clear" w:color="auto" w:fill="D9D9D9"/>
          </w:tcPr>
          <w:p>
            <w:pPr>
              <w:jc w:val="center"/>
              <w:ind w:right="77"/>
              <w:spacing w:after="0" w:line="122" w:lineRule="exact"/>
              <w:rPr>
                <w:sz w:val="20"/>
                <w:szCs w:val="20"/>
                <w:color w:val="auto"/>
              </w:rPr>
            </w:pPr>
            <w:r>
              <w:rPr>
                <w:rFonts w:ascii="Arial" w:cs="Arial" w:eastAsia="Arial" w:hAnsi="Arial"/>
                <w:sz w:val="11"/>
                <w:szCs w:val="11"/>
                <w:b w:val="1"/>
                <w:bCs w:val="1"/>
                <w:color w:val="auto"/>
                <w:w w:val="98"/>
              </w:rPr>
              <w:t>QUARTER ENDED DECEMBER 31, 2025</w:t>
            </w:r>
          </w:p>
        </w:tc>
        <w:tc>
          <w:tcPr>
            <w:tcW w:w="2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tcBorders>
              <w:right w:val="single" w:sz="8" w:color="D9D9D9"/>
            </w:tcBorders>
            <w:shd w:val="clear" w:color="auto" w:fill="D9D9D9"/>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5"/>
          </w:tcPr>
          <w:p>
            <w:pPr>
              <w:jc w:val="center"/>
              <w:ind w:right="24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5"/>
          </w:tcPr>
          <w:p>
            <w:pPr>
              <w:jc w:val="center"/>
              <w:ind w:right="237"/>
              <w:spacing w:after="0" w:line="122" w:lineRule="exact"/>
              <w:rPr>
                <w:sz w:val="20"/>
                <w:szCs w:val="20"/>
                <w:color w:val="auto"/>
              </w:rPr>
            </w:pPr>
            <w:r>
              <w:rPr>
                <w:rFonts w:ascii="Arial" w:cs="Arial" w:eastAsia="Arial" w:hAnsi="Arial"/>
                <w:sz w:val="11"/>
                <w:szCs w:val="11"/>
                <w:b w:val="1"/>
                <w:bCs w:val="1"/>
                <w:color w:val="auto"/>
                <w:w w:val="97"/>
              </w:rPr>
              <w:t>Net Impact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5"/>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5"/>
          </w:tcPr>
          <w:p>
            <w:pPr>
              <w:jc w:val="center"/>
              <w:ind w:right="237"/>
              <w:spacing w:after="0" w:line="122" w:lineRule="exact"/>
              <w:rPr>
                <w:sz w:val="20"/>
                <w:szCs w:val="20"/>
                <w:color w:val="auto"/>
              </w:rPr>
            </w:pPr>
            <w:r>
              <w:rPr>
                <w:rFonts w:ascii="Arial" w:cs="Arial" w:eastAsia="Arial" w:hAnsi="Arial"/>
                <w:sz w:val="11"/>
                <w:szCs w:val="11"/>
                <w:b w:val="1"/>
                <w:bCs w:val="1"/>
                <w:color w:val="auto"/>
                <w:w w:val="98"/>
              </w:rPr>
              <w:t>Derivative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jc w:val="center"/>
              <w:ind w:right="320"/>
              <w:spacing w:after="0" w:line="122" w:lineRule="exact"/>
              <w:rPr>
                <w:sz w:val="20"/>
                <w:szCs w:val="20"/>
                <w:color w:val="auto"/>
              </w:rPr>
            </w:pPr>
            <w:r>
              <w:rPr>
                <w:rFonts w:ascii="Arial" w:cs="Arial" w:eastAsia="Arial" w:hAnsi="Arial"/>
                <w:sz w:val="11"/>
                <w:szCs w:val="11"/>
                <w:b w:val="1"/>
                <w:bCs w:val="1"/>
                <w:color w:val="auto"/>
              </w:rPr>
              <w:t>Acquired</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5"/>
              </w:rPr>
              <w:t>(Dollars in millions)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4"/>
          </w:tcPr>
          <w:p>
            <w:pPr>
              <w:jc w:val="center"/>
              <w:ind w:right="78"/>
              <w:spacing w:after="0"/>
              <w:rPr>
                <w:sz w:val="20"/>
                <w:szCs w:val="20"/>
                <w:color w:val="auto"/>
              </w:rPr>
            </w:pPr>
            <w:r>
              <w:rPr>
                <w:rFonts w:ascii="Arial" w:cs="Arial" w:eastAsia="Arial" w:hAnsi="Arial"/>
                <w:sz w:val="11"/>
                <w:szCs w:val="11"/>
                <w:b w:val="1"/>
                <w:bCs w:val="1"/>
                <w:color w:val="auto"/>
                <w:w w:val="99"/>
              </w:rPr>
              <w:t>Accounting</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1"/>
                <w:szCs w:val="11"/>
                <w:b w:val="1"/>
                <w:bCs w:val="1"/>
                <w:color w:val="auto"/>
                <w:w w:val="96"/>
              </w:rPr>
              <w:t>Intangibles</w:t>
            </w:r>
          </w:p>
        </w:tc>
        <w:tc>
          <w:tcPr>
            <w:tcW w:w="1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3200" w:type="dxa"/>
            <w:vAlign w:val="bottom"/>
            <w:gridSpan w:val="13"/>
            <w:shd w:val="clear" w:color="auto" w:fill="CFF0FC"/>
          </w:tcPr>
          <w:p>
            <w:pPr>
              <w:ind w:left="20"/>
              <w:spacing w:after="0" w:line="129" w:lineRule="exact"/>
              <w:rPr>
                <w:sz w:val="20"/>
                <w:szCs w:val="20"/>
                <w:color w:val="auto"/>
              </w:rPr>
            </w:pPr>
            <w:r>
              <w:rPr>
                <w:rFonts w:ascii="Arial" w:cs="Arial" w:eastAsia="Arial" w:hAnsi="Arial"/>
                <w:sz w:val="13"/>
                <w:szCs w:val="13"/>
                <w:color w:val="auto"/>
                <w:w w:val="96"/>
              </w:rPr>
              <w:t>Net interest income (loss) after provisions for loan losses</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11</w:t>
            </w:r>
          </w:p>
        </w:tc>
        <w:tc>
          <w:tcPr>
            <w:tcW w:w="16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3"/>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left w:val="single" w:sz="8" w:color="CFF0FC"/>
            </w:tcBorders>
            <w:shd w:val="clear" w:color="auto" w:fill="CFF0FC"/>
          </w:tcPr>
          <w:p>
            <w:pPr>
              <w:ind w:left="40"/>
              <w:spacing w:after="0" w:line="129" w:lineRule="exact"/>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11</w:t>
            </w:r>
          </w:p>
        </w:tc>
        <w:tc>
          <w:tcPr>
            <w:tcW w:w="80" w:type="dxa"/>
            <w:vAlign w:val="bottom"/>
            <w:tcBorders>
              <w:right w:val="single" w:sz="8" w:color="CFF0FC"/>
            </w:tcBorders>
            <w:shd w:val="clear" w:color="auto" w:fill="CFF0FC"/>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3"/>
                <w:szCs w:val="13"/>
                <w:color w:val="auto"/>
              </w:rPr>
              <w:t>Total other income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4080" w:type="dxa"/>
            <w:vAlign w:val="bottom"/>
            <w:gridSpan w:val="15"/>
            <w:shd w:val="clear" w:color="auto" w:fill="CFF0FC"/>
          </w:tcPr>
          <w:p>
            <w:pPr>
              <w:ind w:left="20"/>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3"/>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340" w:type="dxa"/>
            <w:vAlign w:val="bottom"/>
            <w:tcBorders>
              <w:lef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tcBorders>
              <w:right w:val="single" w:sz="8" w:color="CFF0FC"/>
            </w:tcBorders>
            <w:gridSpan w:val="3"/>
            <w:shd w:val="clear" w:color="auto" w:fill="CFF0FC"/>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3040" w:type="dxa"/>
            <w:vAlign w:val="bottom"/>
            <w:tcBorders>
              <w:top w:val="single" w:sz="8" w:color="CFF0FC"/>
              <w:bottom w:val="single" w:sz="8" w:color="CFF0FC"/>
            </w:tcBorders>
            <w:gridSpan w:val="11"/>
          </w:tcPr>
          <w:p>
            <w:pPr>
              <w:ind w:left="20"/>
              <w:spacing w:after="0" w:line="129" w:lineRule="exact"/>
              <w:rPr>
                <w:sz w:val="20"/>
                <w:szCs w:val="20"/>
                <w:color w:val="auto"/>
              </w:rPr>
            </w:pPr>
            <w:r>
              <w:rPr>
                <w:rFonts w:ascii="Arial" w:cs="Arial" w:eastAsia="Arial" w:hAnsi="Arial"/>
                <w:sz w:val="13"/>
                <w:szCs w:val="13"/>
                <w:color w:val="auto"/>
              </w:rPr>
              <w:t>Total Core Earnings adjustments to GAAP</w:t>
            </w: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8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7</w:t>
            </w:r>
          </w:p>
        </w:tc>
        <w:tc>
          <w:tcPr>
            <w:tcW w:w="160" w:type="dxa"/>
            <w:vAlign w:val="bottom"/>
            <w:tcBorders>
              <w:top w:val="single" w:sz="8" w:color="CFF0FC"/>
            </w:tcBorders>
          </w:tcPr>
          <w:p>
            <w:pPr>
              <w:spacing w:after="0"/>
              <w:rPr>
                <w:sz w:val="11"/>
                <w:szCs w:val="11"/>
                <w:color w:val="auto"/>
              </w:rPr>
            </w:pPr>
          </w:p>
        </w:tc>
        <w:tc>
          <w:tcPr>
            <w:tcW w:w="2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20"/>
              <w:spacing w:after="0" w:line="115"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FF0FC"/>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8</w:t>
            </w:r>
          </w:p>
        </w:tc>
        <w:tc>
          <w:tcPr>
            <w:tcW w:w="80" w:type="dxa"/>
            <w:vAlign w:val="bottom"/>
            <w:tcBorders>
              <w:top w:val="single" w:sz="8" w:color="CFF0FC"/>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0" w:type="dxa"/>
            <w:vAlign w:val="bottom"/>
          </w:tcPr>
          <w:p>
            <w:pPr>
              <w:spacing w:after="0"/>
              <w:rPr>
                <w:sz w:val="10"/>
                <w:szCs w:val="10"/>
                <w:color w:val="auto"/>
              </w:rPr>
            </w:pPr>
          </w:p>
        </w:tc>
        <w:tc>
          <w:tcPr>
            <w:tcW w:w="2140" w:type="dxa"/>
            <w:vAlign w:val="bottom"/>
            <w:tcBorders>
              <w:bottom w:val="single" w:sz="8" w:color="CFF0FC"/>
            </w:tcBorders>
            <w:gridSpan w:val="7"/>
            <w:shd w:val="clear" w:color="auto" w:fill="CFF0FC"/>
          </w:tcPr>
          <w:p>
            <w:pPr>
              <w:ind w:left="20"/>
              <w:spacing w:after="0" w:line="116" w:lineRule="exact"/>
              <w:rPr>
                <w:sz w:val="20"/>
                <w:szCs w:val="20"/>
                <w:color w:val="auto"/>
              </w:rPr>
            </w:pPr>
            <w:r>
              <w:rPr>
                <w:rFonts w:ascii="Arial" w:cs="Arial" w:eastAsia="Arial" w:hAnsi="Arial"/>
                <w:sz w:val="13"/>
                <w:szCs w:val="13"/>
                <w:color w:val="auto"/>
              </w:rPr>
              <w:t>Income tax expense (benefit)</w:t>
            </w: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left w:val="single" w:sz="8" w:color="CFF0FC"/>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auto"/>
            </w:tcBorders>
            <w:gridSpan w:val="2"/>
            <w:shd w:val="clear" w:color="auto" w:fill="CFF0FC"/>
          </w:tcPr>
          <w:p>
            <w:pPr>
              <w:jc w:val="right"/>
              <w:spacing w:after="0" w:line="116" w:lineRule="exact"/>
              <w:rPr>
                <w:sz w:val="20"/>
                <w:szCs w:val="20"/>
                <w:color w:val="auto"/>
              </w:rPr>
            </w:pPr>
            <w:r>
              <w:rPr>
                <w:rFonts w:ascii="Arial" w:cs="Arial" w:eastAsia="Arial" w:hAnsi="Arial"/>
                <w:sz w:val="13"/>
                <w:szCs w:val="13"/>
                <w:color w:val="auto"/>
              </w:rPr>
              <w:t>1</w:t>
            </w:r>
          </w:p>
        </w:tc>
        <w:tc>
          <w:tcPr>
            <w:tcW w:w="80" w:type="dxa"/>
            <w:vAlign w:val="bottom"/>
            <w:tcBorders>
              <w:bottom w:val="single" w:sz="8" w:color="CFF0FC"/>
              <w:right w:val="single" w:sz="8" w:color="CFF0FC"/>
            </w:tcBorders>
            <w:shd w:val="clear" w:color="auto" w:fill="CFF0FC"/>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1380" w:type="dxa"/>
            <w:vAlign w:val="bottom"/>
            <w:gridSpan w:val="4"/>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ind w:left="40"/>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2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-4516755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-4516755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-4516755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-4516755</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-4516755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-4516755</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-4516755</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-4516755</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-4516755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-4337050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-4337050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-4337050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-4337050</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-4337050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-4337050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-4337050</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-4337050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-4337050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-3994150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-3994150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-3994150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-3994150</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-3994150</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-3994150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-3994150</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-3994150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-3994150</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-2013585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-2013585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-2013585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-2013585</wp:posOffset>
            </wp:positionV>
            <wp:extent cx="59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-2013585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-2013585</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-2013585</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-2013585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-2013585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-1396365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-1379220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-1396365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-1379220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-1396365</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-1379220</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-1396365</wp:posOffset>
            </wp:positionV>
            <wp:extent cx="596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-1379220</wp:posOffset>
            </wp:positionV>
            <wp:extent cx="596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-1396365</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-1379220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-1396365</wp:posOffset>
            </wp:positionV>
            <wp:extent cx="603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-1379220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-1396365</wp:posOffset>
            </wp:positionV>
            <wp:extent cx="596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-1379220</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-1396365</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-1379220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-1396365</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-1379220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-325120</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-325120</wp:posOffset>
            </wp:positionV>
            <wp:extent cx="514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-325120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-119380</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260" w:hanging="256"/>
        <w:spacing w:after="0"/>
        <w:tabs>
          <w:tab w:leader="none" w:pos="260" w:val="left"/>
        </w:tabs>
        <w:numPr>
          <w:ilvl w:val="0"/>
          <w:numId w:val="18"/>
        </w:numPr>
        <w:rPr>
          <w:rFonts w:ascii="Arial" w:cs="Arial" w:eastAsia="Arial" w:hAnsi="Arial"/>
          <w:sz w:val="17"/>
          <w:szCs w:val="17"/>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jc w:val="right"/>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99" w:right="10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5"/>
        </w:trPr>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shd w:val="clear" w:color="auto" w:fill="D9D9D9"/>
          </w:tcPr>
          <w:p>
            <w:pPr>
              <w:spacing w:after="0"/>
              <w:rPr>
                <w:sz w:val="11"/>
                <w:szCs w:val="11"/>
                <w:color w:val="auto"/>
              </w:rPr>
            </w:pPr>
          </w:p>
        </w:tc>
        <w:tc>
          <w:tcPr>
            <w:tcW w:w="480" w:type="dxa"/>
            <w:vAlign w:val="bottom"/>
            <w:tcBorders>
              <w:top w:val="single" w:sz="8" w:color="auto"/>
            </w:tcBorders>
            <w:shd w:val="clear" w:color="auto" w:fill="D9D9D9"/>
          </w:tcPr>
          <w:p>
            <w:pPr>
              <w:spacing w:after="0"/>
              <w:rPr>
                <w:sz w:val="11"/>
                <w:szCs w:val="11"/>
                <w:color w:val="auto"/>
              </w:rPr>
            </w:pPr>
          </w:p>
        </w:tc>
        <w:tc>
          <w:tcPr>
            <w:tcW w:w="200" w:type="dxa"/>
            <w:vAlign w:val="bottom"/>
            <w:tcBorders>
              <w:top w:val="single" w:sz="8" w:color="auto"/>
            </w:tcBorders>
            <w:shd w:val="clear" w:color="auto" w:fill="D9D9D9"/>
          </w:tcPr>
          <w:p>
            <w:pPr>
              <w:spacing w:after="0"/>
              <w:rPr>
                <w:sz w:val="11"/>
                <w:szCs w:val="11"/>
                <w:color w:val="auto"/>
              </w:rPr>
            </w:pPr>
          </w:p>
        </w:tc>
        <w:tc>
          <w:tcPr>
            <w:tcW w:w="80" w:type="dxa"/>
            <w:vAlign w:val="bottom"/>
            <w:tcBorders>
              <w:top w:val="single" w:sz="8" w:color="auto"/>
            </w:tcBorders>
            <w:shd w:val="clear" w:color="auto" w:fill="D9D9D9"/>
          </w:tcPr>
          <w:p>
            <w:pPr>
              <w:spacing w:after="0"/>
              <w:rPr>
                <w:sz w:val="11"/>
                <w:szCs w:val="11"/>
                <w:color w:val="auto"/>
              </w:rPr>
            </w:pPr>
          </w:p>
        </w:tc>
        <w:tc>
          <w:tcPr>
            <w:tcW w:w="580" w:type="dxa"/>
            <w:vAlign w:val="bottom"/>
            <w:tcBorders>
              <w:top w:val="single" w:sz="8" w:color="auto"/>
            </w:tcBorders>
            <w:shd w:val="clear" w:color="auto" w:fill="D9D9D9"/>
          </w:tcPr>
          <w:p>
            <w:pPr>
              <w:spacing w:after="0"/>
              <w:rPr>
                <w:sz w:val="11"/>
                <w:szCs w:val="11"/>
                <w:color w:val="auto"/>
              </w:rPr>
            </w:pPr>
          </w:p>
        </w:tc>
        <w:tc>
          <w:tcPr>
            <w:tcW w:w="200" w:type="dxa"/>
            <w:vAlign w:val="bottom"/>
            <w:tcBorders>
              <w:top w:val="single" w:sz="8" w:color="auto"/>
            </w:tcBorders>
            <w:shd w:val="clear" w:color="auto" w:fill="D9D9D9"/>
          </w:tcPr>
          <w:p>
            <w:pPr>
              <w:spacing w:after="0"/>
              <w:rPr>
                <w:sz w:val="11"/>
                <w:szCs w:val="11"/>
                <w:color w:val="auto"/>
              </w:rPr>
            </w:pPr>
          </w:p>
        </w:tc>
        <w:tc>
          <w:tcPr>
            <w:tcW w:w="120" w:type="dxa"/>
            <w:vAlign w:val="bottom"/>
            <w:tcBorders>
              <w:top w:val="single" w:sz="8" w:color="auto"/>
            </w:tcBorders>
            <w:shd w:val="clear" w:color="auto" w:fill="D9D9D9"/>
          </w:tcPr>
          <w:p>
            <w:pPr>
              <w:spacing w:after="0"/>
              <w:rPr>
                <w:sz w:val="11"/>
                <w:szCs w:val="11"/>
                <w:color w:val="auto"/>
              </w:rPr>
            </w:pPr>
          </w:p>
        </w:tc>
        <w:tc>
          <w:tcPr>
            <w:tcW w:w="760" w:type="dxa"/>
            <w:vAlign w:val="bottom"/>
            <w:tcBorders>
              <w:top w:val="single" w:sz="8" w:color="auto"/>
            </w:tcBorders>
            <w:shd w:val="clear" w:color="auto" w:fill="D9D9D9"/>
          </w:tcPr>
          <w:p>
            <w:pPr>
              <w:spacing w:after="0"/>
              <w:rPr>
                <w:sz w:val="11"/>
                <w:szCs w:val="11"/>
                <w:color w:val="auto"/>
              </w:rPr>
            </w:pPr>
          </w:p>
        </w:tc>
        <w:tc>
          <w:tcPr>
            <w:tcW w:w="100" w:type="dxa"/>
            <w:vAlign w:val="bottom"/>
            <w:tcBorders>
              <w:top w:val="single" w:sz="8" w:color="auto"/>
            </w:tcBorders>
            <w:shd w:val="clear" w:color="auto" w:fill="D9D9D9"/>
          </w:tcPr>
          <w:p>
            <w:pPr>
              <w:spacing w:after="0"/>
              <w:rPr>
                <w:sz w:val="11"/>
                <w:szCs w:val="11"/>
                <w:color w:val="auto"/>
              </w:rPr>
            </w:pPr>
          </w:p>
        </w:tc>
        <w:tc>
          <w:tcPr>
            <w:tcW w:w="80" w:type="dxa"/>
            <w:vAlign w:val="bottom"/>
            <w:tcBorders>
              <w:top w:val="single" w:sz="8" w:color="auto"/>
            </w:tcBorders>
            <w:shd w:val="clear" w:color="auto" w:fill="D9D9D9"/>
          </w:tcPr>
          <w:p>
            <w:pPr>
              <w:spacing w:after="0"/>
              <w:rPr>
                <w:sz w:val="11"/>
                <w:szCs w:val="11"/>
                <w:color w:val="auto"/>
              </w:rPr>
            </w:pPr>
          </w:p>
        </w:tc>
        <w:tc>
          <w:tcPr>
            <w:tcW w:w="140" w:type="dxa"/>
            <w:vAlign w:val="bottom"/>
            <w:tcBorders>
              <w:top w:val="single" w:sz="8" w:color="auto"/>
            </w:tcBorders>
            <w:shd w:val="clear" w:color="auto" w:fill="D9D9D9"/>
          </w:tcPr>
          <w:p>
            <w:pPr>
              <w:spacing w:after="0"/>
              <w:rPr>
                <w:sz w:val="11"/>
                <w:szCs w:val="11"/>
                <w:color w:val="auto"/>
              </w:rPr>
            </w:pPr>
          </w:p>
        </w:tc>
        <w:tc>
          <w:tcPr>
            <w:tcW w:w="1960" w:type="dxa"/>
            <w:vAlign w:val="bottom"/>
            <w:tcBorders>
              <w:top w:val="single" w:sz="8" w:color="auto"/>
            </w:tcBorders>
            <w:gridSpan w:val="8"/>
            <w:shd w:val="clear" w:color="auto" w:fill="D9D9D9"/>
          </w:tcPr>
          <w:p>
            <w:pPr>
              <w:jc w:val="center"/>
              <w:spacing w:after="0"/>
              <w:rPr>
                <w:sz w:val="20"/>
                <w:szCs w:val="20"/>
                <w:color w:val="auto"/>
              </w:rPr>
            </w:pPr>
            <w:r>
              <w:rPr>
                <w:rFonts w:ascii="Arial" w:cs="Arial" w:eastAsia="Arial" w:hAnsi="Arial"/>
                <w:sz w:val="11"/>
                <w:szCs w:val="11"/>
                <w:b w:val="1"/>
                <w:bCs w:val="1"/>
                <w:color w:val="auto"/>
                <w:w w:val="97"/>
              </w:rPr>
              <w:t>QUARTER ENDED MARCH 31, 2025</w:t>
            </w:r>
          </w:p>
        </w:tc>
        <w:tc>
          <w:tcPr>
            <w:tcW w:w="320" w:type="dxa"/>
            <w:vAlign w:val="bottom"/>
            <w:tcBorders>
              <w:top w:val="single" w:sz="8" w:color="auto"/>
            </w:tcBorders>
            <w:shd w:val="clear" w:color="auto" w:fill="D9D9D9"/>
          </w:tcPr>
          <w:p>
            <w:pPr>
              <w:spacing w:after="0"/>
              <w:rPr>
                <w:sz w:val="11"/>
                <w:szCs w:val="11"/>
                <w:color w:val="auto"/>
              </w:rPr>
            </w:pPr>
          </w:p>
        </w:tc>
        <w:tc>
          <w:tcPr>
            <w:tcW w:w="80" w:type="dxa"/>
            <w:vAlign w:val="bottom"/>
            <w:tcBorders>
              <w:top w:val="single" w:sz="8" w:color="auto"/>
            </w:tcBorders>
            <w:shd w:val="clear" w:color="auto" w:fill="D9D9D9"/>
          </w:tcPr>
          <w:p>
            <w:pPr>
              <w:spacing w:after="0"/>
              <w:rPr>
                <w:sz w:val="11"/>
                <w:szCs w:val="11"/>
                <w:color w:val="auto"/>
              </w:rPr>
            </w:pPr>
          </w:p>
        </w:tc>
        <w:tc>
          <w:tcPr>
            <w:tcW w:w="180" w:type="dxa"/>
            <w:vAlign w:val="bottom"/>
            <w:tcBorders>
              <w:top w:val="single" w:sz="8" w:color="auto"/>
            </w:tcBorders>
            <w:shd w:val="clear" w:color="auto" w:fill="D9D9D9"/>
          </w:tcPr>
          <w:p>
            <w:pPr>
              <w:spacing w:after="0"/>
              <w:rPr>
                <w:sz w:val="11"/>
                <w:szCs w:val="11"/>
                <w:color w:val="auto"/>
              </w:rPr>
            </w:pPr>
          </w:p>
        </w:tc>
        <w:tc>
          <w:tcPr>
            <w:tcW w:w="100" w:type="dxa"/>
            <w:vAlign w:val="bottom"/>
            <w:tcBorders>
              <w:top w:val="single" w:sz="8" w:color="auto"/>
            </w:tcBorders>
            <w:shd w:val="clear" w:color="auto" w:fill="D9D9D9"/>
          </w:tcPr>
          <w:p>
            <w:pPr>
              <w:spacing w:after="0"/>
              <w:rPr>
                <w:sz w:val="11"/>
                <w:szCs w:val="11"/>
                <w:color w:val="auto"/>
              </w:rPr>
            </w:pPr>
          </w:p>
        </w:tc>
        <w:tc>
          <w:tcPr>
            <w:tcW w:w="520" w:type="dxa"/>
            <w:vAlign w:val="bottom"/>
            <w:tcBorders>
              <w:top w:val="single" w:sz="8" w:color="auto"/>
              <w:right w:val="single" w:sz="8" w:color="D9D9D9"/>
            </w:tcBorders>
            <w:shd w:val="clear" w:color="auto" w:fill="D9D9D9"/>
          </w:tcPr>
          <w:p>
            <w:pPr>
              <w:spacing w:after="0"/>
              <w:rPr>
                <w:sz w:val="11"/>
                <w:szCs w:val="11"/>
                <w:color w:val="auto"/>
              </w:rPr>
            </w:pPr>
          </w:p>
        </w:tc>
        <w:tc>
          <w:tcPr>
            <w:tcW w:w="200" w:type="dxa"/>
            <w:vAlign w:val="bottom"/>
            <w:tcBorders>
              <w:top w:val="single" w:sz="8" w:color="auto"/>
            </w:tcBorders>
            <w:shd w:val="clear" w:color="auto" w:fill="D9D9D9"/>
          </w:tcPr>
          <w:p>
            <w:pPr>
              <w:spacing w:after="0"/>
              <w:rPr>
                <w:sz w:val="11"/>
                <w:szCs w:val="11"/>
                <w:color w:val="auto"/>
              </w:rPr>
            </w:pPr>
          </w:p>
        </w:tc>
        <w:tc>
          <w:tcPr>
            <w:tcW w:w="100" w:type="dxa"/>
            <w:vAlign w:val="bottom"/>
            <w:tcBorders>
              <w:top w:val="single" w:sz="8" w:color="auto"/>
            </w:tcBorders>
            <w:shd w:val="clear" w:color="auto" w:fill="D9D9D9"/>
          </w:tcPr>
          <w:p>
            <w:pPr>
              <w:spacing w:after="0"/>
              <w:rPr>
                <w:sz w:val="11"/>
                <w:szCs w:val="11"/>
                <w:color w:val="auto"/>
              </w:rPr>
            </w:pPr>
          </w:p>
        </w:tc>
        <w:tc>
          <w:tcPr>
            <w:tcW w:w="240" w:type="dxa"/>
            <w:vAlign w:val="bottom"/>
            <w:tcBorders>
              <w:top w:val="single" w:sz="8" w:color="auto"/>
            </w:tcBorders>
            <w:shd w:val="clear" w:color="auto" w:fill="D9D9D9"/>
          </w:tcPr>
          <w:p>
            <w:pPr>
              <w:spacing w:after="0"/>
              <w:rPr>
                <w:sz w:val="11"/>
                <w:szCs w:val="11"/>
                <w:color w:val="auto"/>
              </w:rPr>
            </w:pPr>
          </w:p>
        </w:tc>
        <w:tc>
          <w:tcPr>
            <w:tcW w:w="280" w:type="dxa"/>
            <w:vAlign w:val="bottom"/>
            <w:tcBorders>
              <w:top w:val="single" w:sz="8" w:color="auto"/>
            </w:tcBorders>
            <w:shd w:val="clear" w:color="auto" w:fill="D9D9D9"/>
          </w:tcPr>
          <w:p>
            <w:pPr>
              <w:spacing w:after="0"/>
              <w:rPr>
                <w:sz w:val="11"/>
                <w:szCs w:val="11"/>
                <w:color w:val="auto"/>
              </w:rPr>
            </w:pPr>
          </w:p>
        </w:tc>
        <w:tc>
          <w:tcPr>
            <w:tcW w:w="180" w:type="dxa"/>
            <w:vAlign w:val="bottom"/>
            <w:tcBorders>
              <w:top w:val="single" w:sz="8" w:color="auto"/>
            </w:tcBorders>
            <w:shd w:val="clear" w:color="auto" w:fill="D9D9D9"/>
          </w:tcPr>
          <w:p>
            <w:pPr>
              <w:spacing w:after="0"/>
              <w:rPr>
                <w:sz w:val="11"/>
                <w:szCs w:val="11"/>
                <w:color w:val="auto"/>
              </w:rPr>
            </w:pPr>
          </w:p>
        </w:tc>
        <w:tc>
          <w:tcPr>
            <w:tcW w:w="180" w:type="dxa"/>
            <w:vAlign w:val="bottom"/>
            <w:tcBorders>
              <w:top w:val="single" w:sz="8" w:color="auto"/>
            </w:tcBorders>
            <w:shd w:val="clear" w:color="auto" w:fill="D9D9D9"/>
          </w:tcPr>
          <w:p>
            <w:pPr>
              <w:spacing w:after="0"/>
              <w:rPr>
                <w:sz w:val="11"/>
                <w:szCs w:val="11"/>
                <w:color w:val="auto"/>
              </w:rPr>
            </w:pPr>
          </w:p>
        </w:tc>
        <w:tc>
          <w:tcPr>
            <w:tcW w:w="100" w:type="dxa"/>
            <w:vAlign w:val="bottom"/>
            <w:tcBorders>
              <w:top w:val="single" w:sz="8" w:color="auto"/>
            </w:tcBorders>
            <w:shd w:val="clear" w:color="auto" w:fill="D9D9D9"/>
          </w:tcPr>
          <w:p>
            <w:pPr>
              <w:spacing w:after="0"/>
              <w:rPr>
                <w:sz w:val="11"/>
                <w:szCs w:val="11"/>
                <w:color w:val="auto"/>
              </w:rPr>
            </w:pPr>
          </w:p>
        </w:tc>
        <w:tc>
          <w:tcPr>
            <w:tcW w:w="380" w:type="dxa"/>
            <w:vAlign w:val="bottom"/>
            <w:tcBorders>
              <w:top w:val="single" w:sz="8" w:color="auto"/>
            </w:tcBorders>
            <w:shd w:val="clear" w:color="auto" w:fill="D9D9D9"/>
          </w:tcPr>
          <w:p>
            <w:pPr>
              <w:spacing w:after="0"/>
              <w:rPr>
                <w:sz w:val="11"/>
                <w:szCs w:val="11"/>
                <w:color w:val="auto"/>
              </w:rPr>
            </w:pPr>
          </w:p>
        </w:tc>
        <w:tc>
          <w:tcPr>
            <w:tcW w:w="100" w:type="dxa"/>
            <w:vAlign w:val="bottom"/>
            <w:tcBorders>
              <w:top w:val="single" w:sz="8" w:color="D9D9D9"/>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rPr>
              <w:t>Adjustments</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8"/>
              </w:rPr>
              <w:t>Total</w:t>
            </w:r>
          </w:p>
        </w:tc>
        <w:tc>
          <w:tcPr>
            <w:tcW w:w="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6"/>
          </w:tcPr>
          <w:p>
            <w:pPr>
              <w:ind w:left="80"/>
              <w:spacing w:after="0" w:line="122" w:lineRule="exact"/>
              <w:rPr>
                <w:sz w:val="20"/>
                <w:szCs w:val="20"/>
                <w:color w:val="auto"/>
              </w:rPr>
            </w:pPr>
            <w:r>
              <w:rPr>
                <w:rFonts w:ascii="Arial" w:cs="Arial" w:eastAsia="Arial" w:hAnsi="Arial"/>
                <w:sz w:val="11"/>
                <w:szCs w:val="11"/>
                <w:b w:val="1"/>
                <w:bCs w:val="1"/>
                <w:color w:val="auto"/>
              </w:rPr>
              <w:t>Reportable Segments</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w w:val="96"/>
              </w:rPr>
              <w:t>Federal</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36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780" w:type="dxa"/>
            <w:vAlign w:val="bottom"/>
            <w:gridSpan w:val="2"/>
          </w:tcPr>
          <w:p>
            <w:pPr>
              <w:jc w:val="right"/>
              <w:ind w:right="300"/>
              <w:spacing w:after="0" w:line="108" w:lineRule="exact"/>
              <w:rPr>
                <w:sz w:val="20"/>
                <w:szCs w:val="20"/>
                <w:color w:val="auto"/>
              </w:rPr>
            </w:pPr>
            <w:r>
              <w:rPr>
                <w:rFonts w:ascii="Arial" w:cs="Arial" w:eastAsia="Arial" w:hAnsi="Arial"/>
                <w:sz w:val="11"/>
                <w:szCs w:val="11"/>
                <w:b w:val="1"/>
                <w:bCs w:val="1"/>
                <w:color w:val="auto"/>
                <w:w w:val="95"/>
              </w:rPr>
              <w:t>Reclassi-</w:t>
            </w:r>
          </w:p>
        </w:tc>
        <w:tc>
          <w:tcPr>
            <w:tcW w:w="120" w:type="dxa"/>
            <w:vAlign w:val="bottom"/>
          </w:tcPr>
          <w:p>
            <w:pPr>
              <w:spacing w:after="0"/>
              <w:rPr>
                <w:sz w:val="9"/>
                <w:szCs w:val="9"/>
                <w:color w:val="auto"/>
              </w:rPr>
            </w:pPr>
          </w:p>
        </w:tc>
        <w:tc>
          <w:tcPr>
            <w:tcW w:w="860" w:type="dxa"/>
            <w:vAlign w:val="bottom"/>
            <w:gridSpan w:val="2"/>
          </w:tcPr>
          <w:p>
            <w:pPr>
              <w:jc w:val="right"/>
              <w:ind w:right="280"/>
              <w:spacing w:after="0" w:line="108" w:lineRule="exact"/>
              <w:rPr>
                <w:sz w:val="20"/>
                <w:szCs w:val="20"/>
                <w:color w:val="auto"/>
              </w:rPr>
            </w:pPr>
            <w:r>
              <w:rPr>
                <w:rFonts w:ascii="Arial" w:cs="Arial" w:eastAsia="Arial" w:hAnsi="Arial"/>
                <w:sz w:val="11"/>
                <w:szCs w:val="11"/>
                <w:b w:val="1"/>
                <w:bCs w:val="1"/>
                <w:color w:val="auto"/>
              </w:rPr>
              <w:t>Additions/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44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right w:val="single" w:sz="8" w:color="auto"/>
            </w:tcBorders>
            <w:gridSpan w:val="2"/>
          </w:tcPr>
          <w:p>
            <w:pPr>
              <w:jc w:val="center"/>
              <w:ind w:right="280"/>
              <w:spacing w:after="0" w:line="108" w:lineRule="exact"/>
              <w:rPr>
                <w:sz w:val="20"/>
                <w:szCs w:val="20"/>
                <w:color w:val="auto"/>
              </w:rPr>
            </w:pPr>
            <w:r>
              <w:rPr>
                <w:rFonts w:ascii="Arial" w:cs="Arial" w:eastAsia="Arial" w:hAnsi="Arial"/>
                <w:sz w:val="11"/>
                <w:szCs w:val="11"/>
                <w:b w:val="1"/>
                <w:bCs w:val="1"/>
                <w:color w:val="auto"/>
                <w:w w:val="95"/>
              </w:rPr>
              <w:t>Core</w:t>
            </w:r>
          </w:p>
        </w:tc>
        <w:tc>
          <w:tcPr>
            <w:tcW w:w="60" w:type="dxa"/>
            <w:vAlign w:val="bottom"/>
          </w:tcPr>
          <w:p>
            <w:pPr>
              <w:spacing w:after="0"/>
              <w:rPr>
                <w:sz w:val="9"/>
                <w:szCs w:val="9"/>
                <w:color w:val="auto"/>
              </w:rPr>
            </w:pPr>
          </w:p>
        </w:tc>
        <w:tc>
          <w:tcPr>
            <w:tcW w:w="620" w:type="dxa"/>
            <w:vAlign w:val="bottom"/>
            <w:gridSpan w:val="3"/>
          </w:tcPr>
          <w:p>
            <w:pPr>
              <w:jc w:val="right"/>
              <w:ind w:right="8"/>
              <w:spacing w:after="0" w:line="108" w:lineRule="exact"/>
              <w:rPr>
                <w:sz w:val="20"/>
                <w:szCs w:val="20"/>
                <w:color w:val="auto"/>
              </w:rPr>
            </w:pPr>
            <w:r>
              <w:rPr>
                <w:rFonts w:ascii="Arial" w:cs="Arial" w:eastAsia="Arial" w:hAnsi="Arial"/>
                <w:sz w:val="11"/>
                <w:szCs w:val="11"/>
                <w:b w:val="1"/>
                <w:bCs w:val="1"/>
                <w:color w:val="auto"/>
                <w:w w:val="99"/>
              </w:rPr>
              <w:t>Consumer</w:t>
            </w:r>
          </w:p>
        </w:tc>
        <w:tc>
          <w:tcPr>
            <w:tcW w:w="180" w:type="dxa"/>
            <w:vAlign w:val="bottom"/>
          </w:tcPr>
          <w:p>
            <w:pPr>
              <w:spacing w:after="0"/>
              <w:rPr>
                <w:sz w:val="9"/>
                <w:szCs w:val="9"/>
                <w:color w:val="auto"/>
              </w:rPr>
            </w:pPr>
          </w:p>
        </w:tc>
        <w:tc>
          <w:tcPr>
            <w:tcW w:w="820" w:type="dxa"/>
            <w:vAlign w:val="bottom"/>
            <w:gridSpan w:val="3"/>
          </w:tcPr>
          <w:p>
            <w:pPr>
              <w:jc w:val="center"/>
              <w:ind w:right="220"/>
              <w:spacing w:after="0" w:line="108" w:lineRule="exact"/>
              <w:rPr>
                <w:sz w:val="20"/>
                <w:szCs w:val="20"/>
                <w:color w:val="auto"/>
              </w:rPr>
            </w:pPr>
            <w:r>
              <w:rPr>
                <w:rFonts w:ascii="Arial" w:cs="Arial" w:eastAsia="Arial" w:hAnsi="Arial"/>
                <w:sz w:val="11"/>
                <w:szCs w:val="11"/>
                <w:b w:val="1"/>
                <w:bCs w:val="1"/>
                <w:color w:val="auto"/>
                <w:w w:val="97"/>
              </w:rPr>
              <w:t>Education</w:t>
            </w:r>
          </w:p>
        </w:tc>
        <w:tc>
          <w:tcPr>
            <w:tcW w:w="800" w:type="dxa"/>
            <w:vAlign w:val="bottom"/>
            <w:gridSpan w:val="4"/>
          </w:tcPr>
          <w:p>
            <w:pPr>
              <w:ind w:left="40"/>
              <w:spacing w:after="0" w:line="108" w:lineRule="exact"/>
              <w:rPr>
                <w:sz w:val="20"/>
                <w:szCs w:val="20"/>
                <w:color w:val="auto"/>
              </w:rPr>
            </w:pPr>
            <w:r>
              <w:rPr>
                <w:rFonts w:ascii="Arial" w:cs="Arial" w:eastAsia="Arial" w:hAnsi="Arial"/>
                <w:sz w:val="11"/>
                <w:szCs w:val="11"/>
                <w:b w:val="1"/>
                <w:bCs w:val="1"/>
                <w:color w:val="auto"/>
              </w:rPr>
              <w:t>Business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40" w:type="dxa"/>
            <w:vAlign w:val="bottom"/>
            <w:gridSpan w:val="5"/>
          </w:tcPr>
          <w:p>
            <w:pPr>
              <w:spacing w:after="0"/>
              <w:rPr>
                <w:sz w:val="20"/>
                <w:szCs w:val="20"/>
                <w:color w:val="auto"/>
              </w:rPr>
            </w:pPr>
            <w:r>
              <w:rPr>
                <w:rFonts w:ascii="Arial" w:cs="Arial" w:eastAsia="Arial" w:hAnsi="Arial"/>
                <w:sz w:val="11"/>
                <w:szCs w:val="11"/>
                <w:b w:val="1"/>
                <w:bCs w:val="1"/>
                <w:color w:val="auto"/>
              </w:rPr>
              <w:t>(Dollars in millions)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GAAP</w:t>
            </w:r>
          </w:p>
        </w:tc>
        <w:tc>
          <w:tcPr>
            <w:tcW w:w="80" w:type="dxa"/>
            <w:vAlign w:val="bottom"/>
          </w:tcPr>
          <w:p>
            <w:pPr>
              <w:spacing w:after="0"/>
              <w:rPr>
                <w:sz w:val="12"/>
                <w:szCs w:val="12"/>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7"/>
              </w:rPr>
              <w:t>fications</w:t>
            </w:r>
          </w:p>
        </w:tc>
        <w:tc>
          <w:tcPr>
            <w:tcW w:w="98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rPr>
              <w:t>(Subtractions)</w:t>
            </w:r>
          </w:p>
        </w:tc>
        <w:tc>
          <w:tcPr>
            <w:tcW w:w="8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1"/>
                <w:szCs w:val="11"/>
                <w:b w:val="1"/>
                <w:bCs w:val="1"/>
                <w:color w:val="auto"/>
                <w:w w:val="98"/>
              </w:rPr>
              <w:t xml:space="preserve">Adjustments </w:t>
            </w:r>
            <w:r>
              <w:rPr>
                <w:rFonts w:ascii="Arial" w:cs="Arial" w:eastAsia="Arial" w:hAnsi="Arial"/>
                <w:sz w:val="14"/>
                <w:szCs w:val="14"/>
                <w:b w:val="1"/>
                <w:bCs w:val="1"/>
                <w:color w:val="auto"/>
                <w:w w:val="98"/>
                <w:vertAlign w:val="superscript"/>
              </w:rPr>
              <w:t>(1)</w:t>
            </w:r>
          </w:p>
        </w:tc>
        <w:tc>
          <w:tcPr>
            <w:tcW w:w="80" w:type="dxa"/>
            <w:vAlign w:val="bottom"/>
          </w:tcPr>
          <w:p>
            <w:pPr>
              <w:spacing w:after="0"/>
              <w:rPr>
                <w:sz w:val="12"/>
                <w:szCs w:val="12"/>
                <w:color w:val="auto"/>
              </w:rPr>
            </w:pPr>
          </w:p>
        </w:tc>
        <w:tc>
          <w:tcPr>
            <w:tcW w:w="74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1"/>
                <w:szCs w:val="11"/>
                <w:b w:val="1"/>
                <w:bCs w:val="1"/>
                <w:color w:val="auto"/>
                <w:w w:val="97"/>
              </w:rPr>
              <w:t>Earnings</w:t>
            </w:r>
          </w:p>
        </w:tc>
        <w:tc>
          <w:tcPr>
            <w:tcW w:w="60" w:type="dxa"/>
            <w:vAlign w:val="bottom"/>
          </w:tcPr>
          <w:p>
            <w:pPr>
              <w:spacing w:after="0"/>
              <w:rPr>
                <w:sz w:val="12"/>
                <w:szCs w:val="12"/>
                <w:color w:val="auto"/>
              </w:rPr>
            </w:pPr>
          </w:p>
        </w:tc>
        <w:tc>
          <w:tcPr>
            <w:tcW w:w="620" w:type="dxa"/>
            <w:vAlign w:val="bottom"/>
            <w:gridSpan w:val="3"/>
          </w:tcPr>
          <w:p>
            <w:pPr>
              <w:jc w:val="right"/>
              <w:ind w:right="48"/>
              <w:spacing w:after="0"/>
              <w:rPr>
                <w:sz w:val="20"/>
                <w:szCs w:val="20"/>
                <w:color w:val="auto"/>
              </w:rPr>
            </w:pPr>
            <w:r>
              <w:rPr>
                <w:rFonts w:ascii="Arial" w:cs="Arial" w:eastAsia="Arial" w:hAnsi="Arial"/>
                <w:sz w:val="11"/>
                <w:szCs w:val="11"/>
                <w:b w:val="1"/>
                <w:bCs w:val="1"/>
                <w:color w:val="auto"/>
              </w:rPr>
              <w:t>Lending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Loans</w:t>
            </w: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Processing</w:t>
            </w:r>
          </w:p>
        </w:tc>
        <w:tc>
          <w:tcPr>
            <w:tcW w:w="180" w:type="dxa"/>
            <w:vAlign w:val="bottom"/>
          </w:tcPr>
          <w:p>
            <w:pPr>
              <w:spacing w:after="0"/>
              <w:rPr>
                <w:sz w:val="12"/>
                <w:szCs w:val="12"/>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w w:val="88"/>
              </w:rPr>
              <w:t>Other</w:t>
            </w:r>
          </w:p>
        </w:tc>
        <w:tc>
          <w:tcPr>
            <w:tcW w:w="0" w:type="dxa"/>
            <w:vAlign w:val="bottom"/>
          </w:tcPr>
          <w:p>
            <w:pPr>
              <w:spacing w:after="0"/>
              <w:rPr>
                <w:sz w:val="1"/>
                <w:szCs w:val="1"/>
                <w:color w:val="auto"/>
              </w:rPr>
            </w:pPr>
          </w:p>
        </w:tc>
      </w:tr>
      <w:tr>
        <w:trPr>
          <w:trHeight w:val="128"/>
        </w:trPr>
        <w:tc>
          <w:tcPr>
            <w:tcW w:w="10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rPr>
              <w:t>Interest income:</w:t>
            </w:r>
          </w:p>
        </w:tc>
        <w:tc>
          <w:tcPr>
            <w:tcW w:w="740" w:type="dxa"/>
            <w:vAlign w:val="bottom"/>
            <w:gridSpan w:val="3"/>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Education loans</w:t>
            </w:r>
          </w:p>
        </w:tc>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782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289</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493</w:t>
            </w: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40" w:type="dxa"/>
            <w:vAlign w:val="bottom"/>
            <w:tcBorders>
              <w:bottom w:val="single" w:sz="8" w:color="CFF0FC"/>
            </w:tcBorders>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Cash and investments</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20</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1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10</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40" w:type="dxa"/>
            <w:vAlign w:val="bottom"/>
            <w:gridSpan w:val="5"/>
          </w:tcPr>
          <w:p>
            <w:pPr>
              <w:spacing w:after="0" w:line="129" w:lineRule="exact"/>
              <w:rPr>
                <w:sz w:val="20"/>
                <w:szCs w:val="20"/>
                <w:color w:val="auto"/>
              </w:rPr>
            </w:pPr>
            <w:r>
              <w:rPr>
                <w:rFonts w:ascii="Arial" w:cs="Arial" w:eastAsia="Arial" w:hAnsi="Arial"/>
                <w:sz w:val="13"/>
                <w:szCs w:val="13"/>
                <w:color w:val="auto"/>
              </w:rPr>
              <w:t>Total interest income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802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294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503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Total interest expense</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672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181</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454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74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40" w:type="dxa"/>
            <w:vAlign w:val="bottom"/>
            <w:gridSpan w:val="5"/>
          </w:tcPr>
          <w:p>
            <w:pPr>
              <w:ind w:left="100"/>
              <w:spacing w:after="0"/>
              <w:rPr>
                <w:sz w:val="20"/>
                <w:szCs w:val="20"/>
                <w:color w:val="auto"/>
              </w:rPr>
            </w:pPr>
            <w:r>
              <w:rPr>
                <w:rFonts w:ascii="Arial" w:cs="Arial" w:eastAsia="Arial" w:hAnsi="Arial"/>
                <w:sz w:val="13"/>
                <w:szCs w:val="13"/>
                <w:color w:val="auto"/>
              </w:rPr>
              <w:t>(loss)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130</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220" w:type="dxa"/>
            <w:vAlign w:val="bottom"/>
            <w:gridSpan w:val="2"/>
          </w:tcPr>
          <w:p>
            <w:pPr>
              <w:jc w:val="right"/>
              <w:ind w:right="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2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144</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113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17"/>
        </w:trPr>
        <w:tc>
          <w:tcPr>
            <w:tcW w:w="17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Less: provisions for loan</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740" w:type="dxa"/>
            <w:vAlign w:val="bottom"/>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losses</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tcBorders>
              <w:right w:val="single" w:sz="8" w:color="CFF0FC"/>
            </w:tcBorders>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74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(loss) after provisions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gridSpan w:val="5"/>
          </w:tcPr>
          <w:p>
            <w:pPr>
              <w:ind w:left="100"/>
              <w:spacing w:after="0"/>
              <w:rPr>
                <w:sz w:val="20"/>
                <w:szCs w:val="20"/>
                <w:color w:val="auto"/>
              </w:rPr>
            </w:pPr>
            <w:r>
              <w:rPr>
                <w:rFonts w:ascii="Arial" w:cs="Arial" w:eastAsia="Arial" w:hAnsi="Arial"/>
                <w:sz w:val="13"/>
                <w:szCs w:val="13"/>
                <w:color w:val="auto"/>
              </w:rPr>
              <w:t>for loan losses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91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17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income (loss):</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Servicing revenue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74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Asset recovery and</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business processing</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gridSpan w:val="5"/>
            <w:shd w:val="clear" w:color="auto" w:fill="CFF0FC"/>
          </w:tcPr>
          <w:p>
            <w:pPr>
              <w:ind w:left="20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17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Other revenue (loss)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40" w:type="dxa"/>
            <w:vAlign w:val="bottom"/>
            <w:tcBorders>
              <w:top w:val="single" w:sz="8" w:color="CFF0FC"/>
            </w:tcBorders>
            <w:gridSpan w:val="5"/>
            <w:shd w:val="clear" w:color="auto" w:fill="CFF0FC"/>
          </w:tcPr>
          <w:p>
            <w:pPr>
              <w:spacing w:after="0" w:line="122" w:lineRule="exact"/>
              <w:rPr>
                <w:sz w:val="20"/>
                <w:szCs w:val="20"/>
                <w:color w:val="auto"/>
              </w:rPr>
            </w:pPr>
            <w:r>
              <w:rPr>
                <w:rFonts w:ascii="Arial" w:cs="Arial" w:eastAsia="Arial" w:hAnsi="Arial"/>
                <w:sz w:val="13"/>
                <w:szCs w:val="13"/>
                <w:color w:val="auto"/>
              </w:rPr>
              <w:t>Total other income</w:t>
            </w: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26</w:t>
            </w: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CFF0FC"/>
            </w:tcBorders>
            <w:gridSpan w:val="2"/>
            <w:shd w:val="clear" w:color="auto" w:fill="CFF0FC"/>
          </w:tcPr>
          <w:p>
            <w:pPr>
              <w:jc w:val="right"/>
              <w:ind w:right="160"/>
              <w:spacing w:after="0" w:line="122" w:lineRule="exact"/>
              <w:rPr>
                <w:sz w:val="20"/>
                <w:szCs w:val="20"/>
                <w:color w:val="auto"/>
              </w:rPr>
            </w:pPr>
            <w:r>
              <w:rPr>
                <w:rFonts w:ascii="Arial" w:cs="Arial" w:eastAsia="Arial" w:hAnsi="Arial"/>
                <w:sz w:val="13"/>
                <w:szCs w:val="13"/>
                <w:color w:val="auto"/>
              </w:rPr>
              <w:t>(6)</w:t>
            </w:r>
          </w:p>
        </w:tc>
        <w:tc>
          <w:tcPr>
            <w:tcW w:w="12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CFF0FC"/>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31</w:t>
            </w: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25</w:t>
            </w: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51</w:t>
            </w:r>
          </w:p>
        </w:tc>
        <w:tc>
          <w:tcPr>
            <w:tcW w:w="140" w:type="dxa"/>
            <w:vAlign w:val="bottom"/>
            <w:tcBorders>
              <w:top w:val="single" w:sz="8" w:color="CFF0FC"/>
              <w:right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gridSpan w:val="2"/>
            <w:shd w:val="clear" w:color="auto" w:fill="CFF0FC"/>
          </w:tcPr>
          <w:p>
            <w:pPr>
              <w:jc w:val="right"/>
              <w:spacing w:after="0" w:line="122" w:lineRule="exact"/>
              <w:rPr>
                <w:sz w:val="20"/>
                <w:szCs w:val="20"/>
                <w:color w:val="auto"/>
              </w:rPr>
            </w:pPr>
            <w:r>
              <w:rPr>
                <w:rFonts w:ascii="Arial" w:cs="Arial" w:eastAsia="Arial" w:hAnsi="Arial"/>
                <w:sz w:val="13"/>
                <w:szCs w:val="13"/>
                <w:color w:val="auto"/>
              </w:rPr>
              <w:t>3</w:t>
            </w:r>
          </w:p>
        </w:tc>
        <w:tc>
          <w:tcPr>
            <w:tcW w:w="1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right w:val="single" w:sz="8" w:color="CFF0FC"/>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10</w:t>
            </w: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23</w:t>
            </w:r>
          </w:p>
        </w:tc>
        <w:tc>
          <w:tcPr>
            <w:tcW w:w="1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gridSpan w:val="2"/>
            <w:shd w:val="clear" w:color="auto" w:fill="CFF0FC"/>
          </w:tcPr>
          <w:p>
            <w:pPr>
              <w:jc w:val="right"/>
              <w:spacing w:after="0" w:line="122" w:lineRule="exact"/>
              <w:rPr>
                <w:sz w:val="20"/>
                <w:szCs w:val="20"/>
                <w:color w:val="auto"/>
              </w:rPr>
            </w:pPr>
            <w:r>
              <w:rPr>
                <w:rFonts w:ascii="Arial" w:cs="Arial" w:eastAsia="Arial" w:hAnsi="Arial"/>
                <w:sz w:val="13"/>
                <w:szCs w:val="13"/>
                <w:color w:val="auto"/>
              </w:rPr>
              <w:t>15</w:t>
            </w: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gridSpan w:val="5"/>
          </w:tcPr>
          <w:p>
            <w:pPr>
              <w:spacing w:after="0" w:line="135" w:lineRule="exact"/>
              <w:rPr>
                <w:sz w:val="20"/>
                <w:szCs w:val="20"/>
                <w:color w:val="auto"/>
              </w:rPr>
            </w:pPr>
            <w:r>
              <w:rPr>
                <w:rFonts w:ascii="Arial" w:cs="Arial" w:eastAsia="Arial" w:hAnsi="Arial"/>
                <w:sz w:val="13"/>
                <w:szCs w:val="13"/>
                <w:color w:val="auto"/>
              </w:rPr>
              <w:t>Expenses: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4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Direct operating</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40" w:type="dxa"/>
            <w:vAlign w:val="bottom"/>
            <w:gridSpan w:val="5"/>
            <w:shd w:val="clear" w:color="auto" w:fill="CFF0FC"/>
          </w:tcPr>
          <w:p>
            <w:pPr>
              <w:ind w:left="200"/>
              <w:spacing w:after="0"/>
              <w:rPr>
                <w:sz w:val="20"/>
                <w:szCs w:val="20"/>
                <w:color w:val="auto"/>
              </w:rPr>
            </w:pPr>
            <w:r>
              <w:rPr>
                <w:rFonts w:ascii="Arial" w:cs="Arial" w:eastAsia="Arial" w:hAnsi="Arial"/>
                <w:sz w:val="13"/>
                <w:szCs w:val="13"/>
                <w:color w:val="auto"/>
              </w:rPr>
              <w:t>expenses</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74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Unallocated shared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740" w:type="dxa"/>
            <w:vAlign w:val="bottom"/>
            <w:gridSpan w:val="5"/>
          </w:tcPr>
          <w:p>
            <w:pPr>
              <w:ind w:left="200"/>
              <w:spacing w:after="0" w:line="139" w:lineRule="exact"/>
              <w:rPr>
                <w:sz w:val="20"/>
                <w:szCs w:val="20"/>
                <w:color w:val="auto"/>
              </w:rPr>
            </w:pPr>
            <w:r>
              <w:rPr>
                <w:rFonts w:ascii="Arial" w:cs="Arial" w:eastAsia="Arial" w:hAnsi="Arial"/>
                <w:sz w:val="13"/>
                <w:szCs w:val="13"/>
                <w:color w:val="auto"/>
              </w:rPr>
              <w:t>services expenses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40" w:type="dxa"/>
            <w:vAlign w:val="bottom"/>
            <w:gridSpan w:val="5"/>
            <w:shd w:val="clear" w:color="auto" w:fill="CFF0FC"/>
          </w:tcPr>
          <w:p>
            <w:pPr>
              <w:ind w:left="100"/>
              <w:spacing w:after="0" w:line="129" w:lineRule="exact"/>
              <w:rPr>
                <w:sz w:val="20"/>
                <w:szCs w:val="20"/>
                <w:color w:val="auto"/>
              </w:rPr>
            </w:pPr>
            <w:r>
              <w:rPr>
                <w:rFonts w:ascii="Arial" w:cs="Arial" w:eastAsia="Arial" w:hAnsi="Arial"/>
                <w:sz w:val="13"/>
                <w:szCs w:val="13"/>
                <w:color w:val="auto"/>
              </w:rPr>
              <w:t>Operating expenses</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127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127</w:t>
            </w: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35</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20</w:t>
            </w: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40" w:type="dxa"/>
            <w:vAlign w:val="bottom"/>
            <w:gridSpan w:val="5"/>
          </w:tcPr>
          <w:p>
            <w:pPr>
              <w:ind w:left="100"/>
              <w:spacing w:after="0" w:line="117" w:lineRule="exact"/>
              <w:rPr>
                <w:sz w:val="20"/>
                <w:szCs w:val="20"/>
                <w:color w:val="auto"/>
              </w:rPr>
            </w:pPr>
            <w:r>
              <w:rPr>
                <w:rFonts w:ascii="Arial" w:cs="Arial" w:eastAsia="Arial" w:hAnsi="Arial"/>
                <w:sz w:val="13"/>
                <w:szCs w:val="13"/>
                <w:color w:val="auto"/>
              </w:rPr>
              <w:t>Goodwill and acquired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intangible asset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impairment and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gridSpan w:val="5"/>
          </w:tcPr>
          <w:p>
            <w:pPr>
              <w:ind w:left="200"/>
              <w:spacing w:after="0"/>
              <w:rPr>
                <w:sz w:val="20"/>
                <w:szCs w:val="20"/>
                <w:color w:val="auto"/>
              </w:rPr>
            </w:pPr>
            <w:r>
              <w:rPr>
                <w:rFonts w:ascii="Arial" w:cs="Arial" w:eastAsia="Arial" w:hAnsi="Arial"/>
                <w:sz w:val="13"/>
                <w:szCs w:val="13"/>
                <w:color w:val="auto"/>
              </w:rPr>
              <w:t>amortization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740" w:type="dxa"/>
            <w:vAlign w:val="bottom"/>
            <w:gridSpan w:val="5"/>
            <w:shd w:val="clear" w:color="auto" w:fill="CFF0FC"/>
          </w:tcPr>
          <w:p>
            <w:pPr>
              <w:ind w:left="100"/>
              <w:spacing w:after="0" w:line="117" w:lineRule="exact"/>
              <w:rPr>
                <w:sz w:val="20"/>
                <w:szCs w:val="20"/>
                <w:color w:val="auto"/>
              </w:rPr>
            </w:pPr>
            <w:r>
              <w:rPr>
                <w:rFonts w:ascii="Arial" w:cs="Arial" w:eastAsia="Arial" w:hAnsi="Arial"/>
                <w:sz w:val="13"/>
                <w:szCs w:val="13"/>
                <w:color w:val="auto"/>
              </w:rPr>
              <w:t>Restructuring/other</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gridSpan w:val="5"/>
            <w:shd w:val="clear" w:color="auto" w:fill="CFF0FC"/>
          </w:tcPr>
          <w:p>
            <w:pPr>
              <w:ind w:left="200"/>
              <w:spacing w:after="0" w:line="135" w:lineRule="exact"/>
              <w:rPr>
                <w:sz w:val="20"/>
                <w:szCs w:val="20"/>
                <w:color w:val="auto"/>
              </w:rPr>
            </w:pPr>
            <w:r>
              <w:rPr>
                <w:rFonts w:ascii="Arial" w:cs="Arial" w:eastAsia="Arial" w:hAnsi="Arial"/>
                <w:sz w:val="13"/>
                <w:szCs w:val="13"/>
                <w:color w:val="auto"/>
              </w:rPr>
              <w:t>reorganization</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40" w:type="dxa"/>
            <w:vAlign w:val="bottom"/>
            <w:tcBorders>
              <w:bottom w:val="single" w:sz="8" w:color="CFF0FC"/>
            </w:tcBorders>
            <w:gridSpan w:val="5"/>
            <w:shd w:val="clear" w:color="auto" w:fill="CFF0FC"/>
          </w:tcPr>
          <w:p>
            <w:pPr>
              <w:ind w:left="200"/>
              <w:spacing w:after="0" w:line="139" w:lineRule="exact"/>
              <w:rPr>
                <w:sz w:val="20"/>
                <w:szCs w:val="20"/>
                <w:color w:val="auto"/>
              </w:rPr>
            </w:pPr>
            <w:r>
              <w:rPr>
                <w:rFonts w:ascii="Arial" w:cs="Arial" w:eastAsia="Arial" w:hAnsi="Arial"/>
                <w:sz w:val="13"/>
                <w:szCs w:val="13"/>
                <w:color w:val="auto"/>
              </w:rPr>
              <w:t>expenses</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right w:val="single" w:sz="8" w:color="auto"/>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gridSpan w:val="2"/>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gridSpan w:val="2"/>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40" w:type="dxa"/>
            <w:vAlign w:val="bottom"/>
            <w:gridSpan w:val="5"/>
          </w:tcPr>
          <w:p>
            <w:pPr>
              <w:spacing w:after="0" w:line="129" w:lineRule="exact"/>
              <w:rPr>
                <w:sz w:val="20"/>
                <w:szCs w:val="20"/>
                <w:color w:val="auto"/>
              </w:rPr>
            </w:pPr>
            <w:r>
              <w:rPr>
                <w:rFonts w:ascii="Arial" w:cs="Arial" w:eastAsia="Arial" w:hAnsi="Arial"/>
                <w:sz w:val="13"/>
                <w:szCs w:val="13"/>
                <w:color w:val="auto"/>
              </w:rPr>
              <w:t>Total expenses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131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130</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19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color w:val="auto"/>
              </w:rPr>
              <w:t>20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74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Income (loss) before</w:t>
            </w: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3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income tax expense</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(benefit)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14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59</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08"/>
        </w:trPr>
        <w:tc>
          <w:tcPr>
            <w:tcW w:w="1740" w:type="dxa"/>
            <w:vAlign w:val="bottom"/>
            <w:gridSpan w:val="5"/>
          </w:tcPr>
          <w:p>
            <w:pPr>
              <w:spacing w:after="0" w:line="108" w:lineRule="exact"/>
              <w:rPr>
                <w:sz w:val="20"/>
                <w:szCs w:val="20"/>
                <w:color w:val="auto"/>
              </w:rPr>
            </w:pPr>
            <w:r>
              <w:rPr>
                <w:rFonts w:ascii="Arial" w:cs="Arial" w:eastAsia="Arial" w:hAnsi="Arial"/>
                <w:sz w:val="12"/>
                <w:szCs w:val="12"/>
                <w:color w:val="auto"/>
              </w:rPr>
              <w:t>Income tax expense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9"/>
                <w:szCs w:val="9"/>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9"/>
        </w:trPr>
        <w:tc>
          <w:tcPr>
            <w:tcW w:w="1740" w:type="dxa"/>
            <w:vAlign w:val="bottom"/>
            <w:gridSpan w:val="5"/>
          </w:tcPr>
          <w:p>
            <w:pPr>
              <w:ind w:left="100"/>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74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Net income (loss)</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FF0FC"/>
          </w:tcPr>
          <w:p>
            <w:pPr>
              <w:jc w:val="right"/>
              <w:ind w:right="160"/>
              <w:spacing w:after="0" w:line="115" w:lineRule="exact"/>
              <w:rPr>
                <w:sz w:val="20"/>
                <w:szCs w:val="20"/>
                <w:color w:val="auto"/>
              </w:rPr>
            </w:pPr>
            <w:r>
              <w:rPr>
                <w:rFonts w:ascii="Arial" w:cs="Arial" w:eastAsia="Arial" w:hAnsi="Arial"/>
                <w:sz w:val="13"/>
                <w:szCs w:val="13"/>
                <w:color w:val="auto"/>
              </w:rPr>
              <w:t>(2)</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
              <w:spacing w:after="0" w:line="115" w:lineRule="exact"/>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center"/>
              <w:ind w:right="2"/>
              <w:spacing w:after="0" w:line="115"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26</w:t>
            </w: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2"/>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3"/>
                <w:szCs w:val="13"/>
                <w:color w:val="auto"/>
              </w:rPr>
              <w:t>46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520" w:type="dxa"/>
            <w:vAlign w:val="bottom"/>
            <w:tcBorders>
              <w:right w:val="single" w:sz="8" w:color="CFF0FC"/>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24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2</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line="115"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3"/>
                <w:szCs w:val="13"/>
                <w:color w:val="auto"/>
              </w:rPr>
              <w:t>(46)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80" w:type="dxa"/>
            <w:vAlign w:val="bottom"/>
            <w:tcBorders>
              <w:top w:val="single" w:sz="8" w:color="CFF0FC"/>
              <w:bottom w:val="single" w:sz="8" w:color="auto"/>
            </w:tcBorders>
          </w:tcPr>
          <w:p>
            <w:pPr>
              <w:spacing w:after="0"/>
              <w:rPr>
                <w:sz w:val="10"/>
                <w:szCs w:val="10"/>
                <w:color w:val="auto"/>
              </w:rPr>
            </w:pPr>
          </w:p>
        </w:tc>
        <w:tc>
          <w:tcPr>
            <w:tcW w:w="520" w:type="dxa"/>
            <w:vAlign w:val="bottom"/>
            <w:tcBorders>
              <w:top w:val="single" w:sz="8" w:color="CFF0FC"/>
              <w:bottom w:val="single" w:sz="8" w:color="auto"/>
            </w:tcBorders>
          </w:tcPr>
          <w:p>
            <w:pPr>
              <w:spacing w:after="0"/>
              <w:rPr>
                <w:sz w:val="10"/>
                <w:szCs w:val="10"/>
                <w:color w:val="auto"/>
              </w:rPr>
            </w:pPr>
          </w:p>
        </w:tc>
        <w:tc>
          <w:tcPr>
            <w:tcW w:w="160" w:type="dxa"/>
            <w:vAlign w:val="bottom"/>
            <w:tcBorders>
              <w:top w:val="single" w:sz="8" w:color="CFF0FC"/>
              <w:bottom w:val="single" w:sz="8" w:color="auto"/>
            </w:tcBorders>
          </w:tcPr>
          <w:p>
            <w:pPr>
              <w:spacing w:after="0"/>
              <w:rPr>
                <w:sz w:val="10"/>
                <w:szCs w:val="10"/>
                <w:color w:val="auto"/>
              </w:rPr>
            </w:pPr>
          </w:p>
        </w:tc>
        <w:tc>
          <w:tcPr>
            <w:tcW w:w="340" w:type="dxa"/>
            <w:vAlign w:val="bottom"/>
            <w:tcBorders>
              <w:top w:val="single" w:sz="8" w:color="CFF0FC"/>
            </w:tcBorders>
          </w:tcPr>
          <w:p>
            <w:pPr>
              <w:spacing w:after="0"/>
              <w:rPr>
                <w:sz w:val="10"/>
                <w:szCs w:val="10"/>
                <w:color w:val="auto"/>
              </w:rPr>
            </w:pPr>
          </w:p>
        </w:tc>
        <w:tc>
          <w:tcPr>
            <w:tcW w:w="460" w:type="dxa"/>
            <w:vAlign w:val="bottom"/>
            <w:tcBorders>
              <w:top w:val="single" w:sz="8" w:color="CFF0FC"/>
            </w:tcBorders>
            <w:gridSpan w:val="2"/>
          </w:tcPr>
          <w:p>
            <w:pPr>
              <w:spacing w:after="0"/>
              <w:rPr>
                <w:sz w:val="10"/>
                <w:szCs w:val="10"/>
                <w:color w:val="auto"/>
              </w:rPr>
            </w:pPr>
          </w:p>
        </w:tc>
        <w:tc>
          <w:tcPr>
            <w:tcW w:w="580" w:type="dxa"/>
            <w:vAlign w:val="bottom"/>
            <w:tcBorders>
              <w:top w:val="single" w:sz="8" w:color="auto"/>
            </w:tcBorders>
            <w:gridSpan w:val="2"/>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740" w:type="dxa"/>
            <w:vAlign w:val="bottom"/>
            <w:gridSpan w:val="9"/>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4"/>
                <w:szCs w:val="14"/>
                <w:color w:val="auto"/>
              </w:rPr>
              <w:t xml:space="preserve">  Core Earnings adjustments to GAAP:</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880" w:type="dxa"/>
            <w:vAlign w:val="bottom"/>
            <w:gridSpan w:val="4"/>
          </w:tcPr>
          <w:p>
            <w:pPr>
              <w:spacing w:after="0"/>
              <w:rPr>
                <w:sz w:val="17"/>
                <w:szCs w:val="17"/>
                <w:color w:val="auto"/>
              </w:rPr>
            </w:pPr>
          </w:p>
        </w:tc>
        <w:tc>
          <w:tcPr>
            <w:tcW w:w="3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shd w:val="clear" w:color="auto" w:fill="D9D9D9"/>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960" w:type="dxa"/>
            <w:vAlign w:val="bottom"/>
            <w:gridSpan w:val="9"/>
            <w:shd w:val="clear" w:color="auto" w:fill="D9D9D9"/>
          </w:tcPr>
          <w:p>
            <w:pPr>
              <w:jc w:val="center"/>
              <w:ind w:right="20"/>
              <w:spacing w:after="0" w:line="122" w:lineRule="exact"/>
              <w:rPr>
                <w:sz w:val="20"/>
                <w:szCs w:val="20"/>
                <w:color w:val="auto"/>
              </w:rPr>
            </w:pPr>
            <w:r>
              <w:rPr>
                <w:rFonts w:ascii="Arial" w:cs="Arial" w:eastAsia="Arial" w:hAnsi="Arial"/>
                <w:sz w:val="11"/>
                <w:szCs w:val="11"/>
                <w:b w:val="1"/>
                <w:bCs w:val="1"/>
                <w:color w:val="auto"/>
                <w:w w:val="97"/>
              </w:rPr>
              <w:t>QUARTER ENDED MARCH 31, 2025</w:t>
            </w:r>
          </w:p>
        </w:tc>
        <w:tc>
          <w:tcPr>
            <w:tcW w:w="28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tcPr>
          <w:p>
            <w:pPr>
              <w:jc w:val="center"/>
              <w:ind w:right="32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tcPr>
          <w:p>
            <w:pPr>
              <w:jc w:val="right"/>
              <w:ind w:right="42"/>
              <w:spacing w:after="0" w:line="122" w:lineRule="exact"/>
              <w:rPr>
                <w:sz w:val="20"/>
                <w:szCs w:val="20"/>
                <w:color w:val="auto"/>
              </w:rPr>
            </w:pPr>
            <w:r>
              <w:rPr>
                <w:rFonts w:ascii="Arial" w:cs="Arial" w:eastAsia="Arial" w:hAnsi="Arial"/>
                <w:sz w:val="11"/>
                <w:szCs w:val="11"/>
                <w:b w:val="1"/>
                <w:bCs w:val="1"/>
                <w:color w:val="auto"/>
              </w:rPr>
              <w:t>Net Impact of</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tcPr>
          <w:p>
            <w:pPr>
              <w:jc w:val="center"/>
              <w:ind w:right="320"/>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tcPr>
          <w:p>
            <w:pPr>
              <w:jc w:val="right"/>
              <w:ind w:right="122"/>
              <w:spacing w:after="0" w:line="122"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tcPr>
          <w:p>
            <w:pPr>
              <w:jc w:val="center"/>
              <w:ind w:right="320"/>
              <w:spacing w:after="0" w:line="122" w:lineRule="exact"/>
              <w:rPr>
                <w:sz w:val="20"/>
                <w:szCs w:val="20"/>
                <w:color w:val="auto"/>
              </w:rPr>
            </w:pPr>
            <w:r>
              <w:rPr>
                <w:rFonts w:ascii="Arial" w:cs="Arial" w:eastAsia="Arial" w:hAnsi="Arial"/>
                <w:sz w:val="11"/>
                <w:szCs w:val="11"/>
                <w:b w:val="1"/>
                <w:bCs w:val="1"/>
                <w:color w:val="auto"/>
              </w:rPr>
              <w:t>Acquired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5"/>
              </w:rPr>
              <w:t>(Dollars in millions)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1"/>
                <w:szCs w:val="11"/>
                <w:b w:val="1"/>
                <w:bCs w:val="1"/>
                <w:color w:val="auto"/>
              </w:rPr>
              <w:t>Accounting</w:t>
            </w: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center"/>
              <w:ind w:right="58"/>
              <w:spacing w:after="0"/>
              <w:rPr>
                <w:sz w:val="20"/>
                <w:szCs w:val="20"/>
                <w:color w:val="auto"/>
              </w:rPr>
            </w:pPr>
            <w:r>
              <w:rPr>
                <w:rFonts w:ascii="Arial" w:cs="Arial" w:eastAsia="Arial" w:hAnsi="Arial"/>
                <w:sz w:val="11"/>
                <w:szCs w:val="11"/>
                <w:b w:val="1"/>
                <w:bCs w:val="1"/>
                <w:color w:val="auto"/>
                <w:w w:val="96"/>
              </w:rPr>
              <w:t>Intangibles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Total</w:t>
            </w: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40" w:type="dxa"/>
            <w:vAlign w:val="bottom"/>
            <w:gridSpan w:val="12"/>
            <w:shd w:val="clear" w:color="auto" w:fill="CFF0FC"/>
          </w:tcPr>
          <w:p>
            <w:pPr>
              <w:ind w:left="20"/>
              <w:spacing w:after="0" w:line="129" w:lineRule="exact"/>
              <w:rPr>
                <w:sz w:val="20"/>
                <w:szCs w:val="20"/>
                <w:color w:val="auto"/>
              </w:rPr>
            </w:pPr>
            <w:r>
              <w:rPr>
                <w:rFonts w:ascii="Arial" w:cs="Arial" w:eastAsia="Arial" w:hAnsi="Arial"/>
                <w:sz w:val="13"/>
                <w:szCs w:val="13"/>
                <w:color w:val="auto"/>
                <w:w w:val="97"/>
              </w:rPr>
              <w:t>Net interest income (loss) after provisions for loan losses</w:t>
            </w: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320"/>
              <w:spacing w:after="0" w:line="129" w:lineRule="exact"/>
              <w:rPr>
                <w:sz w:val="20"/>
                <w:szCs w:val="20"/>
                <w:color w:val="auto"/>
              </w:rPr>
            </w:pPr>
            <w:r>
              <w:rPr>
                <w:rFonts w:ascii="Arial" w:cs="Arial" w:eastAsia="Arial" w:hAnsi="Arial"/>
                <w:sz w:val="13"/>
                <w:szCs w:val="13"/>
                <w:color w:val="auto"/>
                <w:w w:val="82"/>
              </w:rPr>
              <w:t>$</w:t>
            </w:r>
          </w:p>
        </w:tc>
        <w:tc>
          <w:tcPr>
            <w:tcW w:w="14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14</w:t>
            </w:r>
          </w:p>
        </w:tc>
        <w:tc>
          <w:tcPr>
            <w:tcW w:w="4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14</w:t>
            </w:r>
          </w:p>
        </w:tc>
        <w:tc>
          <w:tcPr>
            <w:tcW w:w="100" w:type="dxa"/>
            <w:vAlign w:val="bottom"/>
            <w:shd w:val="clear" w:color="auto" w:fill="CFF0FC"/>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3"/>
                <w:szCs w:val="13"/>
                <w:color w:val="auto"/>
              </w:rPr>
              <w:t>Total other income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4100" w:type="dxa"/>
            <w:vAlign w:val="bottom"/>
            <w:gridSpan w:val="14"/>
            <w:shd w:val="clear" w:color="auto" w:fill="CFF0FC"/>
          </w:tcPr>
          <w:p>
            <w:pPr>
              <w:ind w:left="20"/>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3120" w:type="dxa"/>
            <w:vAlign w:val="bottom"/>
            <w:tcBorders>
              <w:top w:val="single" w:sz="8" w:color="CFF0FC"/>
              <w:bottom w:val="single" w:sz="8" w:color="CFF0FC"/>
            </w:tcBorders>
            <w:gridSpan w:val="11"/>
          </w:tcPr>
          <w:p>
            <w:pPr>
              <w:ind w:left="20"/>
              <w:spacing w:after="0" w:line="129" w:lineRule="exact"/>
              <w:rPr>
                <w:sz w:val="20"/>
                <w:szCs w:val="20"/>
                <w:color w:val="auto"/>
              </w:rPr>
            </w:pPr>
            <w:r>
              <w:rPr>
                <w:rFonts w:ascii="Arial" w:cs="Arial" w:eastAsia="Arial" w:hAnsi="Arial"/>
                <w:sz w:val="13"/>
                <w:szCs w:val="13"/>
                <w:color w:val="auto"/>
              </w:rPr>
              <w:t>Total Core Earnings adjustments to GAAP</w:t>
            </w:r>
          </w:p>
        </w:tc>
        <w:tc>
          <w:tcPr>
            <w:tcW w:w="120" w:type="dxa"/>
            <w:vAlign w:val="bottom"/>
            <w:tcBorders>
              <w:top w:val="single" w:sz="8" w:color="CFF0FC"/>
            </w:tcBorders>
          </w:tcPr>
          <w:p>
            <w:pPr>
              <w:spacing w:after="0"/>
              <w:rPr>
                <w:sz w:val="11"/>
                <w:szCs w:val="11"/>
                <w:color w:val="auto"/>
              </w:rPr>
            </w:pPr>
          </w:p>
        </w:tc>
        <w:tc>
          <w:tcPr>
            <w:tcW w:w="7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7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20"/>
              <w:spacing w:after="0" w:line="115"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39</w:t>
            </w:r>
          </w:p>
        </w:tc>
        <w:tc>
          <w:tcPr>
            <w:tcW w:w="32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w:t>
            </w: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w:t>
            </w:r>
          </w:p>
        </w:tc>
        <w:tc>
          <w:tcPr>
            <w:tcW w:w="100" w:type="dxa"/>
            <w:vAlign w:val="bottom"/>
            <w:tcBorders>
              <w:top w:val="single" w:sz="8" w:color="CFF0FC"/>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0" w:type="dxa"/>
            <w:vAlign w:val="bottom"/>
          </w:tcPr>
          <w:p>
            <w:pPr>
              <w:spacing w:after="0"/>
              <w:rPr>
                <w:sz w:val="10"/>
                <w:szCs w:val="10"/>
                <w:color w:val="auto"/>
              </w:rPr>
            </w:pPr>
          </w:p>
        </w:tc>
        <w:tc>
          <w:tcPr>
            <w:tcW w:w="2260" w:type="dxa"/>
            <w:vAlign w:val="bottom"/>
            <w:tcBorders>
              <w:bottom w:val="single" w:sz="8" w:color="CFF0FC"/>
            </w:tcBorders>
            <w:gridSpan w:val="8"/>
            <w:shd w:val="clear" w:color="auto" w:fill="CFF0FC"/>
          </w:tcPr>
          <w:p>
            <w:pPr>
              <w:ind w:left="20"/>
              <w:spacing w:after="0" w:line="116" w:lineRule="exact"/>
              <w:rPr>
                <w:sz w:val="20"/>
                <w:szCs w:val="20"/>
                <w:color w:val="auto"/>
              </w:rPr>
            </w:pPr>
            <w:r>
              <w:rPr>
                <w:rFonts w:ascii="Arial" w:cs="Arial" w:eastAsia="Arial" w:hAnsi="Arial"/>
                <w:sz w:val="13"/>
                <w:szCs w:val="13"/>
                <w:color w:val="auto"/>
              </w:rPr>
              <w:t>Income tax expense (benefit)</w:t>
            </w: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right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right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3"/>
                <w:szCs w:val="13"/>
                <w:color w:val="auto"/>
              </w:rPr>
              <w:t>12</w:t>
            </w: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1260" w:type="dxa"/>
            <w:vAlign w:val="bottom"/>
            <w:gridSpan w:val="4"/>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jc w:val="right"/>
              <w:spacing w:after="0" w:line="129"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6791960</wp:posOffset>
            </wp:positionH>
            <wp:positionV relativeFrom="page">
              <wp:posOffset>637540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-4525645</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-4525645</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-4525645</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-4525645</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-4525645</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-4525645</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-4525645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-4525645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-4525645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-4345305</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-4345305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-4345305</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-4345305</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-4345305</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-4345305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-4345305</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-4345305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-4345305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-4002405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-4002405</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-4002405</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-4002405</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-4002405</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-4002405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-4002405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-4002405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-4002405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-3214370</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-3214370</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-3214370</wp:posOffset>
            </wp:positionV>
            <wp:extent cx="603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-3214370</wp:posOffset>
            </wp:positionV>
            <wp:extent cx="60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-3214370</wp:posOffset>
            </wp:positionV>
            <wp:extent cx="603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-3214370</wp:posOffset>
            </wp:positionV>
            <wp:extent cx="603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-3214370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-2014220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-2014220</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-2014220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-2014220</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-2014220</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-2014220</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-2014220</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-2014220</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-2014220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-1396365</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-1379220</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-1396365</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-1379220</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-1396365</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-1379220</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-1396365</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-1379220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-1396365</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-1379220</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-1396365</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-1379220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-1396365</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-1379220</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-1396365</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-1379220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-1396365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-1379220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-325120</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-325120</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-325120</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-119380</wp:posOffset>
            </wp:positionV>
            <wp:extent cx="603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260" w:hanging="256"/>
        <w:spacing w:after="0"/>
        <w:tabs>
          <w:tab w:leader="none" w:pos="260"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jc w:val="right"/>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4" w:right="1099" w:bottom="1440" w:gutter="0" w:footer="0" w:header="0"/>
        </w:sectPr>
      </w:pPr>
    </w:p>
    <w:bookmarkStart w:id="22" w:name="page23"/>
    <w:bookmarkEnd w:id="22"/>
    <w:p>
      <w:pPr>
        <w:ind w:right="740"/>
        <w:spacing w:after="0" w:line="286" w:lineRule="auto"/>
        <w:rPr>
          <w:sz w:val="20"/>
          <w:szCs w:val="20"/>
          <w:color w:val="auto"/>
        </w:rPr>
      </w:pPr>
      <w:r>
        <w:rPr>
          <w:rFonts w:ascii="Arial" w:cs="Arial" w:eastAsia="Arial" w:hAnsi="Arial"/>
          <w:sz w:val="16"/>
          <w:szCs w:val="16"/>
          <w:color w:val="auto"/>
        </w:rPr>
        <w:t>The following discussion summarizes the differences between GAAP and Core Earnings net income and details each specific adjustment required to reconcile our GAAP earnings to our Core Earnings segment presentation.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280" w:type="dxa"/>
            <w:vAlign w:val="bottom"/>
            <w:shd w:val="clear" w:color="auto" w:fill="D9D9D9"/>
          </w:tcPr>
          <w:p>
            <w:pPr>
              <w:spacing w:after="0"/>
              <w:rPr>
                <w:sz w:val="14"/>
                <w:szCs w:val="14"/>
                <w:color w:val="auto"/>
              </w:rPr>
            </w:pPr>
          </w:p>
        </w:tc>
        <w:tc>
          <w:tcPr>
            <w:tcW w:w="180" w:type="dxa"/>
            <w:vAlign w:val="bottom"/>
            <w:tcBorders>
              <w:right w:val="single" w:sz="8" w:color="D9D9D9"/>
            </w:tcBorders>
            <w:shd w:val="clear" w:color="auto" w:fill="D9D9D9"/>
          </w:tcPr>
          <w:p>
            <w:pPr>
              <w:spacing w:after="0"/>
              <w:rPr>
                <w:sz w:val="14"/>
                <w:szCs w:val="14"/>
                <w:color w:val="auto"/>
              </w:rPr>
            </w:pPr>
          </w:p>
        </w:tc>
        <w:tc>
          <w:tcPr>
            <w:tcW w:w="158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auto"/>
              </w:rPr>
              <w:t>QUARTERS ENDED</w:t>
            </w:r>
          </w:p>
        </w:tc>
        <w:tc>
          <w:tcPr>
            <w:tcW w:w="14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40" w:type="dxa"/>
            <w:vAlign w:val="bottom"/>
            <w:tcBorders>
              <w:bottom w:val="single" w:sz="8" w:color="auto"/>
            </w:tcBorders>
            <w:vMerge w:val="continue"/>
          </w:tcPr>
          <w:p>
            <w:pPr>
              <w:spacing w:after="0"/>
              <w:rPr>
                <w:sz w:val="13"/>
                <w:szCs w:val="13"/>
                <w:color w:val="auto"/>
              </w:rPr>
            </w:pPr>
          </w:p>
        </w:tc>
        <w:tc>
          <w:tcPr>
            <w:tcW w:w="302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24"/>
              <w:spacing w:after="0" w:line="149" w:lineRule="exact"/>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13"/>
                <w:szCs w:val="13"/>
                <w:color w:val="auto"/>
              </w:rPr>
            </w:pPr>
          </w:p>
        </w:tc>
        <w:tc>
          <w:tcPr>
            <w:tcW w:w="14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4"/>
              <w:spacing w:after="0" w:line="149"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GAAP net income (loss)</w:t>
            </w:r>
          </w:p>
        </w:tc>
        <w:tc>
          <w:tcPr>
            <w:tcW w:w="86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17</w:t>
            </w:r>
          </w:p>
        </w:tc>
        <w:tc>
          <w:tcPr>
            <w:tcW w:w="1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140"/>
              <w:spacing w:after="0" w:line="162" w:lineRule="exact"/>
              <w:rPr>
                <w:sz w:val="20"/>
                <w:szCs w:val="20"/>
                <w:color w:val="auto"/>
              </w:rPr>
            </w:pPr>
            <w:r>
              <w:rPr>
                <w:rFonts w:ascii="Arial" w:cs="Arial" w:eastAsia="Arial" w:hAnsi="Arial"/>
                <w:sz w:val="15"/>
                <w:szCs w:val="15"/>
                <w:color w:val="auto"/>
              </w:rPr>
              <w:t>(5)</w:t>
            </w:r>
          </w:p>
        </w:tc>
        <w:tc>
          <w:tcPr>
            <w:tcW w:w="1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w w:val="95"/>
              </w:rPr>
              <w:t>$</w:t>
            </w:r>
          </w:p>
        </w:tc>
        <w:tc>
          <w:tcPr>
            <w:tcW w:w="132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Core Earnings adjustments to GAAP:</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Net impact of derivative accounting</w:t>
            </w: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tcBorders>
              <w:right w:val="single" w:sz="8" w:color="CFF0FC"/>
            </w:tcBorders>
            <w:gridSpan w:val="2"/>
            <w:shd w:val="clear" w:color="auto" w:fill="CFF0FC"/>
          </w:tcPr>
          <w:p>
            <w:pPr>
              <w:jc w:val="right"/>
              <w:ind w:right="140"/>
              <w:spacing w:after="0" w:line="162" w:lineRule="exact"/>
              <w:rPr>
                <w:sz w:val="20"/>
                <w:szCs w:val="20"/>
                <w:color w:val="auto"/>
              </w:rPr>
            </w:pPr>
            <w:r>
              <w:rPr>
                <w:rFonts w:ascii="Arial" w:cs="Arial" w:eastAsia="Arial" w:hAnsi="Arial"/>
                <w:sz w:val="15"/>
                <w:szCs w:val="15"/>
                <w:color w:val="auto"/>
              </w:rPr>
              <w:t>(10)</w:t>
            </w:r>
          </w:p>
        </w:tc>
        <w:tc>
          <w:tcPr>
            <w:tcW w:w="6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Net impact of goodwill and acquired intangible assets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5"/>
                <w:szCs w:val="15"/>
                <w:color w:val="auto"/>
              </w:rPr>
              <w:t>4</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Net tax effect</w:t>
            </w: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8</w:t>
            </w:r>
          </w:p>
        </w:tc>
        <w:tc>
          <w:tcPr>
            <w:tcW w:w="1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55"/>
        </w:trPr>
        <w:tc>
          <w:tcPr>
            <w:tcW w:w="4360" w:type="dxa"/>
            <w:vAlign w:val="bottom"/>
            <w:tcBorders>
              <w:top w:val="single" w:sz="8" w:color="CFF0FC"/>
            </w:tcBorders>
            <w:gridSpan w:val="2"/>
          </w:tcPr>
          <w:p>
            <w:pPr>
              <w:spacing w:after="0" w:line="156" w:lineRule="exact"/>
              <w:rPr>
                <w:sz w:val="20"/>
                <w:szCs w:val="20"/>
                <w:color w:val="auto"/>
              </w:rPr>
            </w:pPr>
            <w:r>
              <w:rPr>
                <w:rFonts w:ascii="Arial" w:cs="Arial" w:eastAsia="Arial" w:hAnsi="Arial"/>
                <w:sz w:val="15"/>
                <w:szCs w:val="15"/>
                <w:color w:val="auto"/>
              </w:rPr>
              <w:t>Total Core Earnings adjustments to GAAP</w:t>
            </w:r>
          </w:p>
        </w:tc>
        <w:tc>
          <w:tcPr>
            <w:tcW w:w="74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w:t>
            </w:r>
          </w:p>
        </w:tc>
        <w:tc>
          <w:tcPr>
            <w:tcW w:w="180" w:type="dxa"/>
            <w:vAlign w:val="bottom"/>
            <w:tcBorders>
              <w:top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w:t>
            </w: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28</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6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Core Earnings net income</w:t>
            </w:r>
          </w:p>
        </w:tc>
        <w:tc>
          <w:tcPr>
            <w:tcW w:w="86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19</w:t>
            </w:r>
          </w:p>
        </w:tc>
        <w:tc>
          <w:tcPr>
            <w:tcW w:w="180" w:type="dxa"/>
            <w:vAlign w:val="bottom"/>
            <w:tcBorders>
              <w:right w:val="single" w:sz="8" w:color="CFF0FC"/>
            </w:tcBorders>
            <w:shd w:val="clear" w:color="auto" w:fill="CFF0FC"/>
          </w:tcPr>
          <w:p>
            <w:pPr>
              <w:spacing w:after="0"/>
              <w:rPr>
                <w:sz w:val="15"/>
                <w:szCs w:val="15"/>
                <w:color w:val="auto"/>
              </w:rPr>
            </w:pPr>
          </w:p>
        </w:tc>
        <w:tc>
          <w:tcPr>
            <w:tcW w:w="66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w:t>
            </w: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4125595</wp:posOffset>
            </wp:positionH>
            <wp:positionV relativeFrom="paragraph">
              <wp:posOffset>-247650</wp:posOffset>
            </wp:positionV>
            <wp:extent cx="596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-247650</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-247650</wp:posOffset>
            </wp:positionV>
            <wp:extent cx="60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-24765</wp:posOffset>
            </wp:positionV>
            <wp:extent cx="596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-7620</wp:posOffset>
            </wp:positionV>
            <wp:extent cx="596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-24765</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-7620</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ind w:left="460" w:right="200" w:hanging="456"/>
        <w:spacing w:after="0" w:line="244" w:lineRule="auto"/>
        <w:tabs>
          <w:tab w:leader="none" w:pos="406" w:val="left"/>
        </w:tabs>
        <w:numPr>
          <w:ilvl w:val="0"/>
          <w:numId w:val="20"/>
        </w:numPr>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Derivative Accounting: </w:t>
      </w:r>
      <w:r>
        <w:rPr>
          <w:rFonts w:ascii="Arial" w:cs="Arial" w:eastAsia="Arial" w:hAnsi="Arial"/>
          <w:sz w:val="16"/>
          <w:szCs w:val="16"/>
          <w:color w:val="auto"/>
        </w:rPr>
        <w:t>Core Earnings exclude periodic gains and losses that are caused by the mark-to-market valuations on</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derivatives that do not qualify for hedge accounting treatment under GAAP, as well as the periodic mark-to-market gains and losses that are a result of ineffectiveness recognized related to effective hedges under GAAP. Under GAAP, for our derivatives that are held to maturity, the mark-to-market gain or loss over the life of the contract will equal $0. In our Core Earnings presentation, we recognize the economic effect of these hedges, which generally results in any net settlement cash paid or received being recognized ratably as an interest expense or revenue over the hedged item’s life.</w:t>
      </w:r>
    </w:p>
    <w:p>
      <w:pPr>
        <w:spacing w:after="0" w:line="4"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469265</wp:posOffset>
            </wp:positionV>
            <wp:extent cx="703770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9" w:right="109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table below quantifies the adjustments for derivative accounting between GAAP and Core Earnings net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3840" w:type="dxa"/>
            <w:vAlign w:val="bottom"/>
            <w:vMerge w:val="restart"/>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28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580" w:type="dxa"/>
            <w:vAlign w:val="bottom"/>
            <w:gridSpan w:val="3"/>
            <w:shd w:val="clear" w:color="auto" w:fill="D9D9D9"/>
          </w:tcPr>
          <w:p>
            <w:pPr>
              <w:spacing w:after="0"/>
              <w:rPr>
                <w:sz w:val="20"/>
                <w:szCs w:val="20"/>
                <w:color w:val="auto"/>
              </w:rPr>
            </w:pPr>
            <w:r>
              <w:rPr>
                <w:rFonts w:ascii="Arial" w:cs="Arial" w:eastAsia="Arial" w:hAnsi="Arial"/>
                <w:sz w:val="13"/>
                <w:szCs w:val="13"/>
                <w:b w:val="1"/>
                <w:bCs w:val="1"/>
                <w:color w:val="auto"/>
              </w:rPr>
              <w:t>QUARTERS ENDED</w:t>
            </w:r>
          </w:p>
        </w:tc>
        <w:tc>
          <w:tcPr>
            <w:tcW w:w="1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tcBorders>
              <w:bottom w:val="single" w:sz="8" w:color="auto"/>
            </w:tcBorders>
            <w:gridSpan w:val="2"/>
            <w:vMerge w:val="continue"/>
          </w:tcPr>
          <w:p>
            <w:pPr>
              <w:spacing w:after="0"/>
              <w:rPr>
                <w:sz w:val="14"/>
                <w:szCs w:val="14"/>
                <w:color w:val="auto"/>
              </w:rPr>
            </w:pPr>
          </w:p>
        </w:tc>
        <w:tc>
          <w:tcPr>
            <w:tcW w:w="384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Core Earnings derivative adjustments:</w:t>
            </w: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00" w:type="dxa"/>
            <w:vAlign w:val="bottom"/>
            <w:gridSpan w:val="3"/>
          </w:tcPr>
          <w:p>
            <w:pPr>
              <w:spacing w:after="0" w:line="153" w:lineRule="exact"/>
              <w:rPr>
                <w:sz w:val="20"/>
                <w:szCs w:val="20"/>
                <w:color w:val="auto"/>
              </w:rPr>
            </w:pPr>
            <w:r>
              <w:rPr>
                <w:rFonts w:ascii="Arial" w:cs="Arial" w:eastAsia="Arial" w:hAnsi="Arial"/>
                <w:sz w:val="14"/>
                <w:szCs w:val="14"/>
                <w:color w:val="auto"/>
              </w:rPr>
              <w:t>(Gains) losses on derivative and hedging activities, net, included in other</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00" w:type="dxa"/>
            <w:vAlign w:val="bottom"/>
            <w:gridSpan w:val="3"/>
          </w:tcPr>
          <w:p>
            <w:pPr>
              <w:ind w:left="120"/>
              <w:spacing w:after="0"/>
              <w:rPr>
                <w:sz w:val="20"/>
                <w:szCs w:val="20"/>
                <w:color w:val="auto"/>
              </w:rPr>
            </w:pPr>
            <w:r>
              <w:rPr>
                <w:rFonts w:ascii="Arial" w:cs="Arial" w:eastAsia="Arial" w:hAnsi="Arial"/>
                <w:sz w:val="14"/>
                <w:szCs w:val="14"/>
                <w:color w:val="auto"/>
              </w:rPr>
              <w:t>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0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Plus: (Gains) losses on fair value hedging activity included in interest</w:t>
            </w:r>
          </w:p>
        </w:tc>
        <w:tc>
          <w:tcPr>
            <w:tcW w:w="140" w:type="dxa"/>
            <w:vAlign w:val="bottom"/>
            <w:shd w:val="clear" w:color="auto" w:fill="CFF0FC"/>
          </w:tcPr>
          <w:p>
            <w:pPr>
              <w:spacing w:after="0"/>
              <w:rPr>
                <w:sz w:val="13"/>
                <w:szCs w:val="13"/>
                <w:color w:val="auto"/>
              </w:rPr>
            </w:pPr>
          </w:p>
        </w:tc>
        <w:tc>
          <w:tcPr>
            <w:tcW w:w="14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00" w:type="dxa"/>
            <w:vAlign w:val="bottom"/>
            <w:gridSpan w:val="3"/>
            <w:shd w:val="clear" w:color="auto" w:fill="CFF0FC"/>
          </w:tcPr>
          <w:p>
            <w:pPr>
              <w:ind w:left="120"/>
              <w:spacing w:after="0" w:line="158" w:lineRule="exact"/>
              <w:rPr>
                <w:sz w:val="20"/>
                <w:szCs w:val="20"/>
                <w:color w:val="auto"/>
              </w:rPr>
            </w:pPr>
            <w:r>
              <w:rPr>
                <w:rFonts w:ascii="Arial" w:cs="Arial" w:eastAsia="Arial" w:hAnsi="Arial"/>
                <w:sz w:val="14"/>
                <w:szCs w:val="14"/>
                <w:color w:val="auto"/>
              </w:rPr>
              <w:t>expense</w:t>
            </w:r>
          </w:p>
        </w:tc>
        <w:tc>
          <w:tcPr>
            <w:tcW w:w="140" w:type="dxa"/>
            <w:vAlign w:val="bottom"/>
            <w:shd w:val="clear" w:color="auto" w:fill="CFF0FC"/>
          </w:tcPr>
          <w:p>
            <w:pPr>
              <w:spacing w:after="0"/>
              <w:rPr>
                <w:sz w:val="13"/>
                <w:szCs w:val="13"/>
                <w:color w:val="auto"/>
              </w:rPr>
            </w:pPr>
          </w:p>
        </w:tc>
        <w:tc>
          <w:tcPr>
            <w:tcW w:w="14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gridSpan w:val="3"/>
          </w:tcPr>
          <w:p>
            <w:pPr>
              <w:spacing w:after="0" w:line="155" w:lineRule="exact"/>
              <w:rPr>
                <w:sz w:val="20"/>
                <w:szCs w:val="20"/>
                <w:color w:val="auto"/>
              </w:rPr>
            </w:pPr>
            <w:r>
              <w:rPr>
                <w:rFonts w:ascii="Arial" w:cs="Arial" w:eastAsia="Arial" w:hAnsi="Arial"/>
                <w:sz w:val="14"/>
                <w:szCs w:val="14"/>
                <w:color w:val="auto"/>
              </w:rPr>
              <w:t>Total (gains) losses in GAAP net income</w:t>
            </w:r>
          </w:p>
        </w:tc>
        <w:tc>
          <w:tcPr>
            <w:tcW w:w="140" w:type="dxa"/>
            <w:vAlign w:val="bottom"/>
          </w:tcPr>
          <w:p>
            <w:pPr>
              <w:spacing w:after="0"/>
              <w:rPr>
                <w:sz w:val="13"/>
                <w:szCs w:val="13"/>
                <w:color w:val="auto"/>
              </w:rPr>
            </w:pPr>
          </w:p>
        </w:tc>
        <w:tc>
          <w:tcPr>
            <w:tcW w:w="14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100" w:type="dxa"/>
            <w:vAlign w:val="bottom"/>
            <w:gridSpan w:val="3"/>
            <w:shd w:val="clear" w:color="auto" w:fill="CFF0FC"/>
          </w:tcPr>
          <w:p>
            <w:pPr>
              <w:spacing w:after="0" w:line="135" w:lineRule="exact"/>
              <w:rPr>
                <w:sz w:val="20"/>
                <w:szCs w:val="20"/>
                <w:color w:val="auto"/>
              </w:rPr>
            </w:pPr>
            <w:r>
              <w:rPr>
                <w:rFonts w:ascii="Arial" w:cs="Arial" w:eastAsia="Arial" w:hAnsi="Arial"/>
                <w:sz w:val="14"/>
                <w:szCs w:val="14"/>
                <w:color w:val="auto"/>
              </w:rPr>
              <w:t>Plus: Reclassification of settlement income (expense) on derivative and</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100" w:type="dxa"/>
            <w:vAlign w:val="bottom"/>
            <w:tcBorders>
              <w:bottom w:val="single" w:sz="8" w:color="CFF0FC"/>
            </w:tcBorders>
            <w:gridSpan w:val="3"/>
            <w:shd w:val="clear" w:color="auto" w:fill="CFF0FC"/>
          </w:tcPr>
          <w:p>
            <w:pPr>
              <w:ind w:left="120"/>
              <w:spacing w:after="0" w:line="175" w:lineRule="exact"/>
              <w:rPr>
                <w:sz w:val="20"/>
                <w:szCs w:val="20"/>
                <w:color w:val="auto"/>
              </w:rPr>
            </w:pPr>
            <w:r>
              <w:rPr>
                <w:rFonts w:ascii="Arial" w:cs="Arial" w:eastAsia="Arial" w:hAnsi="Arial"/>
                <w:sz w:val="14"/>
                <w:szCs w:val="14"/>
                <w:color w:val="auto"/>
              </w:rPr>
              <w:t>hedging activities, net</w:t>
            </w:r>
            <w:r>
              <w:rPr>
                <w:rFonts w:ascii="Arial" w:cs="Arial" w:eastAsia="Arial" w:hAnsi="Arial"/>
                <w:sz w:val="19"/>
                <w:szCs w:val="19"/>
                <w:color w:val="auto"/>
                <w:vertAlign w:val="superscript"/>
              </w:rPr>
              <w:t>(1)</w:t>
            </w:r>
          </w:p>
        </w:tc>
        <w:tc>
          <w:tcPr>
            <w:tcW w:w="1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00" w:type="dxa"/>
            <w:vAlign w:val="bottom"/>
            <w:gridSpan w:val="3"/>
          </w:tcPr>
          <w:p>
            <w:pPr>
              <w:spacing w:after="0" w:line="156" w:lineRule="exact"/>
              <w:rPr>
                <w:sz w:val="20"/>
                <w:szCs w:val="20"/>
                <w:color w:val="auto"/>
              </w:rPr>
            </w:pPr>
            <w:r>
              <w:rPr>
                <w:rFonts w:ascii="Arial" w:cs="Arial" w:eastAsia="Arial" w:hAnsi="Arial"/>
                <w:sz w:val="14"/>
                <w:szCs w:val="14"/>
                <w:color w:val="auto"/>
              </w:rPr>
              <w:t>Mark-to-market (gains) losses on derivative and hedging activities, net</w:t>
            </w:r>
            <w:r>
              <w:rPr>
                <w:rFonts w:ascii="Arial" w:cs="Arial" w:eastAsia="Arial" w:hAnsi="Arial"/>
                <w:sz w:val="18"/>
                <w:szCs w:val="18"/>
                <w:color w:val="auto"/>
                <w:vertAlign w:val="superscript"/>
              </w:rPr>
              <w:t>(2)</w:t>
            </w:r>
          </w:p>
        </w:tc>
        <w:tc>
          <w:tcPr>
            <w:tcW w:w="140" w:type="dxa"/>
            <w:vAlign w:val="bottom"/>
          </w:tcPr>
          <w:p>
            <w:pPr>
              <w:spacing w:after="0"/>
              <w:rPr>
                <w:sz w:val="13"/>
                <w:szCs w:val="13"/>
                <w:color w:val="auto"/>
              </w:rPr>
            </w:pPr>
          </w:p>
        </w:tc>
        <w:tc>
          <w:tcPr>
            <w:tcW w:w="14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0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Amortization of net premiums on Floor Income Contracts in net interest</w:t>
            </w: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income for Core Earnings</w:t>
            </w: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00" w:type="dxa"/>
            <w:vAlign w:val="bottom"/>
            <w:gridSpan w:val="3"/>
          </w:tcPr>
          <w:p>
            <w:pPr>
              <w:spacing w:after="0" w:line="162" w:lineRule="exact"/>
              <w:rPr>
                <w:sz w:val="20"/>
                <w:szCs w:val="20"/>
                <w:color w:val="auto"/>
              </w:rPr>
            </w:pPr>
            <w:r>
              <w:rPr>
                <w:rFonts w:ascii="Arial" w:cs="Arial" w:eastAsia="Arial" w:hAnsi="Arial"/>
                <w:sz w:val="14"/>
                <w:szCs w:val="14"/>
                <w:color w:val="auto"/>
              </w:rPr>
              <w:t>Other derivative accounting adjustments</w:t>
            </w:r>
            <w:r>
              <w:rPr>
                <w:rFonts w:ascii="Arial" w:cs="Arial" w:eastAsia="Arial" w:hAnsi="Arial"/>
                <w:sz w:val="18"/>
                <w:szCs w:val="18"/>
                <w:color w:val="auto"/>
                <w:vertAlign w:val="superscript"/>
              </w:rPr>
              <w:t>(3)</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0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Total net impact of derivative accounting</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(10)</w:t>
            </w:r>
          </w:p>
        </w:tc>
        <w:tc>
          <w:tcPr>
            <w:tcW w:w="74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Borders>
              <w:top w:val="single" w:sz="8" w:color="CFF0FC"/>
              <w:bottom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8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4142740</wp:posOffset>
            </wp:positionH>
            <wp:positionV relativeFrom="paragraph">
              <wp:posOffset>-959485</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-959485</wp:posOffset>
            </wp:positionV>
            <wp:extent cx="603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-959485</wp:posOffset>
            </wp:positionV>
            <wp:extent cx="60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-650875</wp:posOffset>
            </wp:positionV>
            <wp:extent cx="603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-650875</wp:posOffset>
            </wp:positionV>
            <wp:extent cx="603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-650875</wp:posOffset>
            </wp:positionV>
            <wp:extent cx="603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-119380</wp:posOffset>
            </wp:positionV>
            <wp:extent cx="603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-102235</wp:posOffset>
            </wp:positionV>
            <wp:extent cx="603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-119380</wp:posOffset>
            </wp:positionV>
            <wp:extent cx="603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-102235</wp:posOffset>
            </wp:positionV>
            <wp:extent cx="60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-119380</wp:posOffset>
            </wp:positionV>
            <wp:extent cx="603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-102235</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 w:lineRule="exact"/>
        <w:rPr>
          <w:sz w:val="20"/>
          <w:szCs w:val="20"/>
          <w:color w:val="auto"/>
        </w:rPr>
      </w:pPr>
    </w:p>
    <w:p>
      <w:pPr>
        <w:ind w:left="320" w:right="40" w:hanging="316"/>
        <w:spacing w:after="0" w:line="252" w:lineRule="auto"/>
        <w:tabs>
          <w:tab w:leader="none" w:pos="320" w:val="left"/>
        </w:tabs>
        <w:numPr>
          <w:ilvl w:val="0"/>
          <w:numId w:val="21"/>
        </w:numPr>
        <w:rPr>
          <w:rFonts w:ascii="Arial" w:cs="Arial" w:eastAsia="Arial" w:hAnsi="Arial"/>
          <w:sz w:val="8"/>
          <w:szCs w:val="8"/>
          <w:color w:val="auto"/>
        </w:rPr>
      </w:pPr>
      <w:r>
        <w:rPr>
          <w:rFonts w:ascii="Arial" w:cs="Arial" w:eastAsia="Arial" w:hAnsi="Arial"/>
          <w:sz w:val="14"/>
          <w:szCs w:val="14"/>
          <w:color w:val="auto"/>
        </w:rPr>
        <w:t>Derivative accounting requires net settlement income/expense on derivatives that do not qualify as hedges to be recorded in a separate income statement line item below net interest income. Under our Core Earnings presentation, these settlements are reclassified to the income statement line item of the economically hedged item. For our Core Earnings net interest income, this would primarily include reclassifying the net settlement amounts related to certain of our interest rate swaps to debt interest expense. The table below summarizes these net settlements on derivative and hedging activities and the associated reclassification on a Core Earnings basis.</w:t>
      </w:r>
    </w:p>
    <w:p>
      <w:pPr>
        <w:spacing w:after="0" w:line="135"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4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QUARTERS ENDED</w:t>
            </w:r>
          </w:p>
        </w:tc>
        <w:tc>
          <w:tcPr>
            <w:tcW w:w="12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20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220" w:type="dxa"/>
            <w:vAlign w:val="bottom"/>
            <w:gridSpan w:val="2"/>
            <w:shd w:val="clear" w:color="auto" w:fill="CFF0FC"/>
          </w:tcPr>
          <w:p>
            <w:pPr>
              <w:ind w:left="20"/>
              <w:spacing w:after="0" w:line="147" w:lineRule="exact"/>
              <w:rPr>
                <w:sz w:val="20"/>
                <w:szCs w:val="20"/>
                <w:color w:val="auto"/>
              </w:rPr>
            </w:pPr>
            <w:r>
              <w:rPr>
                <w:rFonts w:ascii="Arial" w:cs="Arial" w:eastAsia="Arial" w:hAnsi="Arial"/>
                <w:sz w:val="14"/>
                <w:szCs w:val="14"/>
                <w:b w:val="1"/>
                <w:bCs w:val="1"/>
                <w:color w:val="auto"/>
              </w:rPr>
              <w:t>Reclassification of settlements on derivative and hedging</w:t>
            </w: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4"/>
                <w:szCs w:val="14"/>
                <w:b w:val="1"/>
                <w:bCs w:val="1"/>
                <w:color w:val="auto"/>
              </w:rPr>
              <w:t>activities:</w:t>
            </w: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Net settlement income (expense) on interest rate swaps</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reclassified to net interest income</w:t>
            </w: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2</w:t>
            </w:r>
          </w:p>
        </w:tc>
        <w:tc>
          <w:tcPr>
            <w:tcW w:w="1480" w:type="dxa"/>
            <w:vAlign w:val="bottom"/>
            <w:gridSpan w:val="2"/>
          </w:tcPr>
          <w:p>
            <w:pPr>
              <w:jc w:val="right"/>
              <w:ind w:right="115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20" w:type="dxa"/>
            <w:vAlign w:val="bottom"/>
            <w:tcBorders>
              <w:top w:val="single" w:sz="8" w:color="CFF0FC"/>
            </w:tcBorders>
            <w:gridSpan w:val="2"/>
            <w:shd w:val="clear" w:color="auto" w:fill="CFF0FC"/>
          </w:tcPr>
          <w:p>
            <w:pPr>
              <w:ind w:left="20"/>
              <w:spacing w:after="0" w:line="133" w:lineRule="exact"/>
              <w:rPr>
                <w:sz w:val="20"/>
                <w:szCs w:val="20"/>
                <w:color w:val="auto"/>
              </w:rPr>
            </w:pPr>
            <w:r>
              <w:rPr>
                <w:rFonts w:ascii="Arial" w:cs="Arial" w:eastAsia="Arial" w:hAnsi="Arial"/>
                <w:sz w:val="14"/>
                <w:szCs w:val="14"/>
                <w:color w:val="auto"/>
              </w:rPr>
              <w:t>Total reclassifications of settlement income (expense) on</w:t>
            </w:r>
          </w:p>
        </w:tc>
        <w:tc>
          <w:tcPr>
            <w:tcW w:w="1240" w:type="dxa"/>
            <w:vAlign w:val="bottom"/>
            <w:tcBorders>
              <w:top w:val="single" w:sz="8" w:color="auto"/>
            </w:tcBorders>
            <w:vMerge w:val="restart"/>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top w:val="single" w:sz="8" w:color="CFF0FC"/>
            </w:tcBorders>
            <w:shd w:val="clear" w:color="auto" w:fill="CFF0FC"/>
          </w:tcPr>
          <w:p>
            <w:pPr>
              <w:spacing w:after="0"/>
              <w:rPr>
                <w:sz w:val="11"/>
                <w:szCs w:val="11"/>
                <w:color w:val="auto"/>
              </w:rPr>
            </w:pPr>
          </w:p>
        </w:tc>
        <w:tc>
          <w:tcPr>
            <w:tcW w:w="1300" w:type="dxa"/>
            <w:vAlign w:val="bottom"/>
            <w:tcBorders>
              <w:top w:val="single" w:sz="8" w:color="auto"/>
            </w:tcBorders>
            <w:vMerge w:val="restart"/>
            <w:shd w:val="clear" w:color="auto" w:fill="CFF0FC"/>
          </w:tcPr>
          <w:p>
            <w:pPr>
              <w:jc w:val="right"/>
              <w:ind w:right="1150"/>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FF0FC"/>
            </w:tcBorders>
            <w:gridSpan w:val="2"/>
            <w:shd w:val="clear" w:color="auto" w:fill="CFF0FC"/>
          </w:tcPr>
          <w:p>
            <w:pPr>
              <w:ind w:left="140"/>
              <w:spacing w:after="0" w:line="125" w:lineRule="exact"/>
              <w:rPr>
                <w:sz w:val="20"/>
                <w:szCs w:val="20"/>
                <w:color w:val="auto"/>
              </w:rPr>
            </w:pPr>
            <w:r>
              <w:rPr>
                <w:rFonts w:ascii="Arial" w:cs="Arial" w:eastAsia="Arial" w:hAnsi="Arial"/>
                <w:sz w:val="14"/>
                <w:szCs w:val="14"/>
                <w:color w:val="auto"/>
              </w:rPr>
              <w:t>derivative and hedging activities</w:t>
            </w: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0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-24765</wp:posOffset>
            </wp:positionV>
            <wp:extent cx="51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-7620</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-205105</wp:posOffset>
            </wp:positionV>
            <wp:extent cx="514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-24765</wp:posOffset>
            </wp:positionV>
            <wp:extent cx="514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-7620</wp:posOffset>
            </wp:positionV>
            <wp:extent cx="514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-205105</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-24765</wp:posOffset>
            </wp:positionV>
            <wp:extent cx="51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-7620</wp:posOffset>
            </wp:positionV>
            <wp:extent cx="514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-205105</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ind w:left="200" w:hanging="196"/>
        <w:spacing w:after="0"/>
        <w:tabs>
          <w:tab w:leader="none" w:pos="200" w:val="left"/>
        </w:tabs>
        <w:numPr>
          <w:ilvl w:val="0"/>
          <w:numId w:val="22"/>
        </w:numPr>
        <w:rPr>
          <w:rFonts w:ascii="Arial" w:cs="Arial" w:eastAsia="Arial" w:hAnsi="Arial"/>
          <w:sz w:val="17"/>
          <w:szCs w:val="17"/>
          <w:color w:val="auto"/>
          <w:vertAlign w:val="superscript"/>
        </w:rPr>
      </w:pPr>
      <w:r>
        <w:rPr>
          <w:rFonts w:ascii="Arial" w:cs="Arial" w:eastAsia="Arial" w:hAnsi="Arial"/>
          <w:sz w:val="14"/>
          <w:szCs w:val="14"/>
          <w:color w:val="auto"/>
        </w:rPr>
        <w:t>“Mark-to-market (gains) on derivative and hedging activities, net” is comprised of the following:</w:t>
      </w:r>
    </w:p>
    <w:p>
      <w:pPr>
        <w:spacing w:after="0" w:line="156"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43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shd w:val="clear" w:color="auto" w:fill="D9D9D9"/>
          </w:tcPr>
          <w:p>
            <w:pPr>
              <w:spacing w:after="0"/>
              <w:rPr>
                <w:sz w:val="12"/>
                <w:szCs w:val="12"/>
                <w:color w:val="auto"/>
              </w:rPr>
            </w:pPr>
          </w:p>
        </w:tc>
        <w:tc>
          <w:tcPr>
            <w:tcW w:w="124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1480" w:type="dxa"/>
            <w:vAlign w:val="bottom"/>
            <w:gridSpan w:val="3"/>
            <w:shd w:val="clear" w:color="auto" w:fill="D9D9D9"/>
          </w:tcPr>
          <w:p>
            <w:pPr>
              <w:spacing w:after="0"/>
              <w:rPr>
                <w:sz w:val="20"/>
                <w:szCs w:val="20"/>
                <w:color w:val="auto"/>
              </w:rPr>
            </w:pPr>
            <w:r>
              <w:rPr>
                <w:rFonts w:ascii="Arial" w:cs="Arial" w:eastAsia="Arial" w:hAnsi="Arial"/>
                <w:sz w:val="13"/>
                <w:szCs w:val="13"/>
                <w:b w:val="1"/>
                <w:bCs w:val="1"/>
                <w:color w:val="auto"/>
              </w:rPr>
              <w:t>QUARTERS ENDED</w:t>
            </w:r>
          </w:p>
        </w:tc>
        <w:tc>
          <w:tcPr>
            <w:tcW w:w="6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1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2026</w:t>
            </w:r>
          </w:p>
        </w:tc>
        <w:tc>
          <w:tcPr>
            <w:tcW w:w="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Fair value hedges</w:t>
            </w:r>
          </w:p>
        </w:tc>
        <w:tc>
          <w:tcPr>
            <w:tcW w:w="30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(2)</w:t>
            </w:r>
          </w:p>
        </w:tc>
        <w:tc>
          <w:tcPr>
            <w:tcW w:w="700" w:type="dxa"/>
            <w:vAlign w:val="bottom"/>
            <w:gridSpan w:val="2"/>
            <w:shd w:val="clear" w:color="auto" w:fill="CFF0FC"/>
          </w:tcPr>
          <w:p>
            <w:pPr>
              <w:ind w:left="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gridSpan w:val="2"/>
          </w:tcPr>
          <w:p>
            <w:pPr>
              <w:ind w:left="20"/>
              <w:spacing w:after="0"/>
              <w:rPr>
                <w:sz w:val="20"/>
                <w:szCs w:val="20"/>
                <w:color w:val="auto"/>
              </w:rPr>
            </w:pPr>
            <w:r>
              <w:rPr>
                <w:rFonts w:ascii="Arial" w:cs="Arial" w:eastAsia="Arial" w:hAnsi="Arial"/>
                <w:sz w:val="14"/>
                <w:szCs w:val="14"/>
                <w:color w:val="auto"/>
              </w:rPr>
              <w:t>Foreign currency hedges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(a)</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w:t>
            </w: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20" w:type="dxa"/>
            <w:vAlign w:val="bottom"/>
            <w:tcBorders>
              <w:top w:val="single" w:sz="8" w:color="CFF0FC"/>
            </w:tcBorders>
            <w:gridSpan w:val="2"/>
          </w:tcPr>
          <w:p>
            <w:pPr>
              <w:ind w:left="20"/>
              <w:spacing w:after="0" w:line="147" w:lineRule="exact"/>
              <w:rPr>
                <w:sz w:val="20"/>
                <w:szCs w:val="20"/>
                <w:color w:val="auto"/>
              </w:rPr>
            </w:pPr>
            <w:r>
              <w:rPr>
                <w:rFonts w:ascii="Arial" w:cs="Arial" w:eastAsia="Arial" w:hAnsi="Arial"/>
                <w:sz w:val="14"/>
                <w:szCs w:val="14"/>
                <w:color w:val="auto"/>
              </w:rPr>
              <w:t>Total mark-to-market (gains) losses on derivative and hedging</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37</w:t>
            </w: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320" w:type="dxa"/>
            <w:vAlign w:val="bottom"/>
            <w:gridSpan w:val="2"/>
          </w:tcPr>
          <w:p>
            <w:pPr>
              <w:ind w:left="140"/>
              <w:spacing w:after="0" w:line="125" w:lineRule="exact"/>
              <w:rPr>
                <w:sz w:val="20"/>
                <w:szCs w:val="20"/>
                <w:color w:val="auto"/>
              </w:rPr>
            </w:pPr>
            <w:r>
              <w:rPr>
                <w:rFonts w:ascii="Arial" w:cs="Arial" w:eastAsia="Arial" w:hAnsi="Arial"/>
                <w:sz w:val="14"/>
                <w:szCs w:val="14"/>
                <w:color w:val="auto"/>
              </w:rPr>
              <w:t>activities, net</w:t>
            </w:r>
          </w:p>
        </w:tc>
        <w:tc>
          <w:tcPr>
            <w:tcW w:w="120" w:type="dxa"/>
            <w:vAlign w:val="bottom"/>
            <w:tcBorders>
              <w:bottom w:val="single" w:sz="8" w:color="auto"/>
            </w:tcBorders>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-213995</wp:posOffset>
            </wp:positionV>
            <wp:extent cx="514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-213995</wp:posOffset>
            </wp:positionV>
            <wp:extent cx="514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-213995</wp:posOffset>
            </wp:positionV>
            <wp:extent cx="514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85725</wp:posOffset>
            </wp:positionV>
            <wp:extent cx="4457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73" w:lineRule="exact"/>
        <w:rPr>
          <w:sz w:val="20"/>
          <w:szCs w:val="20"/>
          <w:color w:val="auto"/>
        </w:rPr>
      </w:pPr>
    </w:p>
    <w:p>
      <w:pPr>
        <w:ind w:left="580" w:right="420" w:hanging="122"/>
        <w:spacing w:after="0" w:line="263" w:lineRule="auto"/>
        <w:tabs>
          <w:tab w:leader="none" w:pos="585" w:val="left"/>
        </w:tabs>
        <w:numPr>
          <w:ilvl w:val="1"/>
          <w:numId w:val="23"/>
        </w:numPr>
        <w:rPr>
          <w:rFonts w:ascii="Arial" w:cs="Arial" w:eastAsia="Arial" w:hAnsi="Arial"/>
          <w:sz w:val="9"/>
          <w:szCs w:val="9"/>
          <w:color w:val="auto"/>
        </w:rPr>
      </w:pPr>
      <w:r>
        <w:rPr>
          <w:rFonts w:ascii="Arial" w:cs="Arial" w:eastAsia="Arial" w:hAnsi="Arial"/>
          <w:sz w:val="14"/>
          <w:szCs w:val="14"/>
          <w:color w:val="auto"/>
        </w:rPr>
        <w:t>Primarily derivatives that are used to economically hedge the origination of fixed rate Private Education Loans that don’t qualify for hedge accounting. We believe that these derivatives are effective economic hedges,and as such, are a critical element of our interest rate risk management strategy.</w:t>
      </w:r>
    </w:p>
    <w:p>
      <w:pPr>
        <w:spacing w:after="0" w:line="78" w:lineRule="exact"/>
        <w:rPr>
          <w:rFonts w:ascii="Arial" w:cs="Arial" w:eastAsia="Arial" w:hAnsi="Arial"/>
          <w:sz w:val="9"/>
          <w:szCs w:val="9"/>
          <w:color w:val="auto"/>
        </w:rPr>
      </w:pPr>
    </w:p>
    <w:p>
      <w:pPr>
        <w:ind w:left="220" w:right="40" w:hanging="216"/>
        <w:spacing w:after="0" w:line="238" w:lineRule="auto"/>
        <w:tabs>
          <w:tab w:leader="none" w:pos="187" w:val="left"/>
        </w:tabs>
        <w:numPr>
          <w:ilvl w:val="0"/>
          <w:numId w:val="24"/>
        </w:numPr>
        <w:rPr>
          <w:rFonts w:ascii="Arial" w:cs="Arial" w:eastAsia="Arial" w:hAnsi="Arial"/>
          <w:sz w:val="17"/>
          <w:szCs w:val="17"/>
          <w:color w:val="auto"/>
          <w:vertAlign w:val="superscript"/>
        </w:rPr>
      </w:pPr>
      <w:r>
        <w:rPr>
          <w:rFonts w:ascii="Arial" w:cs="Arial" w:eastAsia="Arial" w:hAnsi="Arial"/>
          <w:sz w:val="14"/>
          <w:szCs w:val="14"/>
          <w:color w:val="auto"/>
        </w:rPr>
        <w:t>Other derivative accounting adjustments consist of adjustments related to certain terminated derivatives that did not receive hedge accounting treatment under GAAP but were economic hedges under Core Earnings and, as a result, such gains or losses are amortized into Core Earnings over the life of the hedged item:</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7" w:right="1099" w:bottom="1440" w:gutter="0" w:footer="0" w:header="0"/>
        </w:sectPr>
      </w:pPr>
    </w:p>
    <w:bookmarkStart w:id="24" w:name="page25"/>
    <w:bookmarkEnd w:id="24"/>
    <w:p>
      <w:pPr>
        <w:spacing w:after="0"/>
        <w:rPr>
          <w:sz w:val="20"/>
          <w:szCs w:val="20"/>
          <w:color w:val="auto"/>
        </w:rPr>
      </w:pPr>
      <w:r>
        <w:rPr>
          <w:rFonts w:ascii="Arial" w:cs="Arial" w:eastAsia="Arial" w:hAnsi="Arial"/>
          <w:sz w:val="16"/>
          <w:szCs w:val="16"/>
          <w:i w:val="1"/>
          <w:iCs w:val="1"/>
          <w:color w:val="auto"/>
        </w:rPr>
        <w:t>Cumulative Impact of Derivative Accounting under GAAP compared to Core Earnings</w:t>
      </w:r>
    </w:p>
    <w:p>
      <w:pPr>
        <w:spacing w:after="0" w:line="111"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As of March 31, 2026, derivative accounting has decreased GAAP equity by approximately $28 million as a result of cumulative net mark-to-market losses (after tax) recognized under GAAP, but not in Core Earnings. The following table rolls forward the cumulative impact to GAAP equity due to these after-tax mark-to-market net gains and losses related to derivative accounting.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4000" w:type="dxa"/>
            <w:vAlign w:val="bottom"/>
            <w:vMerge w:val="restart"/>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520" w:type="dxa"/>
            <w:vAlign w:val="bottom"/>
            <w:gridSpan w:val="4"/>
            <w:shd w:val="clear" w:color="auto" w:fill="D9D9D9"/>
          </w:tcPr>
          <w:p>
            <w:pPr>
              <w:jc w:val="right"/>
              <w:ind w:right="200"/>
              <w:spacing w:after="0"/>
              <w:rPr>
                <w:sz w:val="20"/>
                <w:szCs w:val="20"/>
                <w:color w:val="auto"/>
              </w:rPr>
            </w:pPr>
            <w:r>
              <w:rPr>
                <w:rFonts w:ascii="Arial" w:cs="Arial" w:eastAsia="Arial" w:hAnsi="Arial"/>
                <w:sz w:val="13"/>
                <w:szCs w:val="13"/>
                <w:b w:val="1"/>
                <w:bCs w:val="1"/>
                <w:color w:val="auto"/>
              </w:rPr>
              <w:t>QUARTERS ENDED</w:t>
            </w:r>
          </w:p>
        </w:tc>
        <w:tc>
          <w:tcPr>
            <w:tcW w:w="8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16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tcBorders>
              <w:bottom w:val="single" w:sz="8" w:color="auto"/>
            </w:tcBorders>
            <w:gridSpan w:val="2"/>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6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Beginning impact of derivative accounting on GAAP equity</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(39)</w:t>
            </w:r>
          </w:p>
        </w:tc>
        <w:tc>
          <w:tcPr>
            <w:tcW w:w="68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(37)</w:t>
            </w:r>
          </w:p>
        </w:tc>
        <w:tc>
          <w:tcPr>
            <w:tcW w:w="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60" w:type="dxa"/>
            <w:vAlign w:val="bottom"/>
            <w:gridSpan w:val="3"/>
          </w:tcPr>
          <w:p>
            <w:pPr>
              <w:spacing w:after="0" w:line="162" w:lineRule="exact"/>
              <w:rPr>
                <w:sz w:val="20"/>
                <w:szCs w:val="20"/>
                <w:color w:val="auto"/>
              </w:rPr>
            </w:pPr>
            <w:r>
              <w:rPr>
                <w:rFonts w:ascii="Arial" w:cs="Arial" w:eastAsia="Arial" w:hAnsi="Arial"/>
                <w:sz w:val="14"/>
                <w:szCs w:val="14"/>
                <w:color w:val="auto"/>
              </w:rPr>
              <w:t>Net impact of net mark-to-market gains (losses) under derivative accounting</w:t>
            </w:r>
            <w:r>
              <w:rPr>
                <w:rFonts w:ascii="Arial" w:cs="Arial" w:eastAsia="Arial" w:hAnsi="Arial"/>
                <w:sz w:val="18"/>
                <w:szCs w:val="18"/>
                <w:color w:val="auto"/>
                <w:vertAlign w:val="superscript"/>
              </w:rPr>
              <w:t>(1)</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Ending impact of derivative accounting on GAAP equity</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(28)</w:t>
            </w:r>
          </w:p>
        </w:tc>
        <w:tc>
          <w:tcPr>
            <w:tcW w:w="68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(39)</w:t>
            </w:r>
          </w:p>
        </w:tc>
        <w:tc>
          <w:tcPr>
            <w:tcW w:w="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15"/>
        </w:trPr>
        <w:tc>
          <w:tcPr>
            <w:tcW w:w="1160" w:type="dxa"/>
            <w:vAlign w:val="bottom"/>
            <w:tcBorders>
              <w:top w:val="single" w:sz="8" w:color="CFF0FC"/>
              <w:bottom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40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-119380</wp:posOffset>
            </wp:positionV>
            <wp:extent cx="603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-102235</wp:posOffset>
            </wp:positionV>
            <wp:extent cx="603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-119380</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-102235</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-119380</wp:posOffset>
            </wp:positionV>
            <wp:extent cx="60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-102235</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 w:lineRule="exact"/>
        <w:rPr>
          <w:sz w:val="20"/>
          <w:szCs w:val="20"/>
          <w:color w:val="auto"/>
        </w:rPr>
      </w:pPr>
    </w:p>
    <w:p>
      <w:pPr>
        <w:ind w:left="320" w:hanging="316"/>
        <w:spacing w:after="0"/>
        <w:tabs>
          <w:tab w:leader="none" w:pos="320" w:val="left"/>
        </w:tabs>
        <w:numPr>
          <w:ilvl w:val="0"/>
          <w:numId w:val="25"/>
        </w:numPr>
        <w:rPr>
          <w:rFonts w:ascii="Arial" w:cs="Arial" w:eastAsia="Arial" w:hAnsi="Arial"/>
          <w:sz w:val="8"/>
          <w:szCs w:val="8"/>
          <w:color w:val="auto"/>
        </w:rPr>
      </w:pPr>
      <w:r>
        <w:rPr>
          <w:rFonts w:ascii="Arial" w:cs="Arial" w:eastAsia="Arial" w:hAnsi="Arial"/>
          <w:sz w:val="14"/>
          <w:szCs w:val="14"/>
          <w:color w:val="auto"/>
        </w:rPr>
        <w:t>Net impact of net mark-to-market gains (losses) under derivative accounting is composed of the following:</w:t>
      </w:r>
    </w:p>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4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180" w:type="dxa"/>
            <w:vAlign w:val="bottom"/>
            <w:tcBorders>
              <w:right w:val="single" w:sz="8" w:color="D9D9D9"/>
            </w:tcBorders>
            <w:shd w:val="clear" w:color="auto" w:fill="D9D9D9"/>
          </w:tcPr>
          <w:p>
            <w:pPr>
              <w:spacing w:after="0"/>
              <w:rPr>
                <w:sz w:val="13"/>
                <w:szCs w:val="13"/>
                <w:color w:val="auto"/>
              </w:rPr>
            </w:pPr>
          </w:p>
        </w:tc>
        <w:tc>
          <w:tcPr>
            <w:tcW w:w="1540" w:type="dxa"/>
            <w:vAlign w:val="bottom"/>
            <w:gridSpan w:val="3"/>
            <w:shd w:val="clear" w:color="auto" w:fill="D9D9D9"/>
          </w:tcPr>
          <w:p>
            <w:pPr>
              <w:ind w:left="20"/>
              <w:spacing w:after="0"/>
              <w:rPr>
                <w:sz w:val="20"/>
                <w:szCs w:val="20"/>
                <w:color w:val="auto"/>
              </w:rPr>
            </w:pPr>
            <w:r>
              <w:rPr>
                <w:rFonts w:ascii="Arial" w:cs="Arial" w:eastAsia="Arial" w:hAnsi="Arial"/>
                <w:sz w:val="13"/>
                <w:szCs w:val="13"/>
                <w:b w:val="1"/>
                <w:bCs w:val="1"/>
                <w:color w:val="auto"/>
              </w:rPr>
              <w:t>QUARTERS ENDED</w:t>
            </w:r>
          </w:p>
        </w:tc>
        <w:tc>
          <w:tcPr>
            <w:tcW w:w="12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 2026</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220" w:type="dxa"/>
            <w:vAlign w:val="bottom"/>
            <w:gridSpan w:val="2"/>
            <w:shd w:val="clear" w:color="auto" w:fill="CFF0FC"/>
          </w:tcPr>
          <w:p>
            <w:pPr>
              <w:ind w:left="20"/>
              <w:spacing w:after="0" w:line="129" w:lineRule="exact"/>
              <w:rPr>
                <w:sz w:val="20"/>
                <w:szCs w:val="20"/>
                <w:color w:val="auto"/>
              </w:rPr>
            </w:pPr>
            <w:r>
              <w:rPr>
                <w:rFonts w:ascii="Arial" w:cs="Arial" w:eastAsia="Arial" w:hAnsi="Arial"/>
                <w:sz w:val="14"/>
                <w:szCs w:val="14"/>
                <w:color w:val="auto"/>
              </w:rPr>
              <w:t>Total pre-tax net impact of derivative accounting recognized in</w:t>
            </w:r>
          </w:p>
        </w:tc>
        <w:tc>
          <w:tcPr>
            <w:tcW w:w="1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FF0FC"/>
          </w:tcPr>
          <w:p>
            <w:pPr>
              <w:ind w:left="140"/>
              <w:spacing w:after="0" w:line="189" w:lineRule="exact"/>
              <w:rPr>
                <w:sz w:val="20"/>
                <w:szCs w:val="20"/>
                <w:color w:val="auto"/>
              </w:rPr>
            </w:pPr>
            <w:r>
              <w:rPr>
                <w:rFonts w:ascii="Arial" w:cs="Arial" w:eastAsia="Arial" w:hAnsi="Arial"/>
                <w:sz w:val="14"/>
                <w:szCs w:val="14"/>
                <w:color w:val="auto"/>
              </w:rPr>
              <w:t>net income</w:t>
            </w:r>
            <w:r>
              <w:rPr>
                <w:rFonts w:ascii="Arial" w:cs="Arial" w:eastAsia="Arial" w:hAnsi="Arial"/>
                <w:sz w:val="19"/>
                <w:szCs w:val="19"/>
                <w:color w:val="auto"/>
                <w:vertAlign w:val="superscript"/>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right w:val="single" w:sz="8" w:color="CFF0FC"/>
            </w:tcBorders>
            <w:shd w:val="clear" w:color="auto" w:fill="CFF0FC"/>
          </w:tcPr>
          <w:p>
            <w:pPr>
              <w:spacing w:after="0"/>
              <w:rPr>
                <w:sz w:val="16"/>
                <w:szCs w:val="16"/>
                <w:color w:val="auto"/>
              </w:rPr>
            </w:pPr>
          </w:p>
        </w:tc>
        <w:tc>
          <w:tcPr>
            <w:tcW w:w="660" w:type="dxa"/>
            <w:vAlign w:val="bottom"/>
            <w:shd w:val="clear" w:color="auto" w:fill="CFF0FC"/>
          </w:tcPr>
          <w:p>
            <w:pPr>
              <w:jc w:val="right"/>
              <w:ind w:right="509"/>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Tax and other impacts of derivative accounting adjustments</w:t>
            </w:r>
          </w:p>
        </w:tc>
        <w:tc>
          <w:tcPr>
            <w:tcW w:w="12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ind w:left="20"/>
              <w:spacing w:after="0" w:line="153" w:lineRule="exact"/>
              <w:rPr>
                <w:sz w:val="20"/>
                <w:szCs w:val="20"/>
                <w:color w:val="auto"/>
              </w:rPr>
            </w:pPr>
            <w:r>
              <w:rPr>
                <w:rFonts w:ascii="Arial" w:cs="Arial" w:eastAsia="Arial" w:hAnsi="Arial"/>
                <w:sz w:val="14"/>
                <w:szCs w:val="14"/>
                <w:color w:val="auto"/>
              </w:rPr>
              <w:t>Change in mark-to-market gains (losses) on derivatives, net of</w:t>
            </w:r>
          </w:p>
        </w:tc>
        <w:tc>
          <w:tcPr>
            <w:tcW w:w="120" w:type="dxa"/>
            <w:vAlign w:val="bottom"/>
            <w:shd w:val="clear" w:color="auto" w:fill="CFF0FC"/>
          </w:tcPr>
          <w:p>
            <w:pPr>
              <w:spacing w:after="0"/>
              <w:rPr>
                <w:sz w:val="13"/>
                <w:szCs w:val="13"/>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FF0FC"/>
          </w:tcPr>
          <w:p>
            <w:pPr>
              <w:ind w:left="140"/>
              <w:spacing w:after="0" w:line="158" w:lineRule="exact"/>
              <w:rPr>
                <w:sz w:val="20"/>
                <w:szCs w:val="20"/>
                <w:color w:val="auto"/>
              </w:rPr>
            </w:pPr>
            <w:r>
              <w:rPr>
                <w:rFonts w:ascii="Arial" w:cs="Arial" w:eastAsia="Arial" w:hAnsi="Arial"/>
                <w:sz w:val="14"/>
                <w:szCs w:val="14"/>
                <w:color w:val="auto"/>
              </w:rPr>
              <w:t>tax recognized in other comprehensive income</w:t>
            </w:r>
          </w:p>
        </w:tc>
        <w:tc>
          <w:tcPr>
            <w:tcW w:w="120" w:type="dxa"/>
            <w:vAlign w:val="bottom"/>
            <w:shd w:val="clear" w:color="auto" w:fill="CFF0FC"/>
          </w:tcPr>
          <w:p>
            <w:pPr>
              <w:spacing w:after="0"/>
              <w:rPr>
                <w:sz w:val="13"/>
                <w:szCs w:val="13"/>
                <w:color w:val="auto"/>
              </w:rPr>
            </w:pPr>
          </w:p>
        </w:tc>
        <w:tc>
          <w:tcPr>
            <w:tcW w:w="1260" w:type="dxa"/>
            <w:vAlign w:val="bottom"/>
            <w:vMerge w:val="continue"/>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CFF0FC"/>
          </w:tcPr>
          <w:p>
            <w:pPr>
              <w:spacing w:after="0" w:line="20" w:lineRule="exact"/>
              <w:rPr>
                <w:sz w:val="1"/>
                <w:szCs w:val="1"/>
                <w:color w:val="auto"/>
              </w:rPr>
            </w:pPr>
          </w:p>
        </w:tc>
        <w:tc>
          <w:tcPr>
            <w:tcW w:w="29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2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Net impact of net mark-to-market gains (losses) under</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660" w:type="dxa"/>
            <w:vAlign w:val="bottom"/>
            <w:vMerge w:val="restart"/>
          </w:tcPr>
          <w:p>
            <w:pPr>
              <w:jc w:val="right"/>
              <w:ind w:right="509"/>
              <w:spacing w:after="0"/>
              <w:rPr>
                <w:sz w:val="20"/>
                <w:szCs w:val="20"/>
                <w:color w:val="auto"/>
              </w:rPr>
            </w:pPr>
            <w:r>
              <w:rPr>
                <w:rFonts w:ascii="Arial" w:cs="Arial" w:eastAsia="Arial" w:hAnsi="Arial"/>
                <w:sz w:val="14"/>
                <w:szCs w:val="14"/>
                <w:color w:val="auto"/>
                <w:w w:val="76"/>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220" w:type="dxa"/>
            <w:vAlign w:val="bottom"/>
            <w:gridSpan w:val="2"/>
          </w:tcPr>
          <w:p>
            <w:pPr>
              <w:ind w:left="140"/>
              <w:spacing w:after="0" w:line="125" w:lineRule="exact"/>
              <w:rPr>
                <w:sz w:val="20"/>
                <w:szCs w:val="20"/>
                <w:color w:val="auto"/>
              </w:rPr>
            </w:pPr>
            <w:r>
              <w:rPr>
                <w:rFonts w:ascii="Arial" w:cs="Arial" w:eastAsia="Arial" w:hAnsi="Arial"/>
                <w:sz w:val="14"/>
                <w:szCs w:val="14"/>
                <w:color w:val="auto"/>
              </w:rPr>
              <w:t>derivative accounting</w:t>
            </w:r>
          </w:p>
        </w:tc>
        <w:tc>
          <w:tcPr>
            <w:tcW w:w="1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-213995</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-213995</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-213995</wp:posOffset>
            </wp:positionV>
            <wp:extent cx="603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93980</wp:posOffset>
            </wp:positionV>
            <wp:extent cx="7969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10"/>
        </w:trPr>
        <w:tc>
          <w:tcPr>
            <w:tcW w:w="200" w:type="dxa"/>
            <w:vAlign w:val="bottom"/>
          </w:tcPr>
          <w:p>
            <w:pPr>
              <w:spacing w:after="0"/>
              <w:rPr>
                <w:sz w:val="20"/>
                <w:szCs w:val="20"/>
                <w:color w:val="auto"/>
              </w:rPr>
            </w:pPr>
            <w:r>
              <w:rPr>
                <w:rFonts w:ascii="Arial" w:cs="Arial" w:eastAsia="Arial" w:hAnsi="Arial"/>
                <w:sz w:val="8"/>
                <w:szCs w:val="8"/>
                <w:color w:val="auto"/>
              </w:rPr>
              <w:t>(a)</w:t>
            </w:r>
          </w:p>
        </w:tc>
        <w:tc>
          <w:tcPr>
            <w:tcW w:w="3720" w:type="dxa"/>
            <w:vAlign w:val="bottom"/>
            <w:vMerge w:val="restart"/>
          </w:tcPr>
          <w:p>
            <w:pPr>
              <w:ind w:left="120"/>
              <w:spacing w:after="0"/>
              <w:rPr>
                <w:sz w:val="20"/>
                <w:szCs w:val="20"/>
                <w:color w:val="auto"/>
              </w:rPr>
            </w:pPr>
            <w:r>
              <w:rPr>
                <w:rFonts w:ascii="Arial" w:cs="Arial" w:eastAsia="Arial" w:hAnsi="Arial"/>
                <w:sz w:val="14"/>
                <w:szCs w:val="14"/>
                <w:color w:val="auto"/>
              </w:rPr>
              <w:t>See “Core Earnings derivative adjustments” table above.</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Hedging Embedded Floor Income</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use pay-fixed swaps and fixed rate debt to economically hedge embedded Floor Income in our FFELP loans. Historically, we have used these instruments on a periodic basis and depending upon market conditions and pricing, we may enter into additional hedges in the future. Under GAAP, the pay-fixed swaps are accounted for as cash flow hedges. The table below shows the amount of Hedged Floor Income that will be recognized in Core Earnings in future periods based on these hedge strategies.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center"/>
              <w:ind w:left="225"/>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left="108"/>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3900" w:type="dxa"/>
            <w:vAlign w:val="bottom"/>
          </w:tcPr>
          <w:p>
            <w:pPr>
              <w:spacing w:after="0"/>
              <w:rPr>
                <w:sz w:val="14"/>
                <w:szCs w:val="14"/>
                <w:color w:val="auto"/>
              </w:rPr>
            </w:pPr>
          </w:p>
        </w:tc>
        <w:tc>
          <w:tcPr>
            <w:tcW w:w="11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83"/>
        </w:trPr>
        <w:tc>
          <w:tcPr>
            <w:tcW w:w="51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hedged Floor Income, net of tax</w:t>
            </w:r>
            <w:r>
              <w:rPr>
                <w:rFonts w:ascii="Arial" w:cs="Arial" w:eastAsia="Arial" w:hAnsi="Arial"/>
                <w:sz w:val="21"/>
                <w:szCs w:val="21"/>
                <w:color w:val="auto"/>
                <w:vertAlign w:val="superscript"/>
              </w:rPr>
              <w:t>(1)(2)</w:t>
            </w:r>
          </w:p>
        </w:tc>
        <w:tc>
          <w:tcPr>
            <w:tcW w:w="1160" w:type="dxa"/>
            <w:vAlign w:val="bottom"/>
            <w:shd w:val="clear" w:color="auto" w:fill="CFF0FC"/>
          </w:tcPr>
          <w:p>
            <w:pPr>
              <w:jc w:val="right"/>
              <w:ind w:right="985"/>
              <w:spacing w:after="0" w:line="183" w:lineRule="exact"/>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w:t>
            </w:r>
          </w:p>
        </w:tc>
        <w:tc>
          <w:tcPr>
            <w:tcW w:w="1340" w:type="dxa"/>
            <w:vAlign w:val="bottom"/>
            <w:gridSpan w:val="2"/>
            <w:shd w:val="clear" w:color="auto" w:fill="CFF0FC"/>
          </w:tcPr>
          <w:p>
            <w:pPr>
              <w:jc w:val="right"/>
              <w:ind w:right="988"/>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27</w:t>
            </w:r>
          </w:p>
        </w:tc>
        <w:tc>
          <w:tcPr>
            <w:tcW w:w="3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372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82" w:lineRule="exact"/>
        <w:rPr>
          <w:sz w:val="20"/>
          <w:szCs w:val="20"/>
          <w:color w:val="auto"/>
        </w:rPr>
      </w:pPr>
    </w:p>
    <w:p>
      <w:pPr>
        <w:ind w:left="320" w:hanging="316"/>
        <w:spacing w:after="0"/>
        <w:tabs>
          <w:tab w:leader="none" w:pos="320" w:val="left"/>
        </w:tabs>
        <w:numPr>
          <w:ilvl w:val="0"/>
          <w:numId w:val="26"/>
        </w:numPr>
        <w:rPr>
          <w:rFonts w:ascii="Arial" w:cs="Arial" w:eastAsia="Arial" w:hAnsi="Arial"/>
          <w:sz w:val="17"/>
          <w:szCs w:val="17"/>
          <w:color w:val="auto"/>
          <w:vertAlign w:val="superscript"/>
        </w:rPr>
      </w:pPr>
      <w:r>
        <w:rPr>
          <w:rFonts w:ascii="Arial" w:cs="Arial" w:eastAsia="Arial" w:hAnsi="Arial"/>
          <w:sz w:val="14"/>
          <w:szCs w:val="14"/>
          <w:color w:val="auto"/>
        </w:rPr>
        <w:t>$31 million, $36 million and $52 million on a pre-tax basis as of March 31, 2026, December 31, 2025, and March 31, 2025, respectively.</w:t>
      </w:r>
    </w:p>
    <w:p>
      <w:pPr>
        <w:spacing w:after="0" w:line="52" w:lineRule="exact"/>
        <w:rPr>
          <w:rFonts w:ascii="Arial" w:cs="Arial" w:eastAsia="Arial" w:hAnsi="Arial"/>
          <w:sz w:val="17"/>
          <w:szCs w:val="17"/>
          <w:color w:val="auto"/>
          <w:vertAlign w:val="superscript"/>
        </w:rPr>
      </w:pPr>
    </w:p>
    <w:p>
      <w:pPr>
        <w:ind w:left="320" w:right="1400" w:hanging="316"/>
        <w:spacing w:after="0" w:line="237" w:lineRule="auto"/>
        <w:tabs>
          <w:tab w:leader="none" w:pos="316" w:val="left"/>
        </w:tabs>
        <w:numPr>
          <w:ilvl w:val="0"/>
          <w:numId w:val="26"/>
        </w:numPr>
        <w:rPr>
          <w:rFonts w:ascii="Arial" w:cs="Arial" w:eastAsia="Arial" w:hAnsi="Arial"/>
          <w:sz w:val="17"/>
          <w:szCs w:val="17"/>
          <w:color w:val="auto"/>
          <w:vertAlign w:val="superscript"/>
        </w:rPr>
      </w:pPr>
      <w:r>
        <w:rPr>
          <w:rFonts w:ascii="Arial" w:cs="Arial" w:eastAsia="Arial" w:hAnsi="Arial"/>
          <w:sz w:val="14"/>
          <w:szCs w:val="14"/>
          <w:color w:val="auto"/>
        </w:rPr>
        <w:t>Of the $23 million as of March 31, 2026, approximately $10 million, $7 million and $6 million will be recognized as part of Core Earnings net income in the remainder of 2026, 2027 and 2028, respectively.</w:t>
      </w:r>
    </w:p>
    <w:p>
      <w:pPr>
        <w:spacing w:after="0" w:line="237" w:lineRule="exact"/>
        <w:rPr>
          <w:sz w:val="20"/>
          <w:szCs w:val="20"/>
          <w:color w:val="auto"/>
        </w:rPr>
      </w:pPr>
    </w:p>
    <w:p>
      <w:pPr>
        <w:ind w:left="320" w:right="40" w:hanging="316"/>
        <w:spacing w:after="0" w:line="286" w:lineRule="auto"/>
        <w:tabs>
          <w:tab w:leader="none" w:pos="356"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Acquired Intangible Assets: </w:t>
      </w:r>
      <w:r>
        <w:rPr>
          <w:rFonts w:ascii="Arial" w:cs="Arial" w:eastAsia="Arial" w:hAnsi="Arial"/>
          <w:sz w:val="16"/>
          <w:szCs w:val="16"/>
          <w:color w:val="auto"/>
        </w:rPr>
        <w:t>Our Core Earnings exclude goodwill and intangible asset impairment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of acquired intangible assets. The following table summarizes the goodwill and acquired intangible asset adjustments.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900" w:type="dxa"/>
            <w:vAlign w:val="bottom"/>
            <w:vMerge w:val="restart"/>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22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300" w:type="dxa"/>
            <w:vAlign w:val="bottom"/>
            <w:shd w:val="clear" w:color="auto" w:fill="D9D9D9"/>
          </w:tcPr>
          <w:p>
            <w:pPr>
              <w:ind w:left="40"/>
              <w:spacing w:after="0"/>
              <w:rPr>
                <w:sz w:val="20"/>
                <w:szCs w:val="20"/>
                <w:color w:val="auto"/>
              </w:rPr>
            </w:pPr>
            <w:r>
              <w:rPr>
                <w:rFonts w:ascii="Arial" w:cs="Arial" w:eastAsia="Arial" w:hAnsi="Arial"/>
                <w:sz w:val="13"/>
                <w:szCs w:val="13"/>
                <w:b w:val="1"/>
                <w:bCs w:val="1"/>
                <w:color w:val="auto"/>
              </w:rPr>
              <w:t>QUARTERS ENDED</w:t>
            </w:r>
          </w:p>
        </w:tc>
        <w:tc>
          <w:tcPr>
            <w:tcW w:w="12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auto"/>
            </w:tcBorders>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14"/>
                <w:szCs w:val="1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Core Earnings goodwill and acquired intangible asset adjustments</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1480" w:type="dxa"/>
            <w:vAlign w:val="bottom"/>
            <w:gridSpan w:val="2"/>
            <w:shd w:val="clear" w:color="auto" w:fill="CFF0FC"/>
          </w:tcPr>
          <w:p>
            <w:pPr>
              <w:jc w:val="right"/>
              <w:ind w:right="1130"/>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1</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15" w:right="10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2. Tangible Equity and Adjusted Tangible Equity Ratio</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Adjusted Tangible Equity measures the ratio of Navient’s Tangible Equity to its tangible assets. We adjust this ratio to exclude the assets and equity associated with our FFELP Loan portfolio because FFELP Loans are no longer originated and the FFELP Loan portfolio bears a 3% maximum loss exposure under the terms of the federal guaranty. Management believes that excluding this portfolio from the ratio enhances its usefulness to investors. Management uses this ratio, in addition to other metrics, for analysis and decision making related to capital allocation decisions. The Adjusted Tangible Equity Ratio is calculated 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2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March 31, 2026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4"/>
                <w:szCs w:val="14"/>
                <w:color w:val="auto"/>
              </w:rPr>
            </w:pPr>
          </w:p>
        </w:tc>
      </w:tr>
      <w:tr>
        <w:trPr>
          <w:trHeight w:val="183"/>
        </w:trPr>
        <w:tc>
          <w:tcPr>
            <w:tcW w:w="3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Navient Corporation's stockholders' equity</w:t>
            </w:r>
          </w:p>
        </w:tc>
        <w:tc>
          <w:tcPr>
            <w:tcW w:w="7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2,379</w:t>
            </w:r>
          </w:p>
        </w:tc>
        <w:tc>
          <w:tcPr>
            <w:tcW w:w="3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328"/>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2,399</w:t>
            </w:r>
          </w:p>
        </w:tc>
        <w:tc>
          <w:tcPr>
            <w:tcW w:w="3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2,589</w:t>
            </w:r>
          </w:p>
        </w:tc>
        <w:tc>
          <w:tcPr>
            <w:tcW w:w="160" w:type="dxa"/>
            <w:vAlign w:val="bottom"/>
            <w:shd w:val="clear" w:color="auto" w:fill="CFF0FC"/>
          </w:tcPr>
          <w:p>
            <w:pPr>
              <w:spacing w:after="0"/>
              <w:rPr>
                <w:sz w:val="15"/>
                <w:szCs w:val="15"/>
                <w:color w:val="auto"/>
              </w:rPr>
            </w:pPr>
          </w:p>
        </w:tc>
      </w:tr>
      <w:tr>
        <w:trPr>
          <w:trHeight w:val="189"/>
        </w:trPr>
        <w:tc>
          <w:tcPr>
            <w:tcW w:w="3900" w:type="dxa"/>
            <w:vAlign w:val="bottom"/>
            <w:gridSpan w:val="2"/>
          </w:tcPr>
          <w:p>
            <w:pPr>
              <w:spacing w:after="0"/>
              <w:rPr>
                <w:sz w:val="20"/>
                <w:szCs w:val="20"/>
                <w:color w:val="auto"/>
              </w:rPr>
            </w:pPr>
            <w:r>
              <w:rPr>
                <w:rFonts w:ascii="Arial" w:cs="Arial" w:eastAsia="Arial" w:hAnsi="Arial"/>
                <w:sz w:val="16"/>
                <w:szCs w:val="16"/>
                <w:color w:val="auto"/>
              </w:rPr>
              <w:t>Less: Goodwill and acquired intangible assets</w:t>
            </w:r>
          </w:p>
        </w:tc>
        <w:tc>
          <w:tcPr>
            <w:tcW w:w="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60" w:type="dxa"/>
            <w:vAlign w:val="bottom"/>
          </w:tcPr>
          <w:p>
            <w:pPr>
              <w:spacing w:after="0"/>
              <w:rPr>
                <w:sz w:val="16"/>
                <w:szCs w:val="16"/>
                <w:color w:val="auto"/>
              </w:rPr>
            </w:pPr>
          </w:p>
        </w:tc>
      </w:tr>
      <w:tr>
        <w:trPr>
          <w:trHeight w:val="183"/>
        </w:trPr>
        <w:tc>
          <w:tcPr>
            <w:tcW w:w="3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Tangible Equity</w:t>
            </w: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1,949</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1,965</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2,152</w:t>
            </w:r>
          </w:p>
        </w:tc>
        <w:tc>
          <w:tcPr>
            <w:tcW w:w="160" w:type="dxa"/>
            <w:vAlign w:val="bottom"/>
            <w:shd w:val="clear" w:color="auto" w:fill="CFF0FC"/>
          </w:tcPr>
          <w:p>
            <w:pPr>
              <w:spacing w:after="0"/>
              <w:rPr>
                <w:sz w:val="15"/>
                <w:szCs w:val="15"/>
                <w:color w:val="auto"/>
              </w:rPr>
            </w:pPr>
          </w:p>
        </w:tc>
      </w:tr>
      <w:tr>
        <w:trPr>
          <w:trHeight w:val="189"/>
        </w:trPr>
        <w:tc>
          <w:tcPr>
            <w:tcW w:w="3900" w:type="dxa"/>
            <w:vAlign w:val="bottom"/>
            <w:gridSpan w:val="2"/>
          </w:tcPr>
          <w:p>
            <w:pPr>
              <w:spacing w:after="0"/>
              <w:rPr>
                <w:sz w:val="20"/>
                <w:szCs w:val="20"/>
                <w:color w:val="auto"/>
              </w:rPr>
            </w:pPr>
            <w:r>
              <w:rPr>
                <w:rFonts w:ascii="Arial" w:cs="Arial" w:eastAsia="Arial" w:hAnsi="Arial"/>
                <w:sz w:val="16"/>
                <w:szCs w:val="16"/>
                <w:color w:val="auto"/>
              </w:rPr>
              <w:t>Less: Equity held for FFELP Loans</w:t>
            </w:r>
          </w:p>
        </w:tc>
        <w:tc>
          <w:tcPr>
            <w:tcW w:w="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60" w:type="dxa"/>
            <w:vAlign w:val="bottom"/>
          </w:tcPr>
          <w:p>
            <w:pPr>
              <w:spacing w:after="0"/>
              <w:rPr>
                <w:sz w:val="16"/>
                <w:szCs w:val="16"/>
                <w:color w:val="auto"/>
              </w:rPr>
            </w:pPr>
          </w:p>
        </w:tc>
      </w:tr>
      <w:tr>
        <w:trPr>
          <w:trHeight w:val="223"/>
        </w:trPr>
        <w:tc>
          <w:tcPr>
            <w:tcW w:w="3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Adjusted Tangible Equity</w:t>
            </w:r>
          </w:p>
        </w:tc>
        <w:tc>
          <w:tcPr>
            <w:tcW w:w="7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1,813</w:t>
            </w: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28"/>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1,824</w:t>
            </w: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w:t>
            </w:r>
          </w:p>
        </w:tc>
        <w:tc>
          <w:tcPr>
            <w:tcW w:w="160" w:type="dxa"/>
            <w:vAlign w:val="bottom"/>
            <w:shd w:val="clear" w:color="auto" w:fill="CFF0FC"/>
          </w:tcPr>
          <w:p>
            <w:pPr>
              <w:spacing w:after="0"/>
              <w:rPr>
                <w:sz w:val="19"/>
                <w:szCs w:val="19"/>
                <w:color w:val="auto"/>
              </w:rPr>
            </w:pPr>
          </w:p>
        </w:tc>
      </w:tr>
      <w:tr>
        <w:trPr>
          <w:trHeight w:val="169"/>
        </w:trPr>
        <w:tc>
          <w:tcPr>
            <w:tcW w:w="3900" w:type="dxa"/>
            <w:vAlign w:val="bottom"/>
            <w:tcBorders>
              <w:top w:val="single" w:sz="8" w:color="CFF0FC"/>
            </w:tcBorders>
            <w:gridSpan w:val="2"/>
          </w:tcPr>
          <w:p>
            <w:pPr>
              <w:spacing w:after="0" w:line="170" w:lineRule="exact"/>
              <w:rPr>
                <w:sz w:val="20"/>
                <w:szCs w:val="20"/>
                <w:color w:val="auto"/>
              </w:rPr>
            </w:pPr>
            <w:r>
              <w:rPr>
                <w:rFonts w:ascii="Arial" w:cs="Arial" w:eastAsia="Arial" w:hAnsi="Arial"/>
                <w:sz w:val="16"/>
                <w:szCs w:val="16"/>
                <w:color w:val="auto"/>
              </w:rPr>
              <w:t>Divided by:</w:t>
            </w:r>
          </w:p>
        </w:tc>
        <w:tc>
          <w:tcPr>
            <w:tcW w:w="6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r>
      <w:tr>
        <w:trPr>
          <w:trHeight w:val="189"/>
        </w:trPr>
        <w:tc>
          <w:tcPr>
            <w:tcW w:w="39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assets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48,004</w:t>
            </w:r>
          </w:p>
        </w:tc>
        <w:tc>
          <w:tcPr>
            <w:tcW w:w="3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328"/>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48,681</w:t>
            </w:r>
          </w:p>
        </w:tc>
        <w:tc>
          <w:tcPr>
            <w:tcW w:w="32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50,950</w:t>
            </w:r>
          </w:p>
        </w:tc>
        <w:tc>
          <w:tcPr>
            <w:tcW w:w="160" w:type="dxa"/>
            <w:vAlign w:val="bottom"/>
            <w:shd w:val="clear" w:color="auto" w:fill="CFF0FC"/>
          </w:tcPr>
          <w:p>
            <w:pPr>
              <w:spacing w:after="0"/>
              <w:rPr>
                <w:sz w:val="16"/>
                <w:szCs w:val="16"/>
                <w:color w:val="auto"/>
              </w:rPr>
            </w:pPr>
          </w:p>
        </w:tc>
      </w:tr>
      <w:tr>
        <w:trPr>
          <w:trHeight w:val="189"/>
        </w:trPr>
        <w:tc>
          <w:tcPr>
            <w:tcW w:w="3900" w:type="dxa"/>
            <w:vAlign w:val="bottom"/>
            <w:gridSpan w:val="2"/>
          </w:tcPr>
          <w:p>
            <w:pPr>
              <w:spacing w:after="0"/>
              <w:rPr>
                <w:sz w:val="20"/>
                <w:szCs w:val="20"/>
                <w:color w:val="auto"/>
              </w:rPr>
            </w:pPr>
            <w:r>
              <w:rPr>
                <w:rFonts w:ascii="Arial" w:cs="Arial" w:eastAsia="Arial" w:hAnsi="Arial"/>
                <w:sz w:val="16"/>
                <w:szCs w:val="16"/>
                <w:color w:val="auto"/>
              </w:rPr>
              <w:t>Less: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39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Goodwill and acquired intangible assets</w:t>
            </w: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160" w:type="dxa"/>
            <w:vAlign w:val="bottom"/>
            <w:shd w:val="clear" w:color="auto" w:fill="CFF0FC"/>
          </w:tcPr>
          <w:p>
            <w:pPr>
              <w:spacing w:after="0"/>
              <w:rPr>
                <w:sz w:val="16"/>
                <w:szCs w:val="16"/>
                <w:color w:val="auto"/>
              </w:rPr>
            </w:pPr>
          </w:p>
        </w:tc>
      </w:tr>
      <w:tr>
        <w:trPr>
          <w:trHeight w:val="189"/>
        </w:trPr>
        <w:tc>
          <w:tcPr>
            <w:tcW w:w="3900" w:type="dxa"/>
            <w:vAlign w:val="bottom"/>
            <w:gridSpan w:val="2"/>
          </w:tcPr>
          <w:p>
            <w:pPr>
              <w:ind w:left="180"/>
              <w:spacing w:after="0"/>
              <w:rPr>
                <w:sz w:val="20"/>
                <w:szCs w:val="20"/>
                <w:color w:val="auto"/>
              </w:rPr>
            </w:pPr>
            <w:r>
              <w:rPr>
                <w:rFonts w:ascii="Arial" w:cs="Arial" w:eastAsia="Arial" w:hAnsi="Arial"/>
                <w:sz w:val="16"/>
                <w:szCs w:val="16"/>
                <w:color w:val="auto"/>
              </w:rPr>
              <w:t>FFELP Loans</w:t>
            </w:r>
          </w:p>
        </w:tc>
        <w:tc>
          <w:tcPr>
            <w:tcW w:w="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27,237</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30,244</w:t>
            </w:r>
          </w:p>
        </w:tc>
        <w:tc>
          <w:tcPr>
            <w:tcW w:w="160" w:type="dxa"/>
            <w:vAlign w:val="bottom"/>
          </w:tcPr>
          <w:p>
            <w:pPr>
              <w:spacing w:after="0"/>
              <w:rPr>
                <w:sz w:val="16"/>
                <w:szCs w:val="16"/>
                <w:color w:val="auto"/>
              </w:rPr>
            </w:pPr>
          </w:p>
        </w:tc>
      </w:tr>
      <w:tr>
        <w:trPr>
          <w:trHeight w:val="183"/>
        </w:trPr>
        <w:tc>
          <w:tcPr>
            <w:tcW w:w="3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Adjusted tangible assets</w:t>
            </w: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20,337</w:t>
            </w:r>
          </w:p>
        </w:tc>
        <w:tc>
          <w:tcPr>
            <w:tcW w:w="3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328"/>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20,106</w:t>
            </w:r>
          </w:p>
        </w:tc>
        <w:tc>
          <w:tcPr>
            <w:tcW w:w="3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20,269</w:t>
            </w:r>
          </w:p>
        </w:tc>
        <w:tc>
          <w:tcPr>
            <w:tcW w:w="160" w:type="dxa"/>
            <w:vAlign w:val="bottom"/>
            <w:shd w:val="clear" w:color="auto" w:fill="CFF0FC"/>
          </w:tcPr>
          <w:p>
            <w:pPr>
              <w:spacing w:after="0"/>
              <w:rPr>
                <w:sz w:val="15"/>
                <w:szCs w:val="15"/>
                <w:color w:val="auto"/>
              </w:rPr>
            </w:pPr>
          </w:p>
        </w:tc>
      </w:tr>
      <w:tr>
        <w:trPr>
          <w:trHeight w:val="20"/>
        </w:trPr>
        <w:tc>
          <w:tcPr>
            <w:tcW w:w="126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83"/>
        </w:trPr>
        <w:tc>
          <w:tcPr>
            <w:tcW w:w="3900" w:type="dxa"/>
            <w:vAlign w:val="bottom"/>
            <w:gridSpan w:val="2"/>
          </w:tcPr>
          <w:p>
            <w:pPr>
              <w:spacing w:after="0" w:line="183" w:lineRule="exact"/>
              <w:rPr>
                <w:sz w:val="20"/>
                <w:szCs w:val="20"/>
                <w:color w:val="auto"/>
              </w:rPr>
            </w:pPr>
            <w:r>
              <w:rPr>
                <w:rFonts w:ascii="Arial" w:cs="Arial" w:eastAsia="Arial" w:hAnsi="Arial"/>
                <w:sz w:val="16"/>
                <w:szCs w:val="16"/>
                <w:color w:val="auto"/>
              </w:rPr>
              <w:t>Adjusted Tangible Equity Ratio</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8.9%</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9.1%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9.9%</w:t>
            </w:r>
          </w:p>
        </w:tc>
      </w:tr>
      <w:tr>
        <w:trPr>
          <w:trHeight w:val="20"/>
        </w:trPr>
        <w:tc>
          <w:tcPr>
            <w:tcW w:w="1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-908050</wp:posOffset>
            </wp:positionV>
            <wp:extent cx="1028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-890905</wp:posOffset>
            </wp:positionV>
            <wp:extent cx="1028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-908050</wp:posOffset>
            </wp:positionV>
            <wp:extent cx="1028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-890905</wp:posOffset>
            </wp:positionV>
            <wp:extent cx="1028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-908050</wp:posOffset>
            </wp:positionV>
            <wp:extent cx="1028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-890905</wp:posOffset>
            </wp:positionV>
            <wp:extent cx="1028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-153670</wp:posOffset>
            </wp:positionV>
            <wp:extent cx="1028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-153670</wp:posOffset>
            </wp:positionV>
            <wp:extent cx="1028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-153670</wp:posOffset>
            </wp:positionV>
            <wp:extent cx="1028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3. Allowance for Loan Losses Excluding Expected Future Recoveries on Previously Fully Charged-off Loans</w:t>
      </w:r>
    </w:p>
    <w:p>
      <w:pPr>
        <w:spacing w:after="0" w:line="10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allowance for loan losses on the Private Education Loan portfolio used for the three credit metrics below excludes the expected future recoveries on previously fully charged-off loans to better reflect the current expected credit losses remaining in connection with the loans on balance sheet that have not charged off. As of March 31, 2026, the $480 million Private Education Loan allowance for loan losses excluding expected future recoveries on previously fully charged-off loans represents the current expected credit losses that remain in connection with the $15,963 million Private Education Loan portfolio. The $166 million of expected future recoveries on previously fully charged-off loans, which is collected over an average 15-year period, mechanically is a reduction to the overall allowance for loan losses. However, it is not related to the $15,963 million Private Education Loan portfolio on our balance sheet and, as a result, management excludes this impact to the allowance to better evaluate and assess our overall credit loss coverage on the Private Education Loan portfolio. We believe this provides a more meaningful and holistic view of the available credit loss coverage on our non-charged-off Private Education Loan portfolio. We believe this information is useful to our investors, lenders and rating agencies.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 Metrics – Private Education Loans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740" w:type="dxa"/>
            <w:vAlign w:val="bottom"/>
            <w:vMerge w:val="restart"/>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200" w:type="dxa"/>
            <w:vAlign w:val="bottom"/>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560" w:type="dxa"/>
            <w:vAlign w:val="bottom"/>
            <w:gridSpan w:val="2"/>
            <w:shd w:val="clear" w:color="auto" w:fill="D9D9D9"/>
          </w:tcPr>
          <w:p>
            <w:pPr>
              <w:jc w:val="right"/>
              <w:ind w:right="280"/>
              <w:spacing w:after="0"/>
              <w:rPr>
                <w:sz w:val="20"/>
                <w:szCs w:val="20"/>
                <w:color w:val="auto"/>
              </w:rPr>
            </w:pPr>
            <w:r>
              <w:rPr>
                <w:rFonts w:ascii="Arial" w:cs="Arial" w:eastAsia="Arial" w:hAnsi="Arial"/>
                <w:sz w:val="13"/>
                <w:szCs w:val="13"/>
                <w:b w:val="1"/>
                <w:bCs w:val="1"/>
                <w:color w:val="auto"/>
              </w:rPr>
              <w:t>QUARTERS ENDED</w:t>
            </w:r>
          </w:p>
        </w:tc>
        <w:tc>
          <w:tcPr>
            <w:tcW w:w="12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2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tcBorders>
              <w:bottom w:val="single" w:sz="8" w:color="auto"/>
            </w:tcBorders>
            <w:gridSpan w:val="2"/>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March 31, 2026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0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Allowance at end of period (GAAP)</w:t>
            </w:r>
          </w:p>
        </w:tc>
        <w:tc>
          <w:tcPr>
            <w:tcW w:w="8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314</w:t>
            </w:r>
          </w:p>
        </w:tc>
        <w:tc>
          <w:tcPr>
            <w:tcW w:w="2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364</w:t>
            </w:r>
          </w:p>
        </w:tc>
        <w:tc>
          <w:tcPr>
            <w:tcW w:w="2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397</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0" w:type="dxa"/>
            <w:vAlign w:val="bottom"/>
            <w:gridSpan w:val="3"/>
          </w:tcPr>
          <w:p>
            <w:pPr>
              <w:spacing w:after="0" w:line="153" w:lineRule="exact"/>
              <w:rPr>
                <w:sz w:val="20"/>
                <w:szCs w:val="20"/>
                <w:color w:val="auto"/>
              </w:rPr>
            </w:pPr>
            <w:r>
              <w:rPr>
                <w:rFonts w:ascii="Arial" w:cs="Arial" w:eastAsia="Arial" w:hAnsi="Arial"/>
                <w:sz w:val="14"/>
                <w:szCs w:val="14"/>
                <w:color w:val="auto"/>
              </w:rPr>
              <w:t>Plus: expected future recoveries on previously fully</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gridSpan w:val="3"/>
          </w:tcPr>
          <w:p>
            <w:pPr>
              <w:ind w:left="120"/>
              <w:spacing w:after="0" w:line="158" w:lineRule="exact"/>
              <w:rPr>
                <w:sz w:val="20"/>
                <w:szCs w:val="20"/>
                <w:color w:val="auto"/>
              </w:rPr>
            </w:pPr>
            <w:r>
              <w:rPr>
                <w:rFonts w:ascii="Arial" w:cs="Arial" w:eastAsia="Arial" w:hAnsi="Arial"/>
                <w:sz w:val="14"/>
                <w:szCs w:val="14"/>
                <w:color w:val="auto"/>
              </w:rPr>
              <w:t>charged-off loans</w:t>
            </w:r>
          </w:p>
        </w:tc>
        <w:tc>
          <w:tcPr>
            <w:tcW w:w="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00" w:type="dxa"/>
            <w:vAlign w:val="bottom"/>
            <w:gridSpan w:val="3"/>
            <w:shd w:val="clear" w:color="auto" w:fill="CFF0FC"/>
          </w:tcPr>
          <w:p>
            <w:pPr>
              <w:spacing w:after="0" w:line="147" w:lineRule="exact"/>
              <w:rPr>
                <w:sz w:val="20"/>
                <w:szCs w:val="20"/>
                <w:color w:val="auto"/>
              </w:rPr>
            </w:pPr>
            <w:r>
              <w:rPr>
                <w:rFonts w:ascii="Arial" w:cs="Arial" w:eastAsia="Arial" w:hAnsi="Arial"/>
                <w:sz w:val="14"/>
                <w:szCs w:val="14"/>
                <w:color w:val="auto"/>
              </w:rPr>
              <w:t>Allowance at end of period excluding expected</w:t>
            </w: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future recoveries on previously fully charged-off</w:t>
            </w:r>
          </w:p>
        </w:tc>
        <w:tc>
          <w:tcPr>
            <w:tcW w:w="74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480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571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Borders>
              <w:bottom w:val="single" w:sz="8" w:color="CFF0FC"/>
            </w:tcBorders>
            <w:gridSpan w:val="3"/>
            <w:shd w:val="clear" w:color="auto" w:fill="CFF0FC"/>
          </w:tcPr>
          <w:p>
            <w:pPr>
              <w:ind w:left="120"/>
              <w:spacing w:after="0" w:line="125" w:lineRule="exact"/>
              <w:rPr>
                <w:sz w:val="20"/>
                <w:szCs w:val="20"/>
                <w:color w:val="auto"/>
              </w:rPr>
            </w:pPr>
            <w:r>
              <w:rPr>
                <w:rFonts w:ascii="Arial" w:cs="Arial" w:eastAsia="Arial" w:hAnsi="Arial"/>
                <w:sz w:val="14"/>
                <w:szCs w:val="14"/>
                <w:color w:val="auto"/>
              </w:rPr>
              <w:t>loans (Non-GAAP Financial Measure)</w:t>
            </w:r>
          </w:p>
        </w:tc>
        <w:tc>
          <w:tcPr>
            <w:tcW w:w="7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30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00" w:type="dxa"/>
            <w:vAlign w:val="bottom"/>
            <w:gridSpan w:val="3"/>
          </w:tcPr>
          <w:p>
            <w:pPr>
              <w:spacing w:after="0" w:line="143" w:lineRule="exact"/>
              <w:rPr>
                <w:sz w:val="20"/>
                <w:szCs w:val="20"/>
                <w:color w:val="auto"/>
              </w:rPr>
            </w:pPr>
            <w:r>
              <w:rPr>
                <w:rFonts w:ascii="Arial" w:cs="Arial" w:eastAsia="Arial" w:hAnsi="Arial"/>
                <w:sz w:val="14"/>
                <w:szCs w:val="14"/>
                <w:color w:val="auto"/>
              </w:rPr>
              <w:t>Ending total loans</w:t>
            </w: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3" w:lineRule="exact"/>
              <w:rPr>
                <w:sz w:val="20"/>
                <w:szCs w:val="20"/>
                <w:color w:val="auto"/>
              </w:rPr>
            </w:pPr>
            <w:r>
              <w:rPr>
                <w:rFonts w:ascii="Arial" w:cs="Arial" w:eastAsia="Arial" w:hAnsi="Arial"/>
                <w:sz w:val="14"/>
                <w:szCs w:val="14"/>
                <w:color w:val="auto"/>
              </w:rPr>
              <w:t>15,963</w:t>
            </w:r>
          </w:p>
        </w:tc>
        <w:tc>
          <w:tcPr>
            <w:tcW w:w="24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43" w:lineRule="exact"/>
              <w:rPr>
                <w:sz w:val="20"/>
                <w:szCs w:val="20"/>
                <w:color w:val="auto"/>
              </w:rPr>
            </w:pPr>
            <w:r>
              <w:rPr>
                <w:rFonts w:ascii="Arial" w:cs="Arial" w:eastAsia="Arial" w:hAnsi="Arial"/>
                <w:sz w:val="14"/>
                <w:szCs w:val="14"/>
                <w:color w:val="auto"/>
              </w:rPr>
              <w:t>15,815</w:t>
            </w:r>
          </w:p>
        </w:tc>
        <w:tc>
          <w:tcPr>
            <w:tcW w:w="260" w:type="dxa"/>
            <w:vAlign w:val="bottom"/>
          </w:tcPr>
          <w:p>
            <w:pPr>
              <w:spacing w:after="0"/>
              <w:rPr>
                <w:sz w:val="12"/>
                <w:szCs w:val="12"/>
                <w:color w:val="auto"/>
              </w:rPr>
            </w:pP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3" w:lineRule="exact"/>
              <w:rPr>
                <w:sz w:val="20"/>
                <w:szCs w:val="20"/>
                <w:color w:val="auto"/>
              </w:rPr>
            </w:pPr>
            <w:r>
              <w:rPr>
                <w:rFonts w:ascii="Arial" w:cs="Arial" w:eastAsia="Arial" w:hAnsi="Arial"/>
                <w:sz w:val="14"/>
                <w:szCs w:val="14"/>
                <w:color w:val="auto"/>
              </w:rPr>
              <w:t>16,087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Ending loans in repayment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15,335</w:t>
            </w:r>
          </w:p>
        </w:tc>
        <w:tc>
          <w:tcPr>
            <w:tcW w:w="2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15,184</w:t>
            </w:r>
          </w:p>
        </w:tc>
        <w:tc>
          <w:tcPr>
            <w:tcW w:w="2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15,420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0" w:type="dxa"/>
            <w:vAlign w:val="bottom"/>
            <w:gridSpan w:val="3"/>
          </w:tcPr>
          <w:p>
            <w:pPr>
              <w:spacing w:after="0"/>
              <w:rPr>
                <w:sz w:val="20"/>
                <w:szCs w:val="20"/>
                <w:color w:val="auto"/>
              </w:rPr>
            </w:pPr>
            <w:r>
              <w:rPr>
                <w:rFonts w:ascii="Arial" w:cs="Arial" w:eastAsia="Arial" w:hAnsi="Arial"/>
                <w:sz w:val="14"/>
                <w:szCs w:val="14"/>
                <w:color w:val="auto"/>
              </w:rPr>
              <w:t>Net charge-offs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87</w:t>
            </w:r>
          </w:p>
        </w:tc>
        <w:tc>
          <w:tcPr>
            <w:tcW w:w="26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Allowance coverage of charge-offs:</w:t>
            </w: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GAAP</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Borders>
              <w:bottom w:val="single" w:sz="8" w:color="CFF0FC"/>
            </w:tcBorders>
            <w:gridSpan w:val="3"/>
            <w:shd w:val="clear" w:color="auto" w:fill="CFF0FC"/>
          </w:tcPr>
          <w:p>
            <w:pPr>
              <w:ind w:left="100"/>
              <w:spacing w:after="0" w:line="162" w:lineRule="exact"/>
              <w:rPr>
                <w:sz w:val="20"/>
                <w:szCs w:val="20"/>
                <w:color w:val="auto"/>
              </w:rPr>
            </w:pPr>
            <w:r>
              <w:rPr>
                <w:rFonts w:ascii="Arial" w:cs="Arial" w:eastAsia="Arial" w:hAnsi="Arial"/>
                <w:sz w:val="14"/>
                <w:szCs w:val="14"/>
                <w:color w:val="auto"/>
              </w:rPr>
              <w:t>Adjustment</w:t>
            </w:r>
            <w:r>
              <w:rPr>
                <w:rFonts w:ascii="Arial" w:cs="Arial" w:eastAsia="Arial" w:hAnsi="Arial"/>
                <w:sz w:val="18"/>
                <w:szCs w:val="18"/>
                <w:color w:val="auto"/>
                <w:vertAlign w:val="superscript"/>
              </w:rPr>
              <w:t>(1)</w:t>
            </w:r>
          </w:p>
        </w:tc>
        <w:tc>
          <w:tcPr>
            <w:tcW w:w="7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gridSpan w:val="3"/>
          </w:tcPr>
          <w:p>
            <w:pPr>
              <w:ind w:left="100"/>
              <w:spacing w:after="0" w:line="156" w:lineRule="exact"/>
              <w:rPr>
                <w:sz w:val="20"/>
                <w:szCs w:val="20"/>
                <w:color w:val="auto"/>
              </w:rPr>
            </w:pPr>
            <w:r>
              <w:rPr>
                <w:rFonts w:ascii="Arial" w:cs="Arial" w:eastAsia="Arial" w:hAnsi="Arial"/>
                <w:sz w:val="14"/>
                <w:szCs w:val="14"/>
                <w:color w:val="auto"/>
              </w:rPr>
              <w:t>Non-GAAP Financial Measure</w:t>
            </w:r>
            <w:r>
              <w:rPr>
                <w:rFonts w:ascii="Arial" w:cs="Arial" w:eastAsia="Arial" w:hAnsi="Arial"/>
                <w:sz w:val="18"/>
                <w:szCs w:val="18"/>
                <w:color w:val="auto"/>
                <w:vertAlign w:val="superscript"/>
              </w:rPr>
              <w:t>(1)</w:t>
            </w:r>
          </w:p>
        </w:tc>
        <w:tc>
          <w:tcPr>
            <w:tcW w:w="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0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Allowance as a percentage of the ending total loan</w:t>
            </w: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balance:</w:t>
            </w: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GAAP</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4000" w:type="dxa"/>
            <w:vAlign w:val="bottom"/>
            <w:tcBorders>
              <w:bottom w:val="single" w:sz="8" w:color="CFF0FC"/>
            </w:tcBorders>
            <w:gridSpan w:val="3"/>
            <w:shd w:val="clear" w:color="auto" w:fill="CFF0FC"/>
          </w:tcPr>
          <w:p>
            <w:pPr>
              <w:ind w:left="100"/>
              <w:spacing w:after="0" w:line="162" w:lineRule="exact"/>
              <w:rPr>
                <w:sz w:val="20"/>
                <w:szCs w:val="20"/>
                <w:color w:val="auto"/>
              </w:rPr>
            </w:pPr>
            <w:r>
              <w:rPr>
                <w:rFonts w:ascii="Arial" w:cs="Arial" w:eastAsia="Arial" w:hAnsi="Arial"/>
                <w:sz w:val="14"/>
                <w:szCs w:val="14"/>
                <w:color w:val="auto"/>
              </w:rPr>
              <w:t>Adjustment</w:t>
            </w:r>
            <w:r>
              <w:rPr>
                <w:rFonts w:ascii="Arial" w:cs="Arial" w:eastAsia="Arial" w:hAnsi="Arial"/>
                <w:sz w:val="18"/>
                <w:szCs w:val="18"/>
                <w:color w:val="auto"/>
                <w:vertAlign w:val="superscript"/>
              </w:rPr>
              <w:t>(1)</w:t>
            </w:r>
          </w:p>
        </w:tc>
        <w:tc>
          <w:tcPr>
            <w:tcW w:w="7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00" w:type="dxa"/>
            <w:vAlign w:val="bottom"/>
            <w:gridSpan w:val="3"/>
          </w:tcPr>
          <w:p>
            <w:pPr>
              <w:ind w:left="100"/>
              <w:spacing w:after="0" w:line="156" w:lineRule="exact"/>
              <w:rPr>
                <w:sz w:val="20"/>
                <w:szCs w:val="20"/>
                <w:color w:val="auto"/>
              </w:rPr>
            </w:pPr>
            <w:r>
              <w:rPr>
                <w:rFonts w:ascii="Arial" w:cs="Arial" w:eastAsia="Arial" w:hAnsi="Arial"/>
                <w:sz w:val="14"/>
                <w:szCs w:val="14"/>
                <w:color w:val="auto"/>
              </w:rPr>
              <w:t>Non-GAAP Financial Measure</w:t>
            </w:r>
            <w:r>
              <w:rPr>
                <w:rFonts w:ascii="Arial" w:cs="Arial" w:eastAsia="Arial" w:hAnsi="Arial"/>
                <w:sz w:val="18"/>
                <w:szCs w:val="18"/>
                <w:color w:val="auto"/>
                <w:vertAlign w:val="superscript"/>
              </w:rPr>
              <w:t>(1)</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0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Allowance as a percentage of the ending loans in</w:t>
            </w: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repayment:</w:t>
            </w: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GAAP</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4000" w:type="dxa"/>
            <w:vAlign w:val="bottom"/>
            <w:tcBorders>
              <w:bottom w:val="single" w:sz="8" w:color="CFF0FC"/>
            </w:tcBorders>
            <w:gridSpan w:val="3"/>
            <w:shd w:val="clear" w:color="auto" w:fill="CFF0FC"/>
          </w:tcPr>
          <w:p>
            <w:pPr>
              <w:ind w:left="100"/>
              <w:spacing w:after="0" w:line="162" w:lineRule="exact"/>
              <w:rPr>
                <w:sz w:val="20"/>
                <w:szCs w:val="20"/>
                <w:color w:val="auto"/>
              </w:rPr>
            </w:pPr>
            <w:r>
              <w:rPr>
                <w:rFonts w:ascii="Arial" w:cs="Arial" w:eastAsia="Arial" w:hAnsi="Arial"/>
                <w:sz w:val="14"/>
                <w:szCs w:val="14"/>
                <w:color w:val="auto"/>
              </w:rPr>
              <w:t>Adjustment</w:t>
            </w:r>
            <w:r>
              <w:rPr>
                <w:rFonts w:ascii="Arial" w:cs="Arial" w:eastAsia="Arial" w:hAnsi="Arial"/>
                <w:sz w:val="18"/>
                <w:szCs w:val="18"/>
                <w:color w:val="auto"/>
                <w:vertAlign w:val="superscript"/>
              </w:rPr>
              <w:t>(1)</w:t>
            </w:r>
          </w:p>
        </w:tc>
        <w:tc>
          <w:tcPr>
            <w:tcW w:w="7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00" w:type="dxa"/>
            <w:vAlign w:val="bottom"/>
            <w:gridSpan w:val="3"/>
          </w:tcPr>
          <w:p>
            <w:pPr>
              <w:ind w:left="100"/>
              <w:spacing w:after="0" w:line="156" w:lineRule="exact"/>
              <w:rPr>
                <w:sz w:val="20"/>
                <w:szCs w:val="20"/>
                <w:color w:val="auto"/>
              </w:rPr>
            </w:pPr>
            <w:r>
              <w:rPr>
                <w:rFonts w:ascii="Arial" w:cs="Arial" w:eastAsia="Arial" w:hAnsi="Arial"/>
                <w:sz w:val="14"/>
                <w:szCs w:val="14"/>
                <w:color w:val="auto"/>
              </w:rPr>
              <w:t>Non-GAAP Financial Measure</w:t>
            </w:r>
            <w:r>
              <w:rPr>
                <w:rFonts w:ascii="Arial" w:cs="Arial" w:eastAsia="Arial" w:hAnsi="Arial"/>
                <w:sz w:val="18"/>
                <w:szCs w:val="18"/>
                <w:color w:val="auto"/>
                <w:vertAlign w:val="superscript"/>
              </w:rPr>
              <w:t>(1)</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-2279650</wp:posOffset>
            </wp:positionV>
            <wp:extent cx="9461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-2262505</wp:posOffset>
            </wp:positionV>
            <wp:extent cx="946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-2279650</wp:posOffset>
            </wp:positionV>
            <wp:extent cx="946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-2262505</wp:posOffset>
            </wp:positionV>
            <wp:extent cx="946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-2279650</wp:posOffset>
            </wp:positionV>
            <wp:extent cx="939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-2262505</wp:posOffset>
            </wp:positionV>
            <wp:extent cx="939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-1533525</wp:posOffset>
            </wp:positionV>
            <wp:extent cx="9461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-1533525</wp:posOffset>
            </wp:positionV>
            <wp:extent cx="946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-1533525</wp:posOffset>
            </wp:positionV>
            <wp:extent cx="939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-882015</wp:posOffset>
            </wp:positionV>
            <wp:extent cx="9461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-882015</wp:posOffset>
            </wp:positionV>
            <wp:extent cx="9461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-882015</wp:posOffset>
            </wp:positionV>
            <wp:extent cx="939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-231140</wp:posOffset>
            </wp:positionV>
            <wp:extent cx="9461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-231140</wp:posOffset>
            </wp:positionV>
            <wp:extent cx="9461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-231140</wp:posOffset>
            </wp:positionV>
            <wp:extent cx="939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3" w:lineRule="exact"/>
        <w:rPr>
          <w:sz w:val="20"/>
          <w:szCs w:val="20"/>
          <w:color w:val="auto"/>
        </w:rPr>
      </w:pPr>
    </w:p>
    <w:p>
      <w:pPr>
        <w:ind w:left="320" w:hanging="316"/>
        <w:spacing w:after="0"/>
        <w:tabs>
          <w:tab w:leader="none" w:pos="320" w:val="left"/>
        </w:tabs>
        <w:numPr>
          <w:ilvl w:val="0"/>
          <w:numId w:val="28"/>
        </w:numPr>
        <w:rPr>
          <w:rFonts w:ascii="Arial" w:cs="Arial" w:eastAsia="Arial" w:hAnsi="Arial"/>
          <w:sz w:val="17"/>
          <w:szCs w:val="17"/>
          <w:color w:val="auto"/>
          <w:vertAlign w:val="superscript"/>
        </w:rPr>
      </w:pPr>
      <w:r>
        <w:rPr>
          <w:rFonts w:ascii="Arial" w:cs="Arial" w:eastAsia="Arial" w:hAnsi="Arial"/>
          <w:sz w:val="14"/>
          <w:szCs w:val="14"/>
          <w:color w:val="auto"/>
        </w:rPr>
        <w:t>The allowance used for these credit metrics excludes the expected future recoveries on previously fully charged-off loans. See discussion above.</w:t>
      </w:r>
    </w:p>
    <w:p>
      <w:pPr>
        <w:spacing w:after="0" w:line="183"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479425</wp:posOffset>
            </wp:positionV>
            <wp:extent cx="703770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2"/>
      <w:numFmt w:val="decimal"/>
      <w:start w:val="104"/>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o"/>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lvl w:ilvl="1">
      <w:lvlJc w:val="left"/>
      <w:lvlText w:val="o"/>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lvl w:ilvl="1">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2"/>
    </w:lvl>
  </w:abstractNum>
  <w:abstractNum w:abstractNumId="17">
    <w:nsid w:val="2D1D5AE9"/>
    <w:multiLevelType w:val="hybridMultilevel"/>
    <w:lvl w:ilvl="0">
      <w:lvlJc w:val="left"/>
      <w:lvlText w:val="(%1)"/>
      <w:numFmt w:val="decimal"/>
      <w:start w:val="2"/>
    </w:lvl>
  </w:abstractNum>
  <w:abstractNum w:abstractNumId="18">
    <w:nsid w:val="6763845E"/>
    <w:multiLevelType w:val="hybridMultilevel"/>
    <w:lvl w:ilvl="0">
      <w:lvlJc w:val="left"/>
      <w:lvlText w:val="(%1)"/>
      <w:numFmt w:val="decimal"/>
      <w:start w:val="2"/>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3"/>
    </w:lvl>
    <w:lvl w:ilvl="1">
      <w:lvlJc w:val="left"/>
      <w:lvlText w:val="%2"/>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2"/>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2026-04-29T05:08:20Z</dcterms:created>
  <dcterms:modified xsi:type="dcterms:W3CDTF">2026-04-29T05:08:20Z</dcterms:modified>
</cp:coreProperties>
</file>