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ARNOLD FREDERICK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13865 SUNRISE VALLEY DRIVE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HERNDON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NAVIENT CORP</w:t>
              </w:r>
            </w:hyperlink>
            <w:r>
              <w:rPr/>
              <w:t xml:space="preserve"> [ </w:t>
            </w:r>
            <w:r>
              <w:rPr>
                <w:rFonts w:ascii="Times;serif" w:hAnsi="Times;serif"/>
                <w:color w:val="0000FF"/>
                <w:sz w:val="24"/>
                <w:shd w:fill="FFFFFF" w:val="clear"/>
              </w:rPr>
              <w:t>NAVI</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62"/>
        <w:gridCol w:w="440"/>
        <w:gridCol w:w="659"/>
        <w:gridCol w:w="1395"/>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18,018</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7.77</w:t>
            </w:r>
            <w:r>
              <w:rPr/>
              <w:t xml:space="preserve"> </w:t>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98,885.256</w:t>
            </w:r>
            <w:r>
              <w:rPr>
                <w:rFonts w:ascii="Times;serif" w:hAnsi="Times;serif"/>
                <w:color w:val="008000"/>
                <w:position w:val="7"/>
                <w:sz w:val="16"/>
                <w:sz w:val="20"/>
                <w:shd w:fill="FFFFFF" w:val="clear"/>
              </w:rPr>
              <w:t>(2)</w:t>
            </w:r>
            <w:r>
              <w:rPr/>
              <w:t xml:space="preserve"> </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to a non-employee director under the Navient Corporation 2024 Omnibus Incentive Plan. The restrictions lift on a quarterly basis subject to continued active service on the Navient Board of Directors as follows: 25% on the grant date (June 4, 2026); 25% on August 1, 2026; 25% on November 1, 2026; and 25% on February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(186.324 units) issued on previously unvested restricted are included in the reporting person's common stock holding balance. Each dividend equivalent right is the economic equivalent of one share of Navient Corporation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Sheldon (POA) for Frederick Arnold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6604" TargetMode="External"/><Relationship Id="rId5" Type="http://schemas.openxmlformats.org/officeDocument/2006/relationships/hyperlink" Target="http://www.sec.gov/cgi-bin/browse-edgar?action=getcompany&amp;CIK=00015935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3577</Characters>
  <CharactersWithSpaces>4177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