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401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CABRAL ANNA ESCOBEDO</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13865 SUNRISE VALLEY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NAVIENT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HERNDON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20171</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18,018.018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84,915.1339</w:t>
            </w:r>
            <w:r>
              <w:rPr>
                <w:rFonts w:ascii="Times New Roman" w:cs="Times New Roman" w:eastAsia="Times New Roman" w:hAnsi="Times New Roman"/>
                <w:sz w:val="20"/>
                <w:szCs w:val="20"/>
                <w:color w:val="008000"/>
                <w:vertAlign w:val="superscript"/>
              </w:rPr>
              <w:t>(2)</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3"/>
              <w:spacing w:after="0" w:line="137" w:lineRule="exact"/>
              <w:rPr>
                <w:sz w:val="20"/>
                <w:szCs w:val="20"/>
                <w:color w:val="auto"/>
              </w:rPr>
            </w:pPr>
            <w:r>
              <w:rPr>
                <w:rFonts w:ascii="Times New Roman" w:cs="Times New Roman" w:eastAsia="Times New Roman" w:hAnsi="Times New Roman"/>
                <w:sz w:val="12"/>
                <w:szCs w:val="12"/>
                <w:color w:val="0000FF"/>
              </w:rPr>
              <w:t>06/04/2026</w:t>
            </w:r>
          </w:p>
        </w:tc>
        <w:tc>
          <w:tcPr>
            <w:tcW w:w="1080" w:type="dxa"/>
            <w:vAlign w:val="bottom"/>
          </w:tcPr>
          <w:p>
            <w:pPr>
              <w:spacing w:after="0"/>
              <w:rPr>
                <w:sz w:val="11"/>
                <w:szCs w:val="11"/>
                <w:color w:val="auto"/>
              </w:rPr>
            </w:pPr>
          </w:p>
        </w:tc>
        <w:tc>
          <w:tcPr>
            <w:tcW w:w="8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0000FF"/>
              </w:rPr>
              <w:t>18,018.018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1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880" w:type="dxa"/>
            <w:vAlign w:val="bottom"/>
            <w:gridSpan w:val="2"/>
            <w:vMerge w:val="continue"/>
          </w:tcPr>
          <w:p>
            <w:pPr>
              <w:spacing w:after="0"/>
              <w:rPr>
                <w:sz w:val="11"/>
                <w:szCs w:val="11"/>
                <w:color w:val="auto"/>
              </w:rPr>
            </w:pPr>
          </w:p>
        </w:tc>
        <w:tc>
          <w:tcPr>
            <w:tcW w:w="600" w:type="dxa"/>
            <w:vAlign w:val="bottom"/>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6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phantom stock units acquired pursuant to the terms of the Navient Corporation Deferred Compensation Plan for Directors. Phantom stock units are settled in shares of Navient Corporation common stock, on a one-to-one basis, upon distribution. The Phantom stock units will vest with continued active service on the Navient Board of Directors as follows: 25% will vest on the grant date (June 4, 2026); 25% will vest on August 1, 2026; 25% will vest on November 1, 2026; and 25% will vest on February 1, 2027.</w:t>
      </w:r>
    </w:p>
    <w:p>
      <w:pPr>
        <w:spacing w:after="0" w:line="16" w:lineRule="exact"/>
        <w:rPr>
          <w:rFonts w:ascii="Times New Roman" w:cs="Times New Roman" w:eastAsia="Times New Roman" w:hAnsi="Times New Roman"/>
          <w:sz w:val="12"/>
          <w:szCs w:val="12"/>
          <w:color w:val="008000"/>
        </w:rPr>
      </w:pPr>
    </w:p>
    <w:p>
      <w:pPr>
        <w:ind w:left="40" w:right="240" w:hanging="4"/>
        <w:spacing w:after="0" w:line="27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Dividend equivalent rights (3,617.0899 units) accrued on phantom stock units pursuant to the terms of the Navient Corporation Deferred Compensation Plan for Directors are included in the reporting person's holding balance.</w:t>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Matthew Sheldon (POA) for</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06/05/2026</w:t>
            </w:r>
          </w:p>
        </w:tc>
        <w:tc>
          <w:tcPr>
            <w:tcW w:w="0" w:type="dxa"/>
            <w:vAlign w:val="bottom"/>
          </w:tcPr>
          <w:p>
            <w:pPr>
              <w:spacing w:after="0"/>
              <w:rPr>
                <w:sz w:val="1"/>
                <w:szCs w:val="1"/>
                <w:color w:val="auto"/>
              </w:rPr>
            </w:pPr>
          </w:p>
        </w:tc>
      </w:tr>
      <w:tr>
        <w:trPr>
          <w:trHeight w:val="84"/>
        </w:trPr>
        <w:tc>
          <w:tcPr>
            <w:tcW w:w="148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8"/>
              </w:rPr>
              <w:t>Anna Escobedo Cabral</w:t>
            </w:r>
          </w:p>
        </w:tc>
        <w:tc>
          <w:tcPr>
            <w:tcW w:w="54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480" w:type="dxa"/>
            <w:vAlign w:val="bottom"/>
            <w:tcBorders>
              <w:bottom w:val="single" w:sz="8" w:color="auto"/>
            </w:tcBorders>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381" TargetMode="External"/><Relationship Id="rId14" Type="http://schemas.openxmlformats.org/officeDocument/2006/relationships/hyperlink" Target="http://www.sec.gov/cgi-bin/browse-edgar?action=getcompany&amp;CIK=0001593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2026-06-05T16:24:45Z</dcterms:created>
  <dcterms:modified xsi:type="dcterms:W3CDTF">2026-06-05T16:24:45Z</dcterms:modified>
</cp:coreProperties>
</file>