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32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Registration No. 333-286944</w:t>
            </w:r>
          </w:p>
        </w:tc>
        <w:tc>
          <w:tcPr>
            <w:tcW w:w="0" w:type="dxa"/>
            <w:vAlign w:val="bottom"/>
          </w:tcPr>
          <w:p>
            <w:pPr>
              <w:spacing w:after="0"/>
              <w:rPr>
                <w:sz w:val="1"/>
                <w:szCs w:val="1"/>
                <w:color w:val="auto"/>
              </w:rPr>
            </w:pPr>
          </w:p>
        </w:tc>
      </w:tr>
      <w:tr>
        <w:trPr>
          <w:trHeight w:val="513"/>
        </w:trPr>
        <w:tc>
          <w:tcPr>
            <w:tcW w:w="300" w:type="dxa"/>
            <w:vAlign w:val="bottom"/>
          </w:tcPr>
          <w:p>
            <w:pPr>
              <w:spacing w:after="0"/>
              <w:rPr>
                <w:sz w:val="24"/>
                <w:szCs w:val="24"/>
                <w:color w:val="auto"/>
              </w:rPr>
            </w:pPr>
          </w:p>
        </w:tc>
        <w:tc>
          <w:tcPr>
            <w:tcW w:w="200" w:type="dxa"/>
            <w:vAlign w:val="bottom"/>
            <w:vMerge w:val="restart"/>
            <w:textDirection w:val="btLr"/>
          </w:tcPr>
          <w:p>
            <w:pPr>
              <w:spacing w:after="0"/>
              <w:rPr>
                <w:sz w:val="20"/>
                <w:szCs w:val="20"/>
                <w:color w:val="auto"/>
              </w:rPr>
            </w:pPr>
            <w:r>
              <w:rPr>
                <w:rFonts w:ascii="Arial" w:cs="Arial" w:eastAsia="Arial" w:hAnsi="Arial"/>
                <w:sz w:val="18"/>
                <w:szCs w:val="18"/>
                <w:b w:val="1"/>
                <w:bCs w:val="1"/>
                <w:color w:val="FF4338"/>
                <w:w w:val="97"/>
              </w:rPr>
              <w:t>these</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2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FF4338"/>
                <w:w w:val="99"/>
              </w:rPr>
              <w:t>SUBJECT TO COMPLETION, DATED MAY 26, 2026</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30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9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0" w:type="dxa"/>
            <w:vAlign w:val="bottom"/>
            <w:vMerge w:val="restart"/>
            <w:textDirection w:val="btLr"/>
          </w:tcPr>
          <w:p>
            <w:pPr>
              <w:ind w:left="208"/>
              <w:spacing w:after="0"/>
              <w:rPr>
                <w:sz w:val="20"/>
                <w:szCs w:val="20"/>
                <w:color w:val="auto"/>
              </w:rPr>
            </w:pPr>
            <w:r>
              <w:rPr>
                <w:rFonts w:ascii="Arial" w:cs="Arial" w:eastAsia="Arial" w:hAnsi="Arial"/>
                <w:sz w:val="8"/>
                <w:szCs w:val="8"/>
                <w:b w:val="1"/>
                <w:bCs w:val="1"/>
                <w:color w:val="FF4338"/>
                <w:w w:val="71"/>
              </w:rPr>
              <w:t>completeandmaybechanged.Thispreliminaryprospectus</w:t>
            </w:r>
          </w:p>
        </w:tc>
        <w:tc>
          <w:tcPr>
            <w:tcW w:w="200" w:type="dxa"/>
            <w:vAlign w:val="bottom"/>
            <w:vMerge w:val="restart"/>
            <w:textDirection w:val="btLr"/>
          </w:tcPr>
          <w:p>
            <w:pPr>
              <w:ind w:left="97"/>
              <w:spacing w:after="0"/>
              <w:rPr>
                <w:sz w:val="20"/>
                <w:szCs w:val="20"/>
                <w:color w:val="auto"/>
              </w:rPr>
            </w:pPr>
            <w:r>
              <w:rPr>
                <w:rFonts w:ascii="Arial" w:cs="Arial" w:eastAsia="Arial" w:hAnsi="Arial"/>
                <w:sz w:val="9"/>
                <w:szCs w:val="9"/>
                <w:b w:val="1"/>
                <w:bCs w:val="1"/>
                <w:color w:val="FF4338"/>
                <w:w w:val="71"/>
              </w:rPr>
              <w:t>sellthesesecuritiesandtheyarenotsolicitinganoffer to buy</w:t>
            </w:r>
          </w:p>
        </w:tc>
        <w:tc>
          <w:tcPr>
            <w:tcW w:w="480" w:type="dxa"/>
            <w:vAlign w:val="bottom"/>
          </w:tcPr>
          <w:p>
            <w:pPr>
              <w:spacing w:after="0"/>
              <w:rPr>
                <w:sz w:val="16"/>
                <w:szCs w:val="16"/>
                <w:color w:val="auto"/>
              </w:rPr>
            </w:pPr>
          </w:p>
        </w:tc>
        <w:tc>
          <w:tcPr>
            <w:tcW w:w="2920" w:type="dxa"/>
            <w:vAlign w:val="bottom"/>
            <w:gridSpan w:val="7"/>
            <w:vMerge w:val="continue"/>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(To Prospectus dated May 2, 2025)</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0"/>
        </w:trPr>
        <w:tc>
          <w:tcPr>
            <w:tcW w:w="30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480" w:type="dxa"/>
            <w:vAlign w:val="bottom"/>
            <w:textDirection w:val="btLr"/>
          </w:tcPr>
          <w:p>
            <w:pPr>
              <w:ind w:left="42"/>
              <w:spacing w:after="0"/>
              <w:rPr>
                <w:sz w:val="20"/>
                <w:szCs w:val="20"/>
                <w:color w:val="auto"/>
              </w:rPr>
            </w:pPr>
            <w:r>
              <w:rPr>
                <w:rFonts w:ascii="Arial" w:cs="Arial" w:eastAsia="Arial" w:hAnsi="Arial"/>
                <w:sz w:val="18"/>
                <w:szCs w:val="18"/>
                <w:b w:val="1"/>
                <w:bCs w:val="1"/>
                <w:color w:val="FF4338"/>
                <w:w w:val="98"/>
              </w:rPr>
              <w:t>permitted.</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60" w:type="dxa"/>
            <w:vAlign w:val="bottom"/>
            <w:gridSpan w:val="15"/>
            <w:vMerge w:val="restart"/>
          </w:tcPr>
          <w:p>
            <w:pPr>
              <w:jc w:val="center"/>
              <w:ind w:left="391"/>
              <w:spacing w:after="0"/>
              <w:rPr>
                <w:sz w:val="20"/>
                <w:szCs w:val="20"/>
                <w:color w:val="auto"/>
              </w:rPr>
            </w:pPr>
            <w:r>
              <w:rPr>
                <w:rFonts w:ascii="Times New Roman" w:cs="Times New Roman" w:eastAsia="Times New Roman" w:hAnsi="Times New Roman"/>
                <w:sz w:val="43"/>
                <w:szCs w:val="43"/>
                <w:b w:val="1"/>
                <w:bCs w:val="1"/>
                <w:color w:val="auto"/>
                <w:w w:val="98"/>
              </w:rPr>
              <w:t>NAVIENT CORPORATION</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160" w:type="dxa"/>
            <w:vAlign w:val="bottom"/>
            <w:gridSpan w:val="15"/>
            <w:vMerge w:val="continue"/>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6"/>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32"/>
                <w:szCs w:val="32"/>
                <w:b w:val="1"/>
                <w:bCs w:val="1"/>
                <w:color w:val="auto"/>
              </w:rPr>
              <w:t xml:space="preserve">$ </w:t>
            </w:r>
          </w:p>
        </w:tc>
        <w:tc>
          <w:tcPr>
            <w:tcW w:w="1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32"/>
                <w:szCs w:val="32"/>
                <w:b w:val="1"/>
                <w:bCs w:val="1"/>
                <w:color w:val="auto"/>
              </w:rPr>
              <w:t xml:space="preserve">    </w:t>
            </w:r>
          </w:p>
        </w:tc>
        <w:tc>
          <w:tcPr>
            <w:tcW w:w="320" w:type="dxa"/>
            <w:vAlign w:val="bottom"/>
          </w:tcPr>
          <w:p>
            <w:pPr>
              <w:jc w:val="right"/>
              <w:spacing w:after="0"/>
              <w:rPr>
                <w:sz w:val="20"/>
                <w:szCs w:val="20"/>
                <w:color w:val="auto"/>
              </w:rPr>
            </w:pPr>
            <w:r>
              <w:rPr>
                <w:rFonts w:ascii="Times New Roman" w:cs="Times New Roman" w:eastAsia="Times New Roman" w:hAnsi="Times New Roman"/>
                <w:sz w:val="32"/>
                <w:szCs w:val="32"/>
                <w:b w:val="1"/>
                <w:bCs w:val="1"/>
                <w:color w:val="auto"/>
                <w:w w:val="81"/>
              </w:rPr>
              <w:t> </w:t>
            </w:r>
          </w:p>
        </w:tc>
        <w:tc>
          <w:tcPr>
            <w:tcW w:w="4200" w:type="dxa"/>
            <w:vAlign w:val="bottom"/>
            <w:gridSpan w:val="11"/>
          </w:tcPr>
          <w:p>
            <w:pPr>
              <w:ind w:left="200"/>
              <w:spacing w:after="0"/>
              <w:rPr>
                <w:sz w:val="20"/>
                <w:szCs w:val="20"/>
                <w:color w:val="auto"/>
              </w:rPr>
            </w:pPr>
            <w:r>
              <w:rPr>
                <w:rFonts w:ascii="Times New Roman" w:cs="Times New Roman" w:eastAsia="Times New Roman" w:hAnsi="Times New Roman"/>
                <w:sz w:val="32"/>
                <w:szCs w:val="32"/>
                <w:b w:val="1"/>
                <w:bCs w:val="1"/>
                <w:color w:val="auto"/>
                <w:w w:val="99"/>
              </w:rPr>
              <w:t xml:space="preserve">    % Senior Notes due 2031</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4"/>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The notes will mature on       </w:t>
            </w:r>
          </w:p>
        </w:tc>
        <w:tc>
          <w:tcPr>
            <w:tcW w:w="384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rPr>
              <w:t xml:space="preserve">   , 2031. We will pay interest on the notes on       </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5"/>
              </w:rPr>
              <w:t xml:space="preserve">   and    </w:t>
            </w:r>
          </w:p>
        </w:tc>
        <w:tc>
          <w:tcPr>
            <w:tcW w:w="32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      of each year. The first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7"/>
              </w:rPr>
              <w:t>such payment on the notes will be made on </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2"/>
              </w:rPr>
              <w:t>         , 20 </w:t>
            </w:r>
          </w:p>
        </w:tc>
        <w:tc>
          <w:tcPr>
            <w:tcW w:w="594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auto"/>
              </w:rPr>
              <w:t>. We may redeem the notes at our option and at any time, either as 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whole or in part, at the redemption price described in this prospectus supplement. Upon a Change of Control Triggering Event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(as defined herein), we may be required to make an offer to repurchase all outstanding notes as described in this prospectus</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supplement.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1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The notes will be our senior unsecured debt and will rank equally with all of our existing and future unsecured and</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unsubordinated debt.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1220" w:type="dxa"/>
            <w:vAlign w:val="bottom"/>
            <w:gridSpan w:val="3"/>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4"/>
          </w:tcPr>
          <w:p>
            <w:pPr>
              <w:spacing w:after="0"/>
              <w:rPr>
                <w:sz w:val="24"/>
                <w:szCs w:val="24"/>
                <w:color w:val="auto"/>
              </w:rPr>
            </w:pPr>
          </w:p>
        </w:tc>
        <w:tc>
          <w:tcPr>
            <w:tcW w:w="920" w:type="dxa"/>
            <w:vAlign w:val="bottom"/>
            <w:gridSpan w:val="4"/>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00" w:type="dxa"/>
            <w:vAlign w:val="bottom"/>
            <w:vMerge w:val="restart"/>
            <w:textDirection w:val="btLr"/>
          </w:tcPr>
          <w:p>
            <w:pPr>
              <w:ind w:left="254"/>
              <w:spacing w:after="0"/>
              <w:rPr>
                <w:sz w:val="20"/>
                <w:szCs w:val="20"/>
                <w:color w:val="auto"/>
              </w:rPr>
            </w:pPr>
            <w:r>
              <w:rPr>
                <w:rFonts w:ascii="Arial" w:cs="Arial" w:eastAsia="Arial" w:hAnsi="Arial"/>
                <w:sz w:val="4"/>
                <w:szCs w:val="4"/>
                <w:b w:val="1"/>
                <w:bCs w:val="1"/>
                <w:color w:val="FF4338"/>
                <w:w w:val="81"/>
              </w:rPr>
              <w:t>Theinformationinthispreliminaryprospectussupplementisnot</w:t>
            </w:r>
          </w:p>
        </w:tc>
        <w:tc>
          <w:tcPr>
            <w:tcW w:w="200" w:type="dxa"/>
            <w:vAlign w:val="bottom"/>
            <w:vMerge w:val="restart"/>
            <w:textDirection w:val="btLr"/>
          </w:tcPr>
          <w:p>
            <w:pPr>
              <w:ind w:left="154"/>
              <w:spacing w:after="0"/>
              <w:rPr>
                <w:sz w:val="20"/>
                <w:szCs w:val="20"/>
                <w:color w:val="auto"/>
              </w:rPr>
            </w:pPr>
            <w:r>
              <w:rPr>
                <w:rFonts w:ascii="Arial" w:cs="Arial" w:eastAsia="Arial" w:hAnsi="Arial"/>
                <w:sz w:val="4"/>
                <w:szCs w:val="4"/>
                <w:b w:val="1"/>
                <w:bCs w:val="1"/>
                <w:color w:val="FF4338"/>
                <w:w w:val="81"/>
              </w:rPr>
              <w:t>supplementandtheaccompanyingprospectusarenotanofferto</w:t>
            </w:r>
          </w:p>
        </w:tc>
        <w:tc>
          <w:tcPr>
            <w:tcW w:w="480" w:type="dxa"/>
            <w:vAlign w:val="bottom"/>
            <w:vMerge w:val="restart"/>
            <w:textDirection w:val="btLr"/>
          </w:tcPr>
          <w:p>
            <w:pPr>
              <w:ind w:left="203"/>
              <w:spacing w:after="0"/>
              <w:rPr>
                <w:sz w:val="20"/>
                <w:szCs w:val="20"/>
                <w:color w:val="auto"/>
              </w:rPr>
            </w:pPr>
            <w:r>
              <w:rPr>
                <w:rFonts w:ascii="Arial" w:cs="Arial" w:eastAsia="Arial" w:hAnsi="Arial"/>
                <w:sz w:val="4"/>
                <w:szCs w:val="4"/>
                <w:b w:val="1"/>
                <w:bCs w:val="1"/>
                <w:color w:val="FF4338"/>
                <w:w w:val="83"/>
              </w:rPr>
              <w:t>securitiesinanyjurisdictionwheretheofferorsalethereofisnot</w:t>
            </w:r>
          </w:p>
        </w:tc>
        <w:tc>
          <w:tcPr>
            <w:tcW w:w="10160" w:type="dxa"/>
            <w:vAlign w:val="bottom"/>
            <w:gridSpan w:val="23"/>
          </w:tcPr>
          <w:p>
            <w:pPr>
              <w:spacing w:after="0"/>
              <w:rPr>
                <w:sz w:val="20"/>
                <w:szCs w:val="20"/>
                <w:color w:val="auto"/>
              </w:rPr>
            </w:pPr>
            <w:r>
              <w:rPr>
                <w:rFonts w:ascii="Times New Roman" w:cs="Times New Roman" w:eastAsia="Times New Roman" w:hAnsi="Times New Roman"/>
                <w:sz w:val="22"/>
                <w:szCs w:val="22"/>
                <w:b w:val="1"/>
                <w:bCs w:val="1"/>
                <w:color w:val="auto"/>
              </w:rPr>
              <w:t>Investing in the notes involves risks. See “</w:t>
            </w:r>
            <w:r>
              <w:rPr>
                <w:rFonts w:ascii="Times New Roman" w:cs="Times New Roman" w:eastAsia="Times New Roman" w:hAnsi="Times New Roman"/>
                <w:sz w:val="22"/>
                <w:szCs w:val="22"/>
                <w:b w:val="1"/>
                <w:bCs w:val="1"/>
                <w:color w:val="0000EE"/>
              </w:rPr>
              <w:t>Risk Factors</w:t>
            </w:r>
            <w:r>
              <w:rPr>
                <w:rFonts w:ascii="Times New Roman" w:cs="Times New Roman" w:eastAsia="Times New Roman" w:hAnsi="Times New Roman"/>
                <w:sz w:val="22"/>
                <w:szCs w:val="22"/>
                <w:b w:val="1"/>
                <w:bCs w:val="1"/>
                <w:color w:val="auto"/>
              </w:rPr>
              <w:t>” beginning on page S-6 of this prospectus</w:t>
            </w:r>
          </w:p>
        </w:tc>
        <w:tc>
          <w:tcPr>
            <w:tcW w:w="0" w:type="dxa"/>
            <w:vAlign w:val="bottom"/>
          </w:tcPr>
          <w:p>
            <w:pPr>
              <w:spacing w:after="0"/>
              <w:rPr>
                <w:sz w:val="1"/>
                <w:szCs w:val="1"/>
                <w:color w:val="auto"/>
              </w:rPr>
            </w:pPr>
          </w:p>
        </w:tc>
      </w:tr>
      <w:tr>
        <w:trPr>
          <w:trHeight w:val="223"/>
        </w:trPr>
        <w:tc>
          <w:tcPr>
            <w:tcW w:w="3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3840" w:type="dxa"/>
            <w:vAlign w:val="bottom"/>
            <w:gridSpan w:val="10"/>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98"/>
              </w:rPr>
              <w:t>supplement, “</w:t>
            </w:r>
            <w:r>
              <w:rPr>
                <w:rFonts w:ascii="Times New Roman" w:cs="Times New Roman" w:eastAsia="Times New Roman" w:hAnsi="Times New Roman"/>
                <w:sz w:val="22"/>
                <w:szCs w:val="22"/>
                <w:b w:val="1"/>
                <w:bCs w:val="1"/>
                <w:color w:val="0000EE"/>
                <w:w w:val="98"/>
              </w:rPr>
              <w:t>Risk Factors</w:t>
            </w:r>
            <w:r>
              <w:rPr>
                <w:rFonts w:ascii="Times New Roman" w:cs="Times New Roman" w:eastAsia="Times New Roman" w:hAnsi="Times New Roman"/>
                <w:sz w:val="22"/>
                <w:szCs w:val="22"/>
                <w:b w:val="1"/>
                <w:bCs w:val="1"/>
                <w:color w:val="auto"/>
                <w:w w:val="98"/>
              </w:rPr>
              <w:t>” beginning on</w:t>
            </w:r>
          </w:p>
        </w:tc>
        <w:tc>
          <w:tcPr>
            <w:tcW w:w="1180" w:type="dxa"/>
            <w:vAlign w:val="bottom"/>
            <w:tcBorders>
              <w:top w:val="single" w:sz="8" w:color="0000EE"/>
            </w:tcBorders>
            <w:gridSpan w:val="2"/>
          </w:tcPr>
          <w:p>
            <w:pPr>
              <w:ind w:left="20"/>
              <w:spacing w:after="0" w:line="223" w:lineRule="exact"/>
              <w:rPr>
                <w:sz w:val="20"/>
                <w:szCs w:val="20"/>
                <w:color w:val="auto"/>
              </w:rPr>
            </w:pPr>
            <w:r>
              <w:rPr>
                <w:rFonts w:ascii="Times New Roman" w:cs="Times New Roman" w:eastAsia="Times New Roman" w:hAnsi="Times New Roman"/>
                <w:sz w:val="22"/>
                <w:szCs w:val="22"/>
                <w:b w:val="1"/>
                <w:bCs w:val="1"/>
                <w:color w:val="auto"/>
                <w:w w:val="95"/>
              </w:rPr>
              <w:t>page 5 of the</w:t>
            </w:r>
          </w:p>
        </w:tc>
        <w:tc>
          <w:tcPr>
            <w:tcW w:w="5140" w:type="dxa"/>
            <w:vAlign w:val="bottom"/>
            <w:gridSpan w:val="11"/>
          </w:tcPr>
          <w:p>
            <w:pPr>
              <w:ind w:left="60"/>
              <w:spacing w:after="0" w:line="223" w:lineRule="exact"/>
              <w:rPr>
                <w:sz w:val="20"/>
                <w:szCs w:val="20"/>
                <w:color w:val="auto"/>
              </w:rPr>
            </w:pPr>
            <w:r>
              <w:rPr>
                <w:rFonts w:ascii="Times New Roman" w:cs="Times New Roman" w:eastAsia="Times New Roman" w:hAnsi="Times New Roman"/>
                <w:sz w:val="22"/>
                <w:szCs w:val="22"/>
                <w:b w:val="1"/>
                <w:bCs w:val="1"/>
                <w:color w:val="auto"/>
              </w:rPr>
              <w:t>accompanying prospectus and those risk</w:t>
            </w: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70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0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10160" w:type="dxa"/>
            <w:vAlign w:val="bottom"/>
            <w:gridSpan w:val="23"/>
          </w:tcPr>
          <w:p>
            <w:pPr>
              <w:spacing w:after="0"/>
              <w:rPr>
                <w:sz w:val="20"/>
                <w:szCs w:val="20"/>
                <w:color w:val="auto"/>
              </w:rPr>
            </w:pPr>
            <w:r>
              <w:rPr>
                <w:rFonts w:ascii="Times New Roman" w:cs="Times New Roman" w:eastAsia="Times New Roman" w:hAnsi="Times New Roman"/>
                <w:sz w:val="22"/>
                <w:szCs w:val="22"/>
                <w:b w:val="1"/>
                <w:bCs w:val="1"/>
                <w:color w:val="auto"/>
              </w:rPr>
              <w:t>factors incorporated by reference into this prospectus supplement and the accompanying prospectus</w:t>
            </w:r>
          </w:p>
        </w:tc>
        <w:tc>
          <w:tcPr>
            <w:tcW w:w="0" w:type="dxa"/>
            <w:vAlign w:val="bottom"/>
          </w:tcPr>
          <w:p>
            <w:pPr>
              <w:spacing w:after="0"/>
              <w:rPr>
                <w:sz w:val="1"/>
                <w:szCs w:val="1"/>
                <w:color w:val="auto"/>
              </w:rPr>
            </w:pPr>
          </w:p>
        </w:tc>
      </w:tr>
      <w:tr>
        <w:trPr>
          <w:trHeight w:val="0"/>
        </w:trPr>
        <w:tc>
          <w:tcPr>
            <w:tcW w:w="30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gridSpan w:val="7"/>
          </w:tcPr>
          <w:p>
            <w:pPr>
              <w:jc w:val="center"/>
              <w:spacing w:after="0" w:line="1" w:lineRule="exact"/>
              <w:rPr>
                <w:sz w:val="20"/>
                <w:szCs w:val="20"/>
                <w:color w:val="auto"/>
              </w:rPr>
            </w:pPr>
            <w:r>
              <w:rPr>
                <w:rFonts w:ascii="Times New Roman" w:cs="Times New Roman" w:eastAsia="Times New Roman" w:hAnsi="Times New Roman"/>
                <w:sz w:val="1"/>
                <w:szCs w:val="1"/>
                <w:b w:val="1"/>
                <w:bCs w:val="1"/>
                <w:i w:val="1"/>
                <w:iCs w:val="1"/>
                <w:color w:val="auto"/>
              </w:rPr>
              <w:t>Joint Book-Running Managers</w:t>
            </w: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60" w:type="dxa"/>
            <w:vAlign w:val="bottom"/>
            <w:gridSpan w:val="23"/>
          </w:tcPr>
          <w:p>
            <w:pPr>
              <w:spacing w:after="0" w:line="214" w:lineRule="exact"/>
              <w:rPr>
                <w:sz w:val="20"/>
                <w:szCs w:val="20"/>
                <w:color w:val="auto"/>
              </w:rPr>
            </w:pPr>
            <w:r>
              <w:rPr>
                <w:rFonts w:ascii="Times New Roman" w:cs="Times New Roman" w:eastAsia="Times New Roman" w:hAnsi="Times New Roman"/>
                <w:sz w:val="22"/>
                <w:szCs w:val="22"/>
                <w:b w:val="1"/>
                <w:bCs w:val="1"/>
                <w:color w:val="auto"/>
              </w:rPr>
              <w:t>from our Annual Report on Form 10-K for the year ended December 31, 2025 and subsequent</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160" w:type="dxa"/>
            <w:vAlign w:val="bottom"/>
            <w:gridSpan w:val="23"/>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reports and registration statements filed from time to time with the U.S. Securities and Exchange</w:t>
            </w:r>
          </w:p>
        </w:tc>
        <w:tc>
          <w:tcPr>
            <w:tcW w:w="0" w:type="dxa"/>
            <w:vAlign w:val="bottom"/>
          </w:tcPr>
          <w:p>
            <w:pPr>
              <w:spacing w:after="0"/>
              <w:rPr>
                <w:sz w:val="1"/>
                <w:szCs w:val="1"/>
                <w:color w:val="auto"/>
              </w:rPr>
            </w:pPr>
          </w:p>
        </w:tc>
      </w:tr>
      <w:tr>
        <w:trPr>
          <w:trHeight w:val="286"/>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Commission (“SEC”).</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Per Note</w:t>
            </w:r>
          </w:p>
        </w:tc>
        <w:tc>
          <w:tcPr>
            <w:tcW w:w="3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80" w:type="dxa"/>
            <w:vAlign w:val="bottom"/>
            <w:tcBorders>
              <w:bottom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Public offering price</w:t>
            </w:r>
            <w:r>
              <w:rPr>
                <w:rFonts w:ascii="Times New Roman" w:cs="Times New Roman" w:eastAsia="Times New Roman" w:hAnsi="Times New Roman"/>
                <w:sz w:val="24"/>
                <w:szCs w:val="24"/>
                <w:color w:val="auto"/>
                <w:vertAlign w:val="superscript"/>
              </w:rPr>
              <w:t>(1)</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Navient Corporation (before expenses)</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Borders>
              <w:bottom w:val="single" w:sz="8" w:color="auto"/>
            </w:tcBorders>
            <w:gridSpan w:val="2"/>
          </w:tcPr>
          <w:p>
            <w:pPr>
              <w:spacing w:after="0"/>
              <w:rPr>
                <w:sz w:val="12"/>
                <w:szCs w:val="12"/>
                <w:color w:val="auto"/>
              </w:rPr>
            </w:pPr>
          </w:p>
        </w:tc>
        <w:tc>
          <w:tcPr>
            <w:tcW w:w="260" w:type="dxa"/>
            <w:vAlign w:val="bottom"/>
            <w:gridSpan w:val="2"/>
          </w:tcPr>
          <w:p>
            <w:pPr>
              <w:spacing w:after="0"/>
              <w:rPr>
                <w:sz w:val="12"/>
                <w:szCs w:val="12"/>
                <w:color w:val="auto"/>
              </w:rPr>
            </w:pPr>
          </w:p>
        </w:tc>
        <w:tc>
          <w:tcPr>
            <w:tcW w:w="1180" w:type="dxa"/>
            <w:vAlign w:val="bottom"/>
            <w:gridSpan w:val="2"/>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1180" w:type="dxa"/>
            <w:vAlign w:val="bottom"/>
            <w:gridSpan w:val="2"/>
          </w:tcPr>
          <w:p>
            <w:pPr>
              <w:spacing w:after="0"/>
              <w:rPr>
                <w:sz w:val="12"/>
                <w:szCs w:val="12"/>
                <w:color w:val="auto"/>
              </w:rPr>
            </w:pPr>
          </w:p>
        </w:tc>
        <w:tc>
          <w:tcPr>
            <w:tcW w:w="1520" w:type="dxa"/>
            <w:vAlign w:val="bottom"/>
            <w:gridSpan w:val="4"/>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(1)  Plus accrued interest, if any, from 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33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w w:val="99"/>
              </w:rPr>
              <w:t>   , 2026, if settlement occurs after that date.</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1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this prospectus supplement or the accompanying prospectus is truthful or complete. Any representation to the contrary</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is a criminal offense. Obligations of Navient Corporation and any subsidiary of Navient Corporation are not guaranteed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1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by the full faith and credit of the United States of America. Neither Navient Corporation nor any subsidiary of Navient</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1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Corporation is a government-sponsored enterprise or an instrumentality of the United States of America.</w:t>
            </w: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1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The underwriters expect to deliver the notes to purchasers in book-entry form only through The Depository Trust Company for</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 xml:space="preserve">the accounts of its participants, including Clearstream and Euroclear, on or about    </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2026.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gridSpan w:val="4"/>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974"/>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25"/>
                <w:szCs w:val="25"/>
                <w:b w:val="1"/>
                <w:bCs w:val="1"/>
                <w:color w:val="auto"/>
              </w:rPr>
              <w:t>BofA Securities</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gridSpan w:val="4"/>
          </w:tcPr>
          <w:p>
            <w:pPr>
              <w:ind w:left="120"/>
              <w:spacing w:after="0"/>
              <w:rPr>
                <w:sz w:val="20"/>
                <w:szCs w:val="20"/>
                <w:color w:val="auto"/>
              </w:rPr>
            </w:pPr>
            <w:r>
              <w:rPr>
                <w:rFonts w:ascii="Times New Roman" w:cs="Times New Roman" w:eastAsia="Times New Roman" w:hAnsi="Times New Roman"/>
                <w:sz w:val="25"/>
                <w:szCs w:val="25"/>
                <w:b w:val="1"/>
                <w:bCs w:val="1"/>
                <w:color w:val="auto"/>
              </w:rPr>
              <w:t>Barclays</w:t>
            </w:r>
          </w:p>
        </w:tc>
        <w:tc>
          <w:tcPr>
            <w:tcW w:w="1900" w:type="dxa"/>
            <w:vAlign w:val="bottom"/>
            <w:gridSpan w:val="4"/>
          </w:tcPr>
          <w:p>
            <w:pPr>
              <w:ind w:left="340"/>
              <w:spacing w:after="0"/>
              <w:rPr>
                <w:sz w:val="20"/>
                <w:szCs w:val="20"/>
                <w:color w:val="auto"/>
              </w:rPr>
            </w:pPr>
            <w:r>
              <w:rPr>
                <w:rFonts w:ascii="Times New Roman" w:cs="Times New Roman" w:eastAsia="Times New Roman" w:hAnsi="Times New Roman"/>
                <w:sz w:val="25"/>
                <w:szCs w:val="25"/>
                <w:b w:val="1"/>
                <w:bCs w:val="1"/>
                <w:color w:val="auto"/>
              </w:rPr>
              <w:t>J.P. Morgan</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gridSpan w:val="6"/>
          </w:tcPr>
          <w:p>
            <w:pPr>
              <w:ind w:left="40"/>
              <w:spacing w:after="0"/>
              <w:rPr>
                <w:sz w:val="20"/>
                <w:szCs w:val="20"/>
                <w:color w:val="auto"/>
              </w:rPr>
            </w:pPr>
            <w:r>
              <w:rPr>
                <w:rFonts w:ascii="Times New Roman" w:cs="Times New Roman" w:eastAsia="Times New Roman" w:hAnsi="Times New Roman"/>
                <w:sz w:val="25"/>
                <w:szCs w:val="25"/>
                <w:b w:val="1"/>
                <w:bCs w:val="1"/>
                <w:color w:val="auto"/>
              </w:rPr>
              <w:t>RBC Capital Markets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-6896735</wp:posOffset>
            </wp:positionV>
            <wp:extent cx="1748790" cy="317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317500"/>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sectPr>
      </w:pPr>
    </w:p>
    <w:p>
      <w:pPr>
        <w:spacing w:after="0" w:line="1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 2026</w:t>
      </w:r>
    </w:p>
    <w:p>
      <w:pPr>
        <w:sectPr>
          <w:pgSz w:w="11900" w:h="16838" w:orient="portrait"/>
          <w:cols w:equalWidth="0" w:num="1">
            <w:col w:w="11140"/>
          </w:cols>
          <w:pgMar w:left="320" w:top="21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60" w:type="dxa"/>
            <w:vAlign w:val="bottom"/>
            <w:gridSpan w:val="2"/>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60" w:type="dxa"/>
            <w:vAlign w:val="bottom"/>
            <w:gridSpan w:val="2"/>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4"/>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9"/>
            <w:vMerge w:val="continue"/>
          </w:tcPr>
          <w:p>
            <w:pPr>
              <w:spacing w:after="0"/>
              <w:rPr>
                <w:sz w:val="14"/>
                <w:szCs w:val="14"/>
                <w:color w:val="auto"/>
              </w:rPr>
            </w:pPr>
          </w:p>
        </w:tc>
        <w:tc>
          <w:tcPr>
            <w:tcW w:w="7120" w:type="dxa"/>
            <w:vAlign w:val="bottom"/>
            <w:gridSpan w:val="4"/>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NOTICE TO BENEFIT PLAN INVESTORS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S-ii</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7"/>
              </w:rPr>
              <w:t>FORWARD LOOKING STATEMENTS</w:t>
            </w:r>
          </w:p>
        </w:tc>
        <w:tc>
          <w:tcPr>
            <w:tcW w:w="340" w:type="dxa"/>
            <w:vAlign w:val="bottom"/>
            <w:tcBorders>
              <w:top w:val="single" w:sz="8" w:color="0000EE"/>
            </w:tcBorders>
            <w:gridSpan w:val="2"/>
          </w:tcPr>
          <w:p>
            <w:pPr>
              <w:spacing w:after="0"/>
              <w:rPr>
                <w:sz w:val="17"/>
                <w:szCs w:val="17"/>
                <w:color w:val="auto"/>
              </w:rPr>
            </w:pPr>
          </w:p>
        </w:tc>
        <w:tc>
          <w:tcPr>
            <w:tcW w:w="730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S-ii</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9640" w:type="dxa"/>
            <w:vAlign w:val="bottom"/>
            <w:gridSpan w:val="21"/>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9280" w:type="dxa"/>
            <w:vAlign w:val="bottom"/>
            <w:gridSpan w:val="19"/>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HISTORICAL FINANCIAL DATA</w:t>
            </w:r>
          </w:p>
        </w:tc>
        <w:tc>
          <w:tcPr>
            <w:tcW w:w="700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5"/>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908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NOTES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UNITED STATES FEDERAL INCOME TAX CONSIDERATIONS FOR NON-U.S. HOLDERS</w:t>
            </w:r>
          </w:p>
        </w:tc>
        <w:tc>
          <w:tcPr>
            <w:tcW w:w="354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S-24</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S-32</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S-32</w:t>
            </w:r>
          </w:p>
        </w:tc>
        <w:tc>
          <w:tcPr>
            <w:tcW w:w="0" w:type="dxa"/>
            <w:vAlign w:val="bottom"/>
          </w:tcPr>
          <w:p>
            <w:pPr>
              <w:spacing w:after="0"/>
              <w:rPr>
                <w:sz w:val="1"/>
                <w:szCs w:val="1"/>
                <w:color w:val="auto"/>
              </w:rPr>
            </w:pPr>
          </w:p>
        </w:tc>
      </w:tr>
      <w:tr>
        <w:trPr>
          <w:trHeight w:val="412"/>
        </w:trPr>
        <w:tc>
          <w:tcPr>
            <w:tcW w:w="3800" w:type="dxa"/>
            <w:vAlign w:val="bottom"/>
            <w:tcBorders>
              <w:top w:val="single" w:sz="8" w:color="0000EE"/>
            </w:tcBorders>
            <w:gridSpan w:val="21"/>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760" w:type="dxa"/>
            <w:vAlign w:val="bottom"/>
            <w:gridSpan w:val="2"/>
            <w:vMerge w:val="restart"/>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3800" w:type="dxa"/>
            <w:vAlign w:val="bottom"/>
            <w:tcBorders>
              <w:top w:val="single" w:sz="8" w:color="0000EE"/>
            </w:tcBorders>
            <w:gridSpan w:val="21"/>
            <w:vMerge w:val="continue"/>
          </w:tcPr>
          <w:p>
            <w:pPr>
              <w:spacing w:after="0"/>
              <w:rPr>
                <w:sz w:val="14"/>
                <w:szCs w:val="14"/>
                <w:color w:val="auto"/>
              </w:rPr>
            </w:pPr>
          </w:p>
        </w:tc>
        <w:tc>
          <w:tcPr>
            <w:tcW w:w="6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ABOUT NAVIENT CORPORATION</w:t>
            </w:r>
          </w:p>
        </w:tc>
        <w:tc>
          <w:tcPr>
            <w:tcW w:w="764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82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 WE MAY OFFER</w:t>
            </w:r>
          </w:p>
        </w:tc>
        <w:tc>
          <w:tcPr>
            <w:tcW w:w="816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380" w:type="dxa"/>
            <w:vAlign w:val="bottom"/>
            <w:tcBorders>
              <w:top w:val="single" w:sz="8" w:color="0000EE"/>
            </w:tcBorders>
            <w:gridSpan w:val="2"/>
          </w:tcPr>
          <w:p>
            <w:pPr>
              <w:spacing w:after="0"/>
              <w:rPr>
                <w:sz w:val="17"/>
                <w:szCs w:val="17"/>
                <w:color w:val="auto"/>
              </w:rPr>
            </w:pPr>
          </w:p>
        </w:tc>
        <w:tc>
          <w:tcPr>
            <w:tcW w:w="770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54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00" w:type="dxa"/>
            <w:vAlign w:val="bottom"/>
            <w:tcBorders>
              <w:top w:val="single" w:sz="8" w:color="0000EE"/>
            </w:tcBorders>
            <w:gridSpan w:val="4"/>
          </w:tcPr>
          <w:p>
            <w:pPr>
              <w:spacing w:after="0"/>
              <w:rPr>
                <w:sz w:val="17"/>
                <w:szCs w:val="17"/>
                <w:color w:val="auto"/>
              </w:rPr>
            </w:pPr>
          </w:p>
        </w:tc>
        <w:tc>
          <w:tcPr>
            <w:tcW w:w="850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20"/>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 using a shelf registration process. Under the shelf registration process, we may offer, issue and sell any combination of the securities described in the accompanying prospectus. In the accompanying prospectus, we provide you with a general description of the securities we may offer from time to time under our shelf registration statement. In this prospectus supplement, we provide you with specific information about the notes that we are selling in this offering. Both this prospectus supplement and the accompanying prospectus include important information about us, our debt securities and other information you should know before investing in the notes. This prospectus supplement also adds, updates and changes information contained in the accompanying prospectus. To the extent that any statement that we make in this prospectus supplement is inconsistent with the statements made in the accompanying prospectus, the statements made in the accompanying prospectus are deemed modified or superseded by the statements made in this prospectus supplement. You should read both this prospectus supplement and the accompanying prospectus as well as additional information described under “Where You Can Find More Information” on page S-32 of this prospectus supplement before investing in the notes.</w:t>
      </w:r>
    </w:p>
    <w:p>
      <w:pPr>
        <w:spacing w:after="0" w:line="19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incorporated by reference or provided in this prospectus supplement and the accompanying prospectus or any free writing prospectus prepared by or on behalf of us. Neither we nor the underwriters have authorized anyone to provide you with additional or different information. If anyone provided you with additional or different information, you should not rely on it. Neither we nor the underwriters are making an offer to sell these securities in any jurisdiction where the offer or sale is not permitted. You should assume that the information contained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TO BENEFIT PLAN INVESTORS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 investor is a benefit plan investor as defined in Section 3(42) of the Employee Retirement Income Security Act of 1974, as amended (“ERISA”), the benefit plan investor and the person making the decision on behalf of the benefit plan investor (the “Plan Fiduciary”), will be deemed to have represented and warranted that as long as the investor holds any notes, including any interest in a note, its acquisition, holding and disposition of the notes (or any interest) will not constitute or result in a non-exempt prohibited transaction under Section 406 of ERISA or Section 4975 of the Internal Revenue Code of 1986, as amended (the “Code”). Neither we nor the underwriters or any of our or their affiliates is hereby undertaking to provide impartial investment advice, or to give advice in a fiduciary capacity to a benefit plan investor, in connection with any investment in the notes.</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information incorporated by reference herein or therein contain forward-looking statements relating to future events or our future results. These statements are forward-looking statements within the meaning of Section 27A of the Securities Act of 1933, as amended (the “Securities Act”), and Section 21E of the Securities Exchange Act of 1934, as amended (the “Exchange Act”), and are intended to come within the safe harbor protection provided by those sections. Statements that are not historical facts, including statements about our beliefs, opinions, or expectations and statements that assume or are dependent upon future events, are forward-looking statements and often contain words such as “expect,” “assume,” “anticipate,” “intend,” “plan,” “believe,” “seek,” “see,” “will,” “would,” “may,” “could,” “should,” “goals,” or “target.” Such statements are based on management’s expectations as of the date of this prospectus supplement and involve many risks and uncertainties that could cause our actual</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results to differ materially from those expressed or implied in our forward-looking statements. Such risks and uncertainties are discussed more fully under the caption “Risk Factors” included in our Annual Report on Form 10-K for the year ended December 31, 2025 and include, but are not limited to the following:</w:t>
      </w:r>
    </w:p>
    <w:p>
      <w:pPr>
        <w:spacing w:after="0" w:line="81" w:lineRule="exact"/>
        <w:rPr>
          <w:sz w:val="20"/>
          <w:szCs w:val="20"/>
          <w:color w:val="auto"/>
        </w:rPr>
      </w:pPr>
    </w:p>
    <w:p>
      <w:pPr>
        <w:ind w:left="1080" w:right="1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the potential impact of artificial intelligence, inflation and interest rates on Navient and its clients and customers and on the creditworthiness of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defaults on education loans held by us;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repayment trends on education loans including prepayments or deferrals resulting from new interpretations or the timing of the execution and implementation of current laws, rules or regulations or future laws, executive orders or other policy initiatives that operate to encourage or require consolidation, abolish existing or create additional income-based repayment or debt forgiveness programs or establish other policies and programs which may increase or decrease the prepayment rates on education loans and accelerate or slow down the repayment of the bonds in our securitization trusts;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our credit ratings;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applicable laws, rules, regulations and government policies, as well as changing regulatory and governmental oversight;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general interest rate environment, including the availability of any relevant money-market index rate or the relationship between the relevant money-market index rate and the rate at which our assets are priced;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characteristics of our assets do not always match those of our funding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conditions or an inability to effectively manage our liquidity risk or access liquidity could negatively impact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funding in the capital markets;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earn Floor Income (as defined in our Annual Report on Form 10-K for the year ended December 31, 2025) and our ability to enter into hedges relative to that Floor Income are dependent on the future interest rate environment and therefore is variable;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derivatives exposes us to credit and market risk;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and effectively align our cost structure with our business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or breach of our operating systems, infrastructure or information technology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any third party providing us material services or products or a breach or violation of law by one of these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new products, strategic initiatives and investments or divestitures that we pursue;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risk and social factors.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also requires management to make certain estimates and assumptions including estimates and assumptions about future events. These estimates or assumptions may prove to be incorrect and actual results could differ materially. All forward-looking statements contained in this prospectus supplement are qualified by these cautionary statements and are made only as of the date of this document. We do not undertake any obligation to update or revise these forward-looking statements except as required by law.</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Given these risks and uncertainties, readers are cautioned not to place undue reliance on such forward-looking statements. For more information regarding these risks and uncertainties as well as certain additional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risks that we face, investors should review the risks described in this prospectus supplement and the accompanying prospectus and those incorporated by reference into this prospectus supplement and the accompanying prospectus, including those risks in our Annual Report on Form 10-K for the year ended December 31, 2025 and subsequent reports and registration statements filed from time to time with the SEC.</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reviewing any agreements incorporated by reference in this prospectus supplement or the accompanying prospectus, please remember they are included to provide you with information regarding the terms of such agreement and are not intended to provide any other factual or disclosure information about us. The agreements may contain representations and warranties by us, which should not in all instances be treated as categorical statements of fact, but rather as a way of allocating the risk to one of the parties should those statements prove to be inaccurate. The representations and warranties were made only as of the date of the relevant agreement or such other date or dates as may be specified in such agreement and are subject to more recent developments. Accordingly, these representations and warranties alone may not describe the actual state of affairs as of the date they were made or at any other time.</w:t>
      </w: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44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more fully described elsewhere in this prospectus supplement and the accompanying prospectus. This summary does not contain all of the information you should consider before investing in the notes. You should read this prospectus supplement, the accompanying prospectus, any free writing prospectus and the documents incorporated by reference herein and therein carefully, especially the risks of investing in the notes discussed in “Risk Factors” below and in the incorporated documents. References herein to a fiscal year mean the fiscal year ended December 31, 2025.</w:t>
      </w:r>
    </w:p>
    <w:p>
      <w:pPr>
        <w:spacing w:after="0" w:line="291" w:lineRule="exact"/>
        <w:rPr>
          <w:sz w:val="20"/>
          <w:szCs w:val="20"/>
          <w:color w:val="auto"/>
        </w:rPr>
      </w:pPr>
    </w:p>
    <w:p>
      <w:pPr>
        <w:ind w:left="300" w:right="62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the remainder of this prospectus supplement, except as otherwise indicated, references to “we,” “us,” “our,” “Navient,” “Navient Corporation,” and the “Company” refer collectively to Navient Corporation and its consolidated subsidiaries.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create long-term value for customers and investors with responsible lending, flexible refinancing, trusted servicing oversight, and decades of education finance and portfolio management expertise. Through our Earnest brand’s business, we help customers confidently achieve financial success through digital financial services. Our employees thrive in a culture of belonging, where they are supported and proud to deliver meaningful outcomes.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business consists of:</w:t>
      </w:r>
    </w:p>
    <w:p>
      <w:pPr>
        <w:spacing w:after="0" w:line="131" w:lineRule="exact"/>
        <w:rPr>
          <w:sz w:val="20"/>
          <w:szCs w:val="20"/>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Lending</w:t>
      </w:r>
    </w:p>
    <w:p>
      <w:pPr>
        <w:spacing w:after="0" w:line="117" w:lineRule="exact"/>
        <w:rPr>
          <w:sz w:val="20"/>
          <w:szCs w:val="20"/>
          <w:color w:val="auto"/>
        </w:rPr>
      </w:pPr>
    </w:p>
    <w:p>
      <w:pPr>
        <w:ind w:left="1260"/>
        <w:spacing w:after="0" w:line="266" w:lineRule="auto"/>
        <w:rPr>
          <w:sz w:val="20"/>
          <w:szCs w:val="20"/>
          <w:color w:val="auto"/>
        </w:rPr>
      </w:pPr>
      <w:r>
        <w:rPr>
          <w:rFonts w:ascii="Times New Roman" w:cs="Times New Roman" w:eastAsia="Times New Roman" w:hAnsi="Times New Roman"/>
          <w:sz w:val="18"/>
          <w:szCs w:val="18"/>
          <w:color w:val="auto"/>
        </w:rPr>
        <w:t>We own and manage a portfolio of $15.6 billion of Private Education Loans. Through our Earnest brand we help students and families succeed with education lending and digital financial services, originating Earnest branded in-school student loans and refinancing products. In the first quarter of 2026, we originated $818 million of Private Education Loans.</w:t>
      </w:r>
    </w:p>
    <w:p>
      <w:pPr>
        <w:spacing w:after="0" w:line="81" w:lineRule="exact"/>
        <w:rPr>
          <w:sz w:val="20"/>
          <w:szCs w:val="20"/>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Education Loans</w:t>
      </w:r>
    </w:p>
    <w:p>
      <w:pPr>
        <w:spacing w:after="0" w:line="117" w:lineRule="exact"/>
        <w:rPr>
          <w:sz w:val="20"/>
          <w:szCs w:val="20"/>
          <w:color w:val="auto"/>
        </w:rPr>
      </w:pPr>
    </w:p>
    <w:p>
      <w:pPr>
        <w:ind w:left="1260" w:right="20"/>
        <w:spacing w:after="0" w:line="282" w:lineRule="auto"/>
        <w:rPr>
          <w:sz w:val="20"/>
          <w:szCs w:val="20"/>
          <w:color w:val="auto"/>
        </w:rPr>
      </w:pPr>
      <w:r>
        <w:rPr>
          <w:rFonts w:ascii="Times New Roman" w:cs="Times New Roman" w:eastAsia="Times New Roman" w:hAnsi="Times New Roman"/>
          <w:sz w:val="18"/>
          <w:szCs w:val="18"/>
          <w:color w:val="auto"/>
        </w:rPr>
        <w:t>We own and manage a portfolio of $27.2 billion of federally guaranteed Federal Family Education Loan Program (FFELP) Loans. We support the success of our customers and ensure a compliant, efficient customer experience.</w:t>
      </w:r>
    </w:p>
    <w:p>
      <w:pPr>
        <w:spacing w:after="0" w:line="162" w:lineRule="exact"/>
        <w:rPr>
          <w:sz w:val="20"/>
          <w:szCs w:val="20"/>
          <w:color w:val="auto"/>
        </w:rPr>
      </w:pPr>
    </w:p>
    <w:p>
      <w:pPr>
        <w:ind w:left="300" w:right="460" w:firstLine="426"/>
        <w:spacing w:after="0" w:line="266" w:lineRule="auto"/>
        <w:rPr>
          <w:sz w:val="20"/>
          <w:szCs w:val="20"/>
          <w:color w:val="auto"/>
        </w:rPr>
      </w:pPr>
      <w:r>
        <w:rPr>
          <w:rFonts w:ascii="Times New Roman" w:cs="Times New Roman" w:eastAsia="Times New Roman" w:hAnsi="Times New Roman"/>
          <w:sz w:val="18"/>
          <w:szCs w:val="18"/>
          <w:color w:val="auto"/>
        </w:rPr>
        <w:t>We previously provided both healthcare and government business processing services. Our healthcare services business was sold in September 2024 and our government services business was sold in February 2025, marking the end of Navient providing business processing solutions.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13865 Sunrise Valley Drive, Herndon, Virginia 20171. Our telephone number is (302) 283-8000. Our website address is </w:t>
      </w:r>
      <w:r>
        <w:rPr>
          <w:rFonts w:ascii="Times New Roman" w:cs="Times New Roman" w:eastAsia="Times New Roman" w:hAnsi="Times New Roman"/>
          <w:sz w:val="18"/>
          <w:szCs w:val="18"/>
          <w:u w:val="single" w:color="auto"/>
          <w:color w:val="auto"/>
        </w:rPr>
        <w:t>www.navient.com</w:t>
      </w:r>
      <w:r>
        <w:rPr>
          <w:rFonts w:ascii="Times New Roman" w:cs="Times New Roman" w:eastAsia="Times New Roman" w:hAnsi="Times New Roman"/>
          <w:sz w:val="18"/>
          <w:szCs w:val="18"/>
          <w:color w:val="auto"/>
        </w:rPr>
        <w:t>. Information on, or accessible through, our website does not constitute part of this prospectus supplement or the accompanying prospectus.</w:t>
      </w:r>
    </w:p>
    <w:p>
      <w:pPr>
        <w:spacing w:after="0" w:line="176"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For a further discussion of our business, we urge you to read the documents incorporated by reference herein, including our Annual Report on Form 10-K for the year ended December 31, 2025. See “Where You Can Find More Information” in this prospectus supplement.</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3500" w:type="dxa"/>
            <w:vAlign w:val="bottom"/>
            <w:tcBorders>
              <w:top w:val="single" w:sz="8" w:color="auto"/>
              <w:left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1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3100" w:type="dxa"/>
            <w:vAlign w:val="bottom"/>
            <w:tcBorders>
              <w:top w:val="single" w:sz="8" w:color="auto"/>
              <w:right w:val="single" w:sz="8" w:color="auto"/>
            </w:tcBorders>
          </w:tcPr>
          <w:p>
            <w:pPr>
              <w:spacing w:after="0"/>
              <w:rPr>
                <w:sz w:val="24"/>
                <w:szCs w:val="24"/>
                <w:color w:val="auto"/>
              </w:rPr>
            </w:pPr>
          </w:p>
        </w:tc>
      </w:tr>
      <w:tr>
        <w:trPr>
          <w:trHeight w:val="459"/>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4420" w:type="dxa"/>
            <w:vAlign w:val="bottom"/>
            <w:gridSpan w:val="6"/>
          </w:tcPr>
          <w:p>
            <w:pPr>
              <w:ind w:left="720"/>
              <w:spacing w:after="0"/>
              <w:rPr>
                <w:sz w:val="20"/>
                <w:szCs w:val="20"/>
                <w:color w:val="auto"/>
              </w:rPr>
            </w:pPr>
            <w:r>
              <w:rPr>
                <w:rFonts w:ascii="Times New Roman" w:cs="Times New Roman" w:eastAsia="Times New Roman" w:hAnsi="Times New Roman"/>
                <w:sz w:val="18"/>
                <w:szCs w:val="18"/>
                <w:color w:val="auto"/>
              </w:rPr>
              <w:t>Navient Corporation</w:t>
            </w:r>
          </w:p>
        </w:tc>
        <w:tc>
          <w:tcPr>
            <w:tcW w:w="3100" w:type="dxa"/>
            <w:vAlign w:val="bottom"/>
            <w:tcBorders>
              <w:right w:val="single" w:sz="8" w:color="auto"/>
            </w:tcBorders>
          </w:tcPr>
          <w:p>
            <w:pPr>
              <w:spacing w:after="0"/>
              <w:rPr>
                <w:sz w:val="24"/>
                <w:szCs w:val="24"/>
                <w:color w:val="auto"/>
              </w:rPr>
            </w:pPr>
          </w:p>
        </w:tc>
      </w:tr>
      <w:tr>
        <w:trPr>
          <w:trHeight w:val="594"/>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1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6"/>
              </w:rPr>
              <w:t>   million aggregate principal amount of </w:t>
            </w:r>
          </w:p>
        </w:tc>
        <w:tc>
          <w:tcPr>
            <w:tcW w:w="31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Senior Notes due 2031.</w:t>
            </w:r>
          </w:p>
        </w:tc>
      </w:tr>
      <w:tr>
        <w:trPr>
          <w:trHeight w:val="454"/>
        </w:trPr>
        <w:tc>
          <w:tcPr>
            <w:tcW w:w="3500" w:type="dxa"/>
            <w:vAlign w:val="bottom"/>
            <w:tcBorders>
              <w:left w:val="single" w:sz="8" w:color="auto"/>
            </w:tcBorders>
          </w:tcPr>
          <w:p>
            <w:pPr>
              <w:spacing w:after="0"/>
              <w:rPr>
                <w:sz w:val="24"/>
                <w:szCs w:val="24"/>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We will issue the notes under a base indenture, dated as of July 18, 2014, between us and</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The Bank of New York Mellon, as trustee, as supplemented by a supplemental indenture to</w:t>
            </w:r>
          </w:p>
        </w:tc>
      </w:tr>
      <w:tr>
        <w:trPr>
          <w:trHeight w:val="234"/>
        </w:trPr>
        <w:tc>
          <w:tcPr>
            <w:tcW w:w="3500" w:type="dxa"/>
            <w:vAlign w:val="bottom"/>
            <w:tcBorders>
              <w:left w:val="single" w:sz="8" w:color="auto"/>
            </w:tcBorders>
          </w:tcPr>
          <w:p>
            <w:pPr>
              <w:spacing w:after="0"/>
              <w:rPr>
                <w:sz w:val="20"/>
                <w:szCs w:val="20"/>
                <w:color w:val="auto"/>
              </w:rPr>
            </w:pPr>
          </w:p>
        </w:tc>
        <w:tc>
          <w:tcPr>
            <w:tcW w:w="4420" w:type="dxa"/>
            <w:vAlign w:val="bottom"/>
            <w:gridSpan w:val="6"/>
          </w:tcPr>
          <w:p>
            <w:pPr>
              <w:ind w:left="720"/>
              <w:spacing w:after="0"/>
              <w:rPr>
                <w:sz w:val="20"/>
                <w:szCs w:val="20"/>
                <w:color w:val="auto"/>
              </w:rPr>
            </w:pPr>
            <w:r>
              <w:rPr>
                <w:rFonts w:ascii="Times New Roman" w:cs="Times New Roman" w:eastAsia="Times New Roman" w:hAnsi="Times New Roman"/>
                <w:sz w:val="18"/>
                <w:szCs w:val="18"/>
                <w:color w:val="auto"/>
              </w:rPr>
              <w:t>be entered into between us and the trustee.</w:t>
            </w:r>
          </w:p>
        </w:tc>
        <w:tc>
          <w:tcPr>
            <w:tcW w:w="3100" w:type="dxa"/>
            <w:vAlign w:val="bottom"/>
            <w:tcBorders>
              <w:right w:val="single" w:sz="8" w:color="auto"/>
            </w:tcBorders>
          </w:tcPr>
          <w:p>
            <w:pPr>
              <w:spacing w:after="0"/>
              <w:rPr>
                <w:sz w:val="20"/>
                <w:szCs w:val="20"/>
                <w:color w:val="auto"/>
              </w:rPr>
            </w:pPr>
          </w:p>
        </w:tc>
      </w:tr>
      <w:tr>
        <w:trPr>
          <w:trHeight w:val="459"/>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4420" w:type="dxa"/>
            <w:vAlign w:val="bottom"/>
            <w:gridSpan w:val="6"/>
          </w:tcPr>
          <w:p>
            <w:pPr>
              <w:ind w:left="720"/>
              <w:spacing w:after="0"/>
              <w:rPr>
                <w:sz w:val="20"/>
                <w:szCs w:val="20"/>
                <w:color w:val="auto"/>
              </w:rPr>
            </w:pPr>
            <w:r>
              <w:rPr>
                <w:rFonts w:ascii="Times New Roman" w:cs="Times New Roman" w:eastAsia="Times New Roman" w:hAnsi="Times New Roman"/>
                <w:sz w:val="18"/>
                <w:szCs w:val="18"/>
                <w:color w:val="auto"/>
              </w:rPr>
              <w:t>The notes will mature on            , 2031.</w:t>
            </w:r>
          </w:p>
        </w:tc>
        <w:tc>
          <w:tcPr>
            <w:tcW w:w="3100" w:type="dxa"/>
            <w:vAlign w:val="bottom"/>
            <w:tcBorders>
              <w:right w:val="single" w:sz="8" w:color="auto"/>
            </w:tcBorders>
          </w:tcPr>
          <w:p>
            <w:pPr>
              <w:spacing w:after="0"/>
              <w:rPr>
                <w:sz w:val="24"/>
                <w:szCs w:val="24"/>
                <w:color w:val="auto"/>
              </w:rPr>
            </w:pPr>
          </w:p>
        </w:tc>
      </w:tr>
      <w:tr>
        <w:trPr>
          <w:trHeight w:val="473"/>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88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3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per year.</w:t>
            </w:r>
          </w:p>
        </w:tc>
        <w:tc>
          <w:tcPr>
            <w:tcW w:w="3100" w:type="dxa"/>
            <w:vAlign w:val="bottom"/>
            <w:tcBorders>
              <w:right w:val="single" w:sz="8" w:color="auto"/>
            </w:tcBorders>
          </w:tcPr>
          <w:p>
            <w:pPr>
              <w:spacing w:after="0"/>
              <w:rPr>
                <w:sz w:val="24"/>
                <w:szCs w:val="24"/>
                <w:color w:val="auto"/>
              </w:rPr>
            </w:pPr>
          </w:p>
        </w:tc>
      </w:tr>
      <w:tr>
        <w:trPr>
          <w:trHeight w:val="473"/>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88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2"/>
              </w:rPr>
              <w:t>and 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      of each year, commencing on </w:t>
            </w:r>
          </w:p>
        </w:tc>
        <w:tc>
          <w:tcPr>
            <w:tcW w:w="31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 20   .</w:t>
            </w:r>
          </w:p>
        </w:tc>
      </w:tr>
      <w:tr>
        <w:trPr>
          <w:trHeight w:val="454"/>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158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 xml:space="preserve">Prior to 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57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 2031 (three months prior to their maturity date) (the “Par Call Date”),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the Company may redeem the notes at its option, in whole or in part, at any time and from</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time to time, at a redemption price (expressed as a percentage of principal amount and</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rounded to three decimal places) equal to the greater of: (1) (a) the sum of the present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values of the remaining scheduled payments of principal and interest thereon discounted to</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the redemption date (assuming the notes matured on the Par Call Date) on a semi-annual</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basis (assuming a 360-day year consisting of twelve 30-day months) at the Treasury Rate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(as defined herein) plus 50 basis points less (b) interest accrued to the date of redemption,</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and (2) 100% of the principal amount of the notes to be redeemed, plus, in either case,</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accrued and unpaid interest thereon to the redemption date.</w:t>
            </w:r>
          </w:p>
        </w:tc>
      </w:tr>
      <w:tr>
        <w:trPr>
          <w:trHeight w:val="441"/>
        </w:trPr>
        <w:tc>
          <w:tcPr>
            <w:tcW w:w="3500" w:type="dxa"/>
            <w:vAlign w:val="bottom"/>
            <w:tcBorders>
              <w:left w:val="single" w:sz="8" w:color="auto"/>
            </w:tcBorders>
          </w:tcPr>
          <w:p>
            <w:pPr>
              <w:spacing w:after="0"/>
              <w:rPr>
                <w:sz w:val="24"/>
                <w:szCs w:val="24"/>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On or after the Par Call Date, the Company may redeem the notes, in whole or in part, at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any time and from time to time, at a redemption price equal to 100% of the principal</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amount of the notes being redeemed plus accrued and unpaid interest thereon to the</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redemption date. See “Description of Notes—Optional Redemption.”</w:t>
            </w:r>
          </w:p>
        </w:tc>
      </w:tr>
      <w:tr>
        <w:trPr>
          <w:trHeight w:val="441"/>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 of Control Triggering Event</w:t>
            </w: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Upon the occurrence of both (1) a Change of Conrol (as defined herein) of us and (2) a</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downgrade of the notes by at least one modifier by any two of the three Rating Agencies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(as defined herein) within a specified period, unless we have exercised our optional</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redemption right, if any, to redeem the notes in full, we will offer to repurchase any and all</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of each holder’s notes at a price in cash equal to 101% of the aggregate principal amount of</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the notes repurchased, plus accrued and unpaid interest, if any, thereon, to, but not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including, the date of repurchase. See “Description of Notes—Repurchase Upon a Change</w:t>
            </w:r>
          </w:p>
        </w:tc>
      </w:tr>
      <w:tr>
        <w:trPr>
          <w:trHeight w:val="234"/>
        </w:trPr>
        <w:tc>
          <w:tcPr>
            <w:tcW w:w="3500" w:type="dxa"/>
            <w:vAlign w:val="bottom"/>
            <w:tcBorders>
              <w:left w:val="single" w:sz="8" w:color="auto"/>
            </w:tcBorders>
          </w:tcPr>
          <w:p>
            <w:pPr>
              <w:spacing w:after="0"/>
              <w:rPr>
                <w:sz w:val="20"/>
                <w:szCs w:val="20"/>
                <w:color w:val="auto"/>
              </w:rPr>
            </w:pPr>
          </w:p>
        </w:tc>
        <w:tc>
          <w:tcPr>
            <w:tcW w:w="4420" w:type="dxa"/>
            <w:vAlign w:val="bottom"/>
            <w:gridSpan w:val="6"/>
          </w:tcPr>
          <w:p>
            <w:pPr>
              <w:ind w:left="720"/>
              <w:spacing w:after="0"/>
              <w:rPr>
                <w:sz w:val="20"/>
                <w:szCs w:val="20"/>
                <w:color w:val="auto"/>
              </w:rPr>
            </w:pPr>
            <w:r>
              <w:rPr>
                <w:rFonts w:ascii="Times New Roman" w:cs="Times New Roman" w:eastAsia="Times New Roman" w:hAnsi="Times New Roman"/>
                <w:sz w:val="18"/>
                <w:szCs w:val="18"/>
                <w:color w:val="auto"/>
              </w:rPr>
              <w:t>of Control” in this prospectus supplement.</w:t>
            </w:r>
          </w:p>
        </w:tc>
        <w:tc>
          <w:tcPr>
            <w:tcW w:w="3100" w:type="dxa"/>
            <w:vAlign w:val="bottom"/>
            <w:tcBorders>
              <w:right w:val="single" w:sz="8" w:color="auto"/>
            </w:tcBorders>
          </w:tcPr>
          <w:p>
            <w:pPr>
              <w:spacing w:after="0"/>
              <w:rPr>
                <w:sz w:val="20"/>
                <w:szCs w:val="20"/>
                <w:color w:val="auto"/>
              </w:rPr>
            </w:pPr>
          </w:p>
        </w:tc>
      </w:tr>
      <w:tr>
        <w:trPr>
          <w:trHeight w:val="441"/>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7520" w:type="dxa"/>
            <w:vAlign w:val="bottom"/>
            <w:tcBorders>
              <w:right w:val="single" w:sz="8" w:color="auto"/>
            </w:tcBorders>
            <w:gridSpan w:val="7"/>
          </w:tcPr>
          <w:p>
            <w:pPr>
              <w:ind w:left="720"/>
              <w:spacing w:after="0"/>
              <w:rPr>
                <w:sz w:val="20"/>
                <w:szCs w:val="20"/>
                <w:color w:val="auto"/>
              </w:rPr>
            </w:pPr>
            <w:r>
              <w:rPr>
                <w:rFonts w:ascii="Times New Roman" w:cs="Times New Roman" w:eastAsia="Times New Roman" w:hAnsi="Times New Roman"/>
                <w:sz w:val="18"/>
                <w:szCs w:val="18"/>
                <w:color w:val="auto"/>
              </w:rPr>
              <w:t>The notes will be our senior unsecured debt and will rank equally with all of our existing</w:t>
            </w:r>
          </w:p>
        </w:tc>
      </w:tr>
      <w:tr>
        <w:trPr>
          <w:trHeight w:val="234"/>
        </w:trPr>
        <w:tc>
          <w:tcPr>
            <w:tcW w:w="3500" w:type="dxa"/>
            <w:vAlign w:val="bottom"/>
            <w:tcBorders>
              <w:left w:val="single" w:sz="8" w:color="auto"/>
            </w:tcBorders>
          </w:tcPr>
          <w:p>
            <w:pPr>
              <w:spacing w:after="0"/>
              <w:rPr>
                <w:sz w:val="20"/>
                <w:szCs w:val="20"/>
                <w:color w:val="auto"/>
              </w:rPr>
            </w:pPr>
          </w:p>
        </w:tc>
        <w:tc>
          <w:tcPr>
            <w:tcW w:w="4420" w:type="dxa"/>
            <w:vAlign w:val="bottom"/>
            <w:gridSpan w:val="6"/>
          </w:tcPr>
          <w:p>
            <w:pPr>
              <w:ind w:left="720"/>
              <w:spacing w:after="0"/>
              <w:rPr>
                <w:sz w:val="20"/>
                <w:szCs w:val="20"/>
                <w:color w:val="auto"/>
              </w:rPr>
            </w:pPr>
            <w:r>
              <w:rPr>
                <w:rFonts w:ascii="Times New Roman" w:cs="Times New Roman" w:eastAsia="Times New Roman" w:hAnsi="Times New Roman"/>
                <w:sz w:val="18"/>
                <w:szCs w:val="18"/>
                <w:color w:val="auto"/>
              </w:rPr>
              <w:t>and future unsecured and unsubordinated debt.</w:t>
            </w:r>
          </w:p>
        </w:tc>
        <w:tc>
          <w:tcPr>
            <w:tcW w:w="3100" w:type="dxa"/>
            <w:vAlign w:val="bottom"/>
            <w:tcBorders>
              <w:right w:val="single" w:sz="8" w:color="auto"/>
            </w:tcBorders>
          </w:tcPr>
          <w:p>
            <w:pPr>
              <w:spacing w:after="0"/>
              <w:rPr>
                <w:sz w:val="20"/>
                <w:szCs w:val="20"/>
                <w:color w:val="auto"/>
              </w:rPr>
            </w:pPr>
          </w:p>
        </w:tc>
      </w:tr>
      <w:tr>
        <w:trPr>
          <w:trHeight w:val="172"/>
        </w:trPr>
        <w:tc>
          <w:tcPr>
            <w:tcW w:w="3500" w:type="dxa"/>
            <w:vAlign w:val="bottom"/>
            <w:tcBorders>
              <w:left w:val="single" w:sz="8" w:color="auto"/>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3100" w:type="dxa"/>
            <w:vAlign w:val="bottom"/>
            <w:tcBorders>
              <w:bottom w:val="single" w:sz="8" w:color="auto"/>
              <w:right w:val="single" w:sz="8" w:color="auto"/>
            </w:tcBorders>
          </w:tcPr>
          <w:p>
            <w:pPr>
              <w:spacing w:after="0"/>
              <w:rPr>
                <w:sz w:val="14"/>
                <w:szCs w:val="14"/>
                <w:color w:val="auto"/>
              </w:rPr>
            </w:pPr>
          </w:p>
        </w:tc>
      </w:tr>
      <w:tr>
        <w:trPr>
          <w:trHeight w:val="361"/>
        </w:trPr>
        <w:tc>
          <w:tcPr>
            <w:tcW w:w="3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S-2</w:t>
            </w:r>
          </w:p>
        </w:tc>
        <w:tc>
          <w:tcPr>
            <w:tcW w:w="31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4100" w:type="dxa"/>
            <w:vAlign w:val="bottom"/>
            <w:tcBorders>
              <w:top w:val="single" w:sz="8" w:color="auto"/>
              <w:left w:val="single" w:sz="8" w:color="auto"/>
            </w:tcBorders>
          </w:tcPr>
          <w:p>
            <w:pPr>
              <w:spacing w:after="0"/>
              <w:rPr>
                <w:sz w:val="24"/>
                <w:szCs w:val="24"/>
                <w:color w:val="auto"/>
              </w:rPr>
            </w:pPr>
          </w:p>
        </w:tc>
        <w:tc>
          <w:tcPr>
            <w:tcW w:w="69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notes will be effectively subordinated to all of our existing and future secured debt to</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extent of the assets securing that debt and to all the debt and other liabilities of our</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subsidiaries.</w:t>
            </w:r>
          </w:p>
        </w:tc>
      </w:tr>
      <w:tr>
        <w:trPr>
          <w:trHeight w:val="454"/>
        </w:trPr>
        <w:tc>
          <w:tcPr>
            <w:tcW w:w="41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 of March 31, 2026, (i) we had approximately $5.3 billion aggregate principal amount of</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unsecured senior indebtedness outstanding with which the notes will rank pari passu and</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(ii) our subsidiaries had no unsecured senior indebtedness outstanding.</w:t>
            </w:r>
          </w:p>
        </w:tc>
      </w:tr>
      <w:tr>
        <w:trPr>
          <w:trHeight w:val="441"/>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Issues</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 any time and from time to time, without notice to or consent of the holders, we may also</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issue additional debt securities of the same tenor, coupon and other terms of the notes</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(except for the issue date and public offering price), so that such debt securities and the</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notes offered hereby together form a single series.</w:t>
            </w:r>
          </w:p>
        </w:tc>
      </w:tr>
      <w:tr>
        <w:trPr>
          <w:trHeight w:val="441"/>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Certain Covenants</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indenture governing the notes will contain covenants that limit our ability to</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consolidate, merge or transfer all or substantially all of our assets. These covenants are</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subject to important exceptions and qualifications, which are described in the “Description</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 Notes” section of this prospectus supplement.</w:t>
            </w:r>
          </w:p>
        </w:tc>
      </w:tr>
      <w:tr>
        <w:trPr>
          <w:trHeight w:val="441"/>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estimate that the net proceeds from this offering, after deducting underwriters’</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discounts and estimated offering expenses of approximately $            , will be</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approximately $            million. We intend to use the net proceeds from this offering for</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general corporate purposes, including debt repurchases which could include redemptions,</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open market debt repurchases or tender offers.</w:t>
            </w:r>
          </w:p>
        </w:tc>
      </w:tr>
      <w:tr>
        <w:trPr>
          <w:trHeight w:val="441"/>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United States Federal Income Tax Considerations for</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You should consult your tax advisor with respect to the U.S. federal income tax</w:t>
            </w:r>
          </w:p>
        </w:tc>
      </w:tr>
      <w:tr>
        <w:trPr>
          <w:trHeight w:val="216"/>
        </w:trPr>
        <w:tc>
          <w:tcPr>
            <w:tcW w:w="41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Non-U.S. Holders</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considerations of owning the notes in light of your own particular situation and with</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respect to any tax considerations arising under the laws of any state, local, foreign or other</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taxing jurisdiction. See “United States Federal Income Tax Considerations for Non-U.S.</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Holders.”</w:t>
            </w:r>
          </w:p>
        </w:tc>
      </w:tr>
      <w:tr>
        <w:trPr>
          <w:trHeight w:val="459"/>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notes and the indenture will be governed by the laws of the state of New York.</w:t>
            </w:r>
          </w:p>
        </w:tc>
      </w:tr>
      <w:tr>
        <w:trPr>
          <w:trHeight w:val="473"/>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Registrar and Paying Agent</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454"/>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See “Risk Factors” beginning on page S-6 of this prospectus supplement and other</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information included or incorporated by reference in this prospectus supplement and the</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accompanying prospectus, including the section entitled “Risk Factors.”</w:t>
            </w:r>
          </w:p>
        </w:tc>
      </w:tr>
      <w:tr>
        <w:trPr>
          <w:trHeight w:val="172"/>
        </w:trPr>
        <w:tc>
          <w:tcPr>
            <w:tcW w:w="4100" w:type="dxa"/>
            <w:vAlign w:val="bottom"/>
            <w:tcBorders>
              <w:left w:val="single" w:sz="8" w:color="auto"/>
              <w:bottom w:val="single" w:sz="8" w:color="auto"/>
            </w:tcBorders>
          </w:tcPr>
          <w:p>
            <w:pPr>
              <w:spacing w:after="0"/>
              <w:rPr>
                <w:sz w:val="14"/>
                <w:szCs w:val="14"/>
                <w:color w:val="auto"/>
              </w:rPr>
            </w:pPr>
          </w:p>
        </w:tc>
        <w:tc>
          <w:tcPr>
            <w:tcW w:w="6920" w:type="dxa"/>
            <w:vAlign w:val="bottom"/>
            <w:tcBorders>
              <w:bottom w:val="single" w:sz="8" w:color="auto"/>
              <w:right w:val="single" w:sz="8" w:color="auto"/>
            </w:tcBorders>
          </w:tcPr>
          <w:p>
            <w:pPr>
              <w:spacing w:after="0"/>
              <w:rPr>
                <w:sz w:val="14"/>
                <w:szCs w:val="14"/>
                <w:color w:val="auto"/>
              </w:rPr>
            </w:pPr>
          </w:p>
        </w:tc>
      </w:tr>
      <w:tr>
        <w:trPr>
          <w:trHeight w:val="361"/>
        </w:trPr>
        <w:tc>
          <w:tcPr>
            <w:tcW w:w="4100" w:type="dxa"/>
            <w:vAlign w:val="bottom"/>
          </w:tcPr>
          <w:p>
            <w:pPr>
              <w:spacing w:after="0"/>
              <w:rPr>
                <w:sz w:val="24"/>
                <w:szCs w:val="24"/>
                <w:color w:val="auto"/>
              </w:rPr>
            </w:pPr>
          </w:p>
        </w:tc>
        <w:tc>
          <w:tcPr>
            <w:tcW w:w="69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819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819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FINANCIAL DATA</w:t>
      </w:r>
    </w:p>
    <w:p>
      <w:pPr>
        <w:spacing w:after="0" w:line="229" w:lineRule="exact"/>
        <w:rPr>
          <w:sz w:val="20"/>
          <w:szCs w:val="20"/>
          <w:color w:val="auto"/>
        </w:rPr>
      </w:pPr>
    </w:p>
    <w:p>
      <w:pPr>
        <w:ind w:left="300" w:right="300" w:firstLine="426"/>
        <w:spacing w:after="0" w:line="261" w:lineRule="auto"/>
        <w:rPr>
          <w:sz w:val="20"/>
          <w:szCs w:val="20"/>
          <w:color w:val="auto"/>
        </w:rPr>
      </w:pPr>
      <w:r>
        <w:rPr>
          <w:rFonts w:ascii="Times New Roman" w:cs="Times New Roman" w:eastAsia="Times New Roman" w:hAnsi="Times New Roman"/>
          <w:sz w:val="18"/>
          <w:szCs w:val="18"/>
          <w:color w:val="auto"/>
        </w:rPr>
        <w:t>You should read the summary historical consolidated financial data set forth below in conjunction with “Management’s Discussion and Analysis of Financial Condition and Results of Operations” and the consolidated financial statements and the related notes included in our Annual Report on Form 10-K for the year ended December 31, 2025 and our Quarterly Report on Form 10-Q for the three months ended March 31, 2026, each of which is incorporated by reference in this prospectus supplement and the accompanying prospectus.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(Unaudited)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11"/>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(Audited)</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Interest income: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Education Loans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1,122</w:t>
            </w:r>
          </w:p>
        </w:tc>
        <w:tc>
          <w:tcPr>
            <w:tcW w:w="1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1,259</w:t>
            </w: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FFELP Loans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1,903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2,897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investments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3,108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3,809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4,419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2,589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3,273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provisions for loan losses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 after provisions for loan losses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income (loss):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Servicing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 recovery and business processing revenue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subsidiaries,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Losses on debt repurchases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Gains (losses) on derivative and hedging activities, net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Salaries and benefits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and acquired intangible asset impairment and amortization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Restructuring/other reorganization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Basic earnings (loss) per common share</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Diluted earnings (loss) per common share</w:t>
            </w: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common and common equivalent shares outstanding</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80" w:type="dxa"/>
            <w:vAlign w:val="bottom"/>
            <w:tcBorders>
              <w:bottom w:val="single" w:sz="8" w:color="auto"/>
            </w:tcBorders>
          </w:tcPr>
          <w:p>
            <w:pPr>
              <w:spacing w:after="0"/>
              <w:rPr>
                <w:sz w:val="14"/>
                <w:szCs w:val="14"/>
                <w:color w:val="auto"/>
              </w:rPr>
            </w:pPr>
          </w:p>
        </w:tc>
        <w:tc>
          <w:tcPr>
            <w:tcW w:w="6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61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S-4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250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2501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920" w:type="dxa"/>
            <w:vAlign w:val="bottom"/>
            <w:gridSpan w:val="8"/>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(Audited)</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6"/>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192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67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6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Private Education Loans (net of allowance for losses of $314, $397, $364 and $441,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15,649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15,690</w:t>
            </w:r>
          </w:p>
        </w:tc>
        <w:tc>
          <w:tcPr>
            <w:tcW w:w="1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20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15,716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FFELP Loans (net of allowance for losses of $165, $182, $173 and $180, respectively)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27,237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30,244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acquired intangible assets,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48,004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50,950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48,681</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39,240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42,872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45,625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48,361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1.125 billion shares authorized: 468 million,</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467 million, 467 million and 465 million shares issued, respectively</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income (net of tax expense of $2, $0, $1 and $1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before treasury stock</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Less: Common stock held in treasury at cost: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374 million, 365 million, 371 million and 362 million shares, respectively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(5,562)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48,004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50,950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48,681</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80" w:type="dxa"/>
            <w:vAlign w:val="bottom"/>
            <w:tcBorders>
              <w:bottom w:val="single" w:sz="8" w:color="auto"/>
            </w:tcBorders>
          </w:tcPr>
          <w:p>
            <w:pPr>
              <w:spacing w:after="0"/>
              <w:rPr>
                <w:sz w:val="14"/>
                <w:szCs w:val="14"/>
                <w:color w:val="auto"/>
              </w:rPr>
            </w:pPr>
          </w:p>
        </w:tc>
        <w:tc>
          <w:tcPr>
            <w:tcW w:w="6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670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S-5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Any investment in the notes involves a high degree of risk. You should carefully consider the risks described below and all of the information contained in this prospectus supplement, the accompanying prospectus, any free writing prospectus and the documents incorporated by reference herein and therein before deciding whether to purchase the notes. In addition, you should carefully consider, among other things, the matters discussed under “Risk Factors” and “Legal Proceedings” in our Annual Report on Form 10-K for the year ended December 31, 2025, our Quarterly Report on Form 10-Q for the quarter ended March 31, 2026 and in other documents that we file from time to time with the SEC, all of which are incorporated by reference in this prospectus supplement and the accompanying prospectus. The risks and uncertainties described below are not the only risks and uncertainties we face. Additional risks and uncertainties not presently known to us or that we currently deem immaterial may also impair our business operations. If any of the following risks actually occur, our business, financial condition and results of operations would suffer. The risks discussed below also include forward-looking statements and our actual results may differ substantially from those discussed in these forward-looking statements. See “Forward-Looking Statements” in this prospectus supplement and the accompanying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debt is structurally subordinated to the debt and other liabilities of our subsidiaries.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notes are obligations exclusively of Navient Corporation. We are a holding company and, accordingly, substantially all of our operations are conducted through our subsidiaries. As a result, our debt is “structurally subordinated” to all existing and future debt, trade creditors, and other liabilities of our subsidiaries. Our rights, and hence the rights of our creditors, to participate in any distribution of assets of any subsidiary upon its liquidation or reorganization or otherwise would be subject to the prior claims of that subsidiary’s creditors, except to the extent that our claims as a creditor of such subsidiary may be recognized. The indenture that governs the notes does not restrict our or our subsidiaries’ ability to incur indebtedness, including secured indebtedness, to pay dividends or make distributions on, or redeem or repurchase our equity securities, or to engage in highly leveraged transactions that would increase the level of our indebtedness.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depend upon our subsidiaries to service our debt.</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Our cash flow and our ability to service our debt, including the notes, is dependent upon the earnings of our subsidiaries. Our subsidiaries are separate and distinct legal entities. They have no obligation to pay any amounts due under the notes or to provide us with funds for our payment obligations. Payment to us by our subsidiaries will also be contingent upon our subsidiaries’ earnings and other business considerations.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financial condition.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will have a substantial amount of indebtedness, which could limit our ability to obtain additional financing for working capital, capital expenditures, stock repurchases, acquisitions, debt service requirements or other purposes. It may also increase our vulnerability to adverse economic, market and industry conditions, limit our flexibility in planning for, or reacting to, changes in our business operations or to our industry overall, and place us at a disadvantage in relation to our competitors that have lower debt levels. Any or all of the above events and/or factors could have an adverse effect on our results of operations and financial condition.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notes.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indenture that governs the notes, we may from time to time without notice to, or the consent of, the holders of the applicable series of notes, create and issue additional notes of a new or existing series, which notes, if of an existing series, will be equal in rank to the notes of that series in all material respects so that the new notes may be consolidated and form a single series with such notes and have the same terms as to status, redemption or otherwise as such notes (except for the issue date and public offering price).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 may adversely affect your return on your notes.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are redeemable at our option, and therefore we may choose to redeem the notes at times when prevailing interest rates are relatively low. As a result, you may not be able to reinvest the proceeds you receive from the redemption in a comparable security at an effective interest rate as high as the interest rate on your notes being redeemed. Our ability to redeem the notes before the maturity date may affect the market value of the notes at any time when potential purchasers believe we are likely to redeem the notes.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notes may not develop.</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notes are a new issue of securities for which there is no established trading market. We do not intend to apply for listing of the notes on any securities exchange or for inclusion of the notes on any automated dealer quotation system. As a result, an active trading market for the notes may not develop and any such market, if it were to develop, may not be liquid or sustainable for any period of time. Future trading prices of the notes will depend on many factors, including, among other things, prevailing interest rates, the then-current ratings assigned to the notes, the market for similar securities and our performance. Any trading market that develops would be affected by many factors independent of and in addition to the foregoing, including:</w:t>
      </w:r>
    </w:p>
    <w:p>
      <w:pPr>
        <w:spacing w:after="0" w:line="93"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remaining to the maturity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amount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related to redemption of the notes;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direction and volatility of market interest rates generally.</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advised us that they currently intend to make a market in the notes, but they are not obligated to do so and may cease market-making at any time without notice, which could further negatively impact your ability to sell the notes or the prevailing market price at the time you choose to sell.</w:t>
      </w:r>
    </w:p>
    <w:p>
      <w:pPr>
        <w:spacing w:after="0" w:line="280" w:lineRule="exact"/>
        <w:rPr>
          <w:sz w:val="20"/>
          <w:szCs w:val="20"/>
          <w:color w:val="auto"/>
        </w:rPr>
      </w:pPr>
    </w:p>
    <w:p>
      <w:pPr>
        <w:ind w:left="5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the rating assigned by a rating agency to the notes, or changes in the financial and credit markets, could cause the liquidity or market value of the notes to decline significantly.</w:t>
      </w:r>
    </w:p>
    <w:p>
      <w:pPr>
        <w:spacing w:after="0" w:line="51"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We expect that the notes will be rated by one or more rating agencies. Any rating assigned to the notes may not remain, may be lowered or withdrawn entirely by a rating agency if, in that rating agency’s judgment, future circumstances relating to the basis of the rating, such as adverse changes in our business, warrant a change to the rating assigned.</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the condition of the financial and credit markets and prevailing interest rates have fluctuated in the past and are likely to fluctuate in the future. Any ratings downgrade of the notes or further disruptions in the financial and credit markets and future fluctuations in these markets and prevailing interest rates may have an adverse effect on the market value of the notes.</w:t>
      </w:r>
    </w:p>
    <w:p>
      <w:pPr>
        <w:spacing w:after="0" w:line="280" w:lineRule="exact"/>
        <w:rPr>
          <w:sz w:val="20"/>
          <w:szCs w:val="20"/>
          <w:color w:val="auto"/>
        </w:rPr>
      </w:pPr>
    </w:p>
    <w:p>
      <w:pPr>
        <w:ind w:left="56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provisions of the notes relating to change of control transactions will not necessarily protect you in the event of a highly leveraged transaction.</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change of control provisions in the terms of the notes will not necessarily afford you protection in the event of a highly leveraged transaction that may adversely affect you, including a takeover, reorganization, recapitalization, restructuring, merger or other similar transactions involving us.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As a result, we could enter into any such transaction even though the transaction could increase the total amount of our outstanding indebtedness, adversely affect our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capital structure or credit rating or otherwise adversely affect the holders of the notes. Except as described under “Description of Notes—Repurchase Upon a Change of Control,” the indenture does not contain provisions that permit the holders of the notes to require us to repurchase the notes in the event of a takeover, reorganization, recapitalization, restructuring, merger or similar transaction.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all of the notes upon a change of control, which would result in a default under each series of notes.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will be required to offer to repurchase the notes upon the occurrence of a Change of Control Triggering Event as provided in the indenture governing the notes. However, we may not have sufficient funds to repurchase the notes in cash at such time. In addition, our ability to repurchase the notes for cash may be limited by law or the terms of other agreements relating to our indebtedness outstanding at the time. The failure to make such repurchase would result in a default under the indenture.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Illiquid market conditions may occur from time to time.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the secondary market for your notes may be adversely affected by periods of general market illiquidity or by events in the global financial markets in general or in the securities market in particular.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Specifically, if banks or financial institutions enter receivership or become insolvent in the future in response to financial conditions affecting the banking system or financial markets, the liquidity of the securities market may decline. Accordingly, you may not be able to sell your notes when you want to do so or you may be unable to obtain the price that you wish to receive for your notes and, as a result, you may suffer a loss on your investment.</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60"/>
          </w:cols>
          <w:pgMar w:left="320" w:top="455"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this offering, after deducting underwriters’ discounts and estimated offering expenses of approximately $    , will be approximately $    million. We intend to use the net proceeds from this offering for general corporate purposes, including debt repurchases which could include redemptions, open market debt repurchases or tender offers.</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840"/>
          </w:cols>
          <w:pgMar w:left="320" w:top="455" w:right="7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March 31, 2026 on an actual basis and as adjusted basis to give effect to this offering and the application of the net proceeds of this offering as described under “Use of Proceeds.” This table should be read in conjunction with “Management’s Discussion and Analysis of Financial Condition and Results of Operations” and the consolidated financial statements and notes thereto included in our Quarterly Report on Form 10-Q for the quarter ended March 31, 2026, which is incorporated by reference in this prospectus supplement and the accompanying prospectus.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As of March 31, 2026</w:t>
            </w:r>
          </w:p>
        </w:tc>
      </w:tr>
      <w:tr>
        <w:trPr>
          <w:trHeight w:val="142"/>
        </w:trPr>
        <w:tc>
          <w:tcPr>
            <w:tcW w:w="6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7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100" w:type="dxa"/>
            <w:vAlign w:val="bottom"/>
          </w:tcPr>
          <w:p>
            <w:pPr>
              <w:spacing w:after="0"/>
              <w:rPr>
                <w:sz w:val="12"/>
                <w:szCs w:val="12"/>
                <w:color w:val="auto"/>
              </w:rPr>
            </w:pP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 millions, except share and per share amounts)</w:t>
            </w: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621</w:t>
            </w:r>
          </w:p>
        </w:tc>
        <w:tc>
          <w:tcPr>
            <w:tcW w:w="56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1,510</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w:t>
            </w: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5,870</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5,870</w:t>
            </w:r>
          </w:p>
        </w:tc>
      </w:tr>
      <w:tr>
        <w:trPr>
          <w:trHeight w:val="216"/>
        </w:trPr>
        <w:tc>
          <w:tcPr>
            <w:tcW w:w="6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Long-term borrowings</w:t>
            </w:r>
            <w:r>
              <w:rPr>
                <w:rFonts w:ascii="Times New Roman" w:cs="Times New Roman" w:eastAsia="Times New Roman" w:hAnsi="Times New Roman"/>
                <w:sz w:val="25"/>
                <w:szCs w:val="25"/>
                <w:color w:val="auto"/>
                <w:vertAlign w:val="superscript"/>
              </w:rPr>
              <w:t>(1)</w:t>
            </w: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39,240</w:t>
            </w:r>
          </w:p>
        </w:tc>
        <w:tc>
          <w:tcPr>
            <w:tcW w:w="5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39,240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offered hereby</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1.125 billion shares authorized;</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468 million shares issued</w:t>
            </w:r>
          </w:p>
        </w:tc>
        <w:tc>
          <w:tcPr>
            <w:tcW w:w="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3,407</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3,407</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4,552</w:t>
            </w:r>
          </w:p>
        </w:tc>
        <w:tc>
          <w:tcPr>
            <w:tcW w:w="5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(net of tax expense of $2)</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374 million shares</w:t>
            </w:r>
          </w:p>
        </w:tc>
        <w:tc>
          <w:tcPr>
            <w:tcW w:w="80" w:type="dxa"/>
            <w:vAlign w:val="bottom"/>
          </w:tcPr>
          <w:p>
            <w:pPr>
              <w:spacing w:after="0"/>
              <w:rPr>
                <w:sz w:val="18"/>
                <w:szCs w:val="18"/>
                <w:color w:val="auto"/>
              </w:rPr>
            </w:pPr>
          </w:p>
        </w:tc>
        <w:tc>
          <w:tcPr>
            <w:tcW w:w="11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(5,589)</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(5,589)</w:t>
            </w:r>
          </w:p>
        </w:tc>
      </w:tr>
      <w:tr>
        <w:trPr>
          <w:trHeight w:val="27"/>
        </w:trPr>
        <w:tc>
          <w:tcPr>
            <w:tcW w:w="6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2,379</w:t>
            </w: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47,489</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Long-term borrowings, excluding the notes offered hereby.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is only a summary of certain provisions of the Indenture and the notes, copies of which are available upon request to us at the address set forth under “Where You Can Find More Information.” In this description, the term “Navient” refers only to Navient Corporation and not to any of its subsidiaries or affiliates. Certain capitalized terms used in this description but not defined below have the meanings assigned to them in the Indenture. We urge you to read the Indenture and the notes because they, and not this description, define your rights as holders of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Navient will issue the notes as a series of debt securities under a base indenture, dated as of July 18, 2014, between Navient, as the company, and The Bank of New York Mellon, as trustee (the “Trustee”), as supplemented by a supplemental indenture to be entered into between Navient and the Trustee. The term “Indenture” in this description of notes refers to the base indenture as supplemented by the supplemental indenture.</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will mature on        , 2031. Interest (computed on the basis of a 360-day year consisting of twelve 30-day months) on the notes will accrue at the rate of  % per year and will be payable semi-annually in arrears on each        and        , commencing on        , 20  ; interest payable on each interest payment date will include interest accrued from        , 2026, or from the most recent interest payment date to which interest has been paid or duly provided for.</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Navient will make each interest payment to the holders of record of the notes on the immediately preceding         and         , as the case may be, commencing on        , 20  . The registered holder of a note will be treated as the owner of it for all purposes. Only registered holders will have rights under the Indenture.</w:t>
      </w:r>
    </w:p>
    <w:p>
      <w:pPr>
        <w:spacing w:after="0" w:line="176"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senior, unsecured obligations of Navient and will rank equally with all of Navient’s other existing and future unsecured and unsubordinated indebtedness. As of March 31, 2026, (i) we had an approximately $5.3 billion aggregate principal amount of unsecured senior indebtedness outstanding with which the notes will rank pari passu and (ii) our subsidiaries had no unsecured senior indebtedness outstanding.</w:t>
      </w:r>
    </w:p>
    <w:p>
      <w:pPr>
        <w:spacing w:after="0" w:line="176"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The notes will be represented by global notes, which will be deposited with, or on behalf of, The Depository Trust Company (“DTC”), New York, New York, and registered in the name of DTC’s nominee. Each note represented by a Global Security is referred to herein as a “Book-Entry Note.”</w:t>
      </w:r>
    </w:p>
    <w:p>
      <w:pPr>
        <w:spacing w:after="0" w:line="14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Indenture does not limit the amount of notes or other debt securities of Navient that may be issued under the Indenture. Navient may also at any time and from time to time, without notice to or consent of the holders, issue additional debt securities of the same tenor, coupon and other terms as the notes, (except for the issue date and public offering price) so that such debt securities and the notes offered pursuant to this prospectus supplement and the accompanying prospectus shall form a single series. References herein to the notes shall include (unless the context otherwise requires) any further notes issued as described in this paragraph.</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provided and except with respect to Book-Entry Notes, principal of and premium, if any, and interest, if any, on the notes will be payable, and the transfer of notes will be registrable, at the Corporate Trust Office of the Trustee, except that, at the option of Navient, interest may be paid by mailing a check to the holder of the notes entitled thereto or, in accordance with arrangements satisfactory to the Trustee, at the option of the holder of the notes by wire transfer to an account designated by such holder.</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For a description of payments of principal of, and premium, if any, and interest on, and transfer of, Book-Entry Notes and exchanges of global notes representing Book-Entry Notes, see “—Book-Entry, Delivery and Form.”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issued only in fully registered form without coupons only in denominations of $2,000 and in integral multiples of $1,000 in excess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Prior to        , 2031 (three months prior to their maturity date),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81" w:lineRule="exact"/>
        <w:rPr>
          <w:sz w:val="20"/>
          <w:szCs w:val="20"/>
          <w:color w:val="auto"/>
        </w:rPr>
      </w:pPr>
    </w:p>
    <w:p>
      <w:pPr>
        <w:jc w:val="both"/>
        <w:ind w:left="1080" w:right="140" w:hanging="532"/>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50 basis points less (b) interest accrued to the date of redemption, and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determining the optional redemption price, the following definitions are applicable:</w:t>
      </w:r>
    </w:p>
    <w:p>
      <w:pPr>
        <w:spacing w:after="0" w:line="225"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w:t>
      </w:r>
    </w:p>
    <w:p>
      <w:pPr>
        <w:spacing w:after="0" w:line="93" w:lineRule="exact"/>
        <w:rPr>
          <w:sz w:val="20"/>
          <w:szCs w:val="20"/>
          <w:color w:val="auto"/>
        </w:rPr>
      </w:pPr>
    </w:p>
    <w:p>
      <w:pPr>
        <w:ind w:left="1080" w:right="6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for the Treasury constant maturity on H.15 exactly equal to the period from the redemption date to the Par Call Date (the “Remaining Life”); or</w:t>
      </w:r>
    </w:p>
    <w:p>
      <w:pPr>
        <w:spacing w:after="0" w:line="67"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w:t>
      </w:r>
    </w:p>
    <w:p>
      <w:pPr>
        <w:spacing w:after="0" w:line="85"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shorter than or longer than the Remaining Life, the yield for the single Treasury constant maturity on H.15 closest to the Remaining Life.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may rely upon the redemption price contained in any such notice and the Trustee shall not be responsible for, or be liable in connection with, the calculation of such redemption price (or any component thereof) or for determining whether manifest error has occurred.</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Repurchase Upon a Change of Control</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a Change of Control Triggering Event occurs, unless we have exercised our right, if any, to redeem the notes in full, we will offer (the “Change of Control Offer”) to repurchase any and all of each holder’s notes (equal to $2,000 or an integral multiple of $1,000 above that amount) at a repurchase price in cash equal to 101% of the aggregate principal amount of the notes repurchased plus accrued and unpaid interest, if any, thereon, to, but not including, the date of repurchase (the “Change of Control Payment”). Within 30 days following any Change of Control Triggering Event, we will be required to mail a notice to holders, with a copy to the Trustee, describing the transaction or transactions that constitute the Change of Control Triggering Event and offering to repurchase the notes on the date specified in the notice, which date will be no less than 30 days and no more than 60 days from the date such notice is mailed (the “Change of Control Payment Date”), pursuant to the procedures described in such notice.</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must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any securities laws or regulations conflict with the Change of Control repurchase provisions of the notes, we will be required to comply with the applicable securities laws and regulations and will not be deemed to have breached our obligations under the Change of Control repurchase provisions of the notes by virtue of such conflicts.</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will not be required to offer to repurchase the notes upon the occurrence of a Change of Control Triggering Event if a third party makes such an offer in the manner, at the times and otherwise in compliance with the requirements for an offer made by us and the third party repurchases on the applicable date all notes properly tendered and not withdrawn under its offer; provided that for all purposes of the notes and the Indenture governing the notes, a failure by such third party to comply with the requirements of such offer and to complete such offer shall be treated as a failure by us to comply with our obligations to offer to repurchase the notes unless we promptly make an offer to repurchase the notes at 101% of the principal amount thereof plus accrued and unpaid interest, if any, thereon, to, but not including, the date of repurchase, which shall be no later than 30 days after the third party’s scheduled Change of Control Payment Date.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Change of Control Payment Date, we will be required, to the extent lawful, to:</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or cause a third party to accept for payment all notes properly tendered pursuant to the Change of Control Offer;</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or cause a third party to deposit with the paying agent an amount equal to the Change of Control Payment in respect of all notes properly tendered;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principal amount of notes being repurchased.</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If holders of not less than 90% in aggregate principal amount of the outstanding notes validly tender and do not withdraw such notes in a Change of Control Offer and we, or any third party making a Change of Control Offer in lieu of us as described above, purchases all of the notes validly tendered and not withdrawn by such holders, we or such third party will have the right, upon not less than 10 days nor more than 60 days’ prior notice, provided that such notice is given not more than 30 days following such purchase pursuant to the Change of Control Offer described above, to redeem all notes that remain outstanding following such purchase on a date (the “Second Change of Control Payment Date”) at a price in cash equal to the applicable Change of Control Payment in respect of the Second Change of Control Payment Date.</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of “all or substantially all” of the properties or assets of Navient and its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the assets of Navient and its subsidiaries taken as a whole to another Person (as defined in the Indenture governing the notes) or group may be uncertain.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foregoing discussion of the applicable Change of Control provisions, the following definitions are applicable:</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“Board of Directors” means the board of directors or comparable governing body of Navient Corporation; provided that if Navient Corporation is a wholly-owned subsidiary of another person, the Board of Directors means the board of directors or comparable governing body of such person.</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direct or indirect sale, transfer, conveyance or other disposition (other than by way of merger or consolidation), in one or a series of related transactions, of all or substantially all of the properties or assets of Navient Corporation and its subsidiaries taken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whole to any “person” (as that term is used in Section 13(d)(3) of the Exchange Act) other than to Navient Corporation or one of its subsidiaries;</w:t>
      </w:r>
    </w:p>
    <w:p>
      <w:pPr>
        <w:spacing w:after="0" w:line="27" w:lineRule="exact"/>
        <w:rPr>
          <w:sz w:val="20"/>
          <w:szCs w:val="20"/>
          <w:color w:val="auto"/>
        </w:rPr>
      </w:pPr>
    </w:p>
    <w:p>
      <w:pPr>
        <w:ind w:left="120" w:hanging="4"/>
        <w:spacing w:after="0" w:line="250" w:lineRule="auto"/>
        <w:tabs>
          <w:tab w:leader="none" w:pos="3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(as that term is used in Section 13(d)(3) of the Exchange Act) other than Navient Corporation or one of its subsidiaries becomes the beneficial owner, directly or indirectly, of more than 50% of the then-outstanding number of shares of Navient Corporation’s voting stock; (3) Navient Corporation consolidates with, or merges with or into, any “person” (as that term is used in Section 13(d)(3) of the Exchange Act), or any “person” (as that term is used in</w:t>
      </w:r>
    </w:p>
    <w:p>
      <w:pPr>
        <w:spacing w:after="0" w:line="1" w:lineRule="exact"/>
        <w:rPr>
          <w:rFonts w:ascii="Times New Roman" w:cs="Times New Roman" w:eastAsia="Times New Roman" w:hAnsi="Times New Roman"/>
          <w:sz w:val="18"/>
          <w:szCs w:val="18"/>
          <w:color w:val="auto"/>
        </w:rPr>
      </w:pPr>
    </w:p>
    <w:p>
      <w:pPr>
        <w:ind w:left="12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13(d)(3) of the Exchange Act) consolidates with, or merges with or into, Navient Corporation, in any such event pursuant to a transaction in which any of the outstanding voting stock of Navient Corporation or such other “person” (as that term is used in Section 13(d)(3) of the Exchange Act) is converted into or exchanged for cash, securities or other property, other than any such transaction where the shares of the voting stock of Navient Corporation outstanding immediately prior to such transaction constitute, or are converted into or exchanged for, a majority of the voting stock of the surviving “person” (as that term is used in Section 13(d)(3) of the Exchange Act) immediately after giving effect to such transaction; (4) the first day on which a majority of the members of Navient Corporation’s Board of Directors are not Continuing Directors; or (5) the adoption of a plan relating to the liquidation or dissolution of Navient Corporation; provided, however, that a transaction will not be deemed to involve a Change of Control if (A) we become a wholly owned subsidiary of a holding company and (B) (x) the holders of the voting stock of such holding company immediately following that transaction are substantially the same as the holders of Navient Corporation’s voting stock immediately prior to that transaction or (y) no person (other than a holding company satisfying the requirements of this sentence) becomes the beneficial owner of more than 50% of the then-outstanding number of shares of the voting stock of such holding company. For purposes of this definition, “voting stock” means capital stock or other equity interests of any class or kind the holders of which are ordinarily, in the absence of contingencies, entitled to vote for the election of directors (or persons performing similar functions) of Navient Corporation or the applicable holding company, even if the right to vote has been suspended by the happening of such a contingency.</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(i) a Change of Control and (ii) a Ratings Downgrade Event.</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“Continuing Directors” means, as of any date of determination, any member of the Board of Directors of Navient Corporation who (1) was a member of the Board of Directors of Navient Corporation on the date of the issuance of the notes; or (2) was nominated for election or elected to the Board of Directors of Navient Corporation with the approval of a majority of the Continuing Directors who were members of such Board of Directors of Navient Corporation at the time of such nomination or election (either by specific vote or by approval of Navient Corporation’s proxy statement in which such member was named as a nominee for election as a director).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“Fitch” means Fitch Ratings, Inc., or any successor rating agency.</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“Investment Grade Rating” means a rating by Moody’s equal to or higher than Baa3 (or the equivalent under a successor rating category of Moody’s), a rating by S&amp;P equal to or higher than BBB- (or the equivalent under any successor rating category of S&amp;P), a rating by Fitch equal to or higher than BBB- (or the equivalent under any successor rating category of Fitch), and the equivalent investment grade credit rating from any replacement rating agency or rating agencies selected by us under the circumstances permitting us to select a replacement agency and in the manner for selecting a replacement agency, in each case as set forth in the definition of “Rating Agencies.”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“Moody’s” means Moody’s Investors Service, Inc., or any successor rating agency.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“Navient Corporation” means Navient Corporation, or any successor.</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“Rating Agencies” means (1) Moody’s, S&amp;P and Fitch; and (2) if any or all of Moody’s, S&amp;P or Fitch ceases to rate the notes or fails to make a rating of the notes publicly available for reasons outside of our control,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 “nationally recognized statistical rating organization” within the meaning of Section 3(a)(62) under the Exchange Act, that we select (pursuant to a resolution of the Board of Directors) as a replacement agency for any of Moody’s, S&amp;P or Fitch, or all of them, as the case may be.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“Ratings Downgrade Event” means, on any date during the Trigger Period, the notes being downgraded by at least one modifier (a modifier being plus, neutral or minus for S&amp;P or Fitch, 1, 2 or 3 for Moody’s and a similar modifier by any other Rating Agency) by any two of the three Rating Agencies from the rating on the notes by each such Rating Agency on the date prior to the first day of the Trigger Period; provided that no Ratings Downgrade Event shall be deemed to occur, if either (i) the rating on the notes by each Rating Agency that downgraded its rating is an Investment Grade Rating after the downgrade or (ii) in respect of a particular Change of Control, the Rating Agency or Agencies (as applicable) that downgraded the notes announce or confirm or inform the Trustee in writing that the reduction was not the result, in whole or in part, of any event or circumstance comprised of, or arising as a result of, or in respect of, the applicable Change of Control.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“S&amp;P” means S&amp;P Global Ratings, or any successor rating agency.</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“Trigger Period” means the period commencing one day prior to the first public announcement by Navient Corporation of a Change of Control or an arrangement that could result in a Change of Control and ending 60 days following consummation of the Change of Control (which period will be extended following consummation of a Change of Control for so long as the rating of the notes is under announced consideration for possible downgrade by any of the Rating Agencies as the result, in whole or in part, of any event or circumstance comprised of, or arising as a result of, or in respect of, the applicable Change of Control).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Indenture will contain certain covenants, including, among others, those described below. Except as set forth below, Navient will not be restricted by the Indenture from incurring any type of indebtedness or other obligation, from paying dividends or making distributions on its capital stock or from purchasing or redeeming its capital stock. In addition, except as described under “—Repurchase Upon a Change of Control,” the Indenture will not contain any provisions that would require Navient to repurchase or redeem or otherwise modify the terms of any of the notes upon a change in control or other events involving Navient which may adversely affect the creditworthiness of the notes. The Indenture will not restrict the ability of Navient or its subsidiaries to transfer assets to and among Navient’s subsidiaries.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Consolidation and Sale of Assets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Navient will not consolidate or merge with or into any other entity, or sell, convey, transfer or lease all or substantially all its assets to another entity, unless:</w:t>
      </w:r>
    </w:p>
    <w:p>
      <w:pPr>
        <w:spacing w:after="0" w:line="67" w:lineRule="exact"/>
        <w:rPr>
          <w:sz w:val="20"/>
          <w:szCs w:val="20"/>
          <w:color w:val="auto"/>
        </w:rPr>
      </w:pPr>
    </w:p>
    <w:p>
      <w:pPr>
        <w:ind w:left="1080" w:right="16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Navient shall be the continuing entity, or the successor, transferee or lessee entity (if other than Navient) shall be organized and existing under the laws of the United States or any state thereof and expressly assume prior to or simultaneously with such consolidation, merger, sale, conveyance, transfer or lease, all obligations under the Indenture and the notes to be performed or observed by Navient;</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consolidation, merger, sale, conveyance, transfer or lease Navient or the successor, transferee or lessee entity would not be in default in the performance of any covenant or condition of the Indenture;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shall have delivered to the Trustee an officer’s certificate and an opinion of counsel, each stating that such consolidation, merger, conveyance or transfer and such supplemental indenture comply with the relevant section of the Indenture and that all conditions precedent provided for relating to such transaction have been complied with.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with respect to the notes is defined as follows:</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the notes, which continues for 30 days;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premium, if any, on the notes at maturity, redemption, acceleration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sinking fund installment, if any, which continues for 30 days;</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or breach of any covenant of Navient in the Indenture (other than a default in the performance or breach of a covenant included in the Indenture solely for the benefit of debt securities of Navient other than the notes offered pursuant to this prospectus supplement), which continues for 90 days after written notice has been given to Navient by the Trustee or to Navient and the Trustee by the holders of at least 25% in aggregate principal amount of the notes then outstanding;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Navient.</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if any Event of Default with respect to the notes occurs and is continuing, either the Trustee or the holders of not less than 25% in principal amount of the notes then outstanding may declare the principal amount of (and all accrued and unpaid interest and premium, if any, on) all notes to be due and payable immediately, but under certain conditions such declaration may be rescinded and annulled and past defaults (except, unless theretofore cured, a default in payment of principal of or premium, if any, or interest, if any, on the notes and certain other specified defaults) may be waived by the holders of not less than a majority in principal amount of the notes on behalf of the holders of all the notes.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Within 90 days after the occurrence of a default, and if known to the Trustee, the Trustee shall give notice to the holders of the notes of the default, unless such default shall have been cured or waived before the giving of such notice. Except in the case of a default in payment of the principal of, premium, if any, or interest on the notes, the Trustee shall be protected in withholding such notice, if the Trustee in good faith determines that the withholding of such notice is in the interests of the holders. For purposes of the provision described in this paragraph, the term default with respect to any notes means any event which is, or after notice or lapse of time or both, would become an “Event of Default” specified in the Indenture with respect to the notes.</w:t>
      </w:r>
    </w:p>
    <w:p>
      <w:pPr>
        <w:spacing w:after="0" w:line="18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Trustee is required, during an Event of Default, to act with the standard of care provided in the Trust Indenture Act of 1939, as amended (the “Trust Indenture Act”). The Indenture provides that the holders of a majority in principal amount of the notes may direct the time, method and place of conducting any proceeding for any remedy available to the Trustee, or exercising any trust or power conferred on the Trustee with respect to the notes. However, the Indenture contains a provision entitling the Trustee to be indemnified to its satisfaction by holders of the notes before proceeding to exercise any right or power vested in it under the Indenture at the request or direction of the holders of the notes. The terms of the indemnification required by the Trustee will depend on the nature of the right or power requested or directed to be exercised by the holders and the circumstances that exist at that time. Generally, the Trustee would expect to be fully protected for all actions.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Modifications and amendments may be made by Navient and the Trustee to the Indenture, without the consent of any holder of the notes, to, among other things:</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and agreements of Navient and to add Events of Default, in each case for the protection or benefit of the holders;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succession of another corporation to Navient, or successive successions, and the assumption by such successor of the covenants and obligations of Navient;</w:t>
      </w:r>
    </w:p>
    <w:p>
      <w:pPr>
        <w:spacing w:after="0" w:line="67" w:lineRule="exact"/>
        <w:rPr>
          <w:rFonts w:ascii="Times New Roman" w:cs="Times New Roman" w:eastAsia="Times New Roman" w:hAnsi="Times New Roman"/>
          <w:sz w:val="18"/>
          <w:szCs w:val="18"/>
          <w:color w:val="auto"/>
        </w:rPr>
      </w:pPr>
    </w:p>
    <w:p>
      <w:pPr>
        <w:jc w:val="both"/>
        <w:ind w:left="1080" w:right="400" w:hanging="424"/>
        <w:spacing w:after="0" w:line="312" w:lineRule="auto"/>
        <w:tabs>
          <w:tab w:leader="none" w:pos="10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and provide for the acceptance of appointment under the Indenture by a successor Trustee and to add to or change any of the provisions of the Indenture as shall be necessary for or facilitate the administration of the trusts thereunder by more than one Trustee;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 or to add guarantors or co-obligors with respect to the notes or release guarantors from their guarantees of the notes in accordance with the terms of the notes;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or inconsistency or to correct or supplement any provision contained in the Indenture which may be defective or inconsistent with any other provision in the Indenture or to conform the terms in the Indenture to the description of the terms of the notes in the prospectus supplement;</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or change or eliminate any provision of the Indenture as shall be necessary or desirable in accordance with any amendments to the Trust Indenture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in any material respect the interests of the holders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securities in addition to certificated securities; or</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or facilitate the defeasance and discharge of the notes provided that any such action shall not adversely affect the interests of the holders of the notes or any other series of securities issued under the Indenture.</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Indenture contains provisions permitting Navient and the Trustee, with the consent of the holders of a majority in aggregate in principal amount of the notes then outstanding to execute supplemental indentures adding any provisions to or changing or eliminating any of the provisions of the Indenture or modifying the rights of the holders of the notes, except that no such supplemental indenture may, without the consent of the holder of each note affected thereby:</w:t>
      </w:r>
    </w:p>
    <w:p>
      <w:pPr>
        <w:spacing w:after="0" w:line="85" w:lineRule="exact"/>
        <w:rPr>
          <w:sz w:val="20"/>
          <w:szCs w:val="20"/>
          <w:color w:val="auto"/>
        </w:rPr>
      </w:pPr>
    </w:p>
    <w:p>
      <w:pPr>
        <w:ind w:left="1080" w:right="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stated maturity of the principal of, or any installment of interest on, the notes, or reduce the principal amount thereof or interest thereon or any premium payable on redemption of the notes or change the currency in which the principal of and premium, if any, or interest on the notes is denominated or payable;</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notes, the consent of whose holders is required for any supplemental indenture or for waiver of compliance with certain provisions of the Indenture or certain defaults thereunder;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the notes required to consent to any waiver of defaults, covenants or supplemental indentures;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without the written consent of the Trustee, the rights, duties or immunities of the Trustee.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notes may, on behalf of all the holders of all notes:</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by Navient with certain restrictive provisions of the Indenture, as detailed in the Indenture;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past default or event of default under the Indenture and its consequences, except a default or event of default in the payment of any amount due with respect to any note, or in respect of any provision which under the Indenture cannot be modified or amended without the consent of the holder of each outstanding note affected.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will cease to be of further effect with respect to the notes if:</w:t>
      </w:r>
    </w:p>
    <w:p>
      <w:pPr>
        <w:spacing w:after="0" w:line="131" w:lineRule="exact"/>
        <w:rPr>
          <w:sz w:val="20"/>
          <w:szCs w:val="20"/>
          <w:color w:val="auto"/>
        </w:rPr>
      </w:pPr>
    </w:p>
    <w:p>
      <w:pPr>
        <w:ind w:left="1080" w:right="2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(other than destroyed, lost or stolen notes which have been replaced or paid and notes, the payment for which has been held in trust and thereafter repaid to Navient or discharged from such trust) have been delivered to the Trustee for cancellation; or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060"/>
          </w:cols>
          <w:pgMar w:left="320" w:top="455"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5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not previously delivered to the Trustee for cancellation have become due and payable or are by their terms to become due and payable at their stated maturity within one year or, if redeemable at the option of Navient, are to be called for redemption within one year under arrangements satisfactory to the Trustee and Navient has deposited with the Trustee, as trust funds, an amount sufficient to pay and discharge the entire indebtedness on the notes for principal and any premium and interest to the date of such deposit or to maturity or redemption, as the case may be.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trust may only be established if:</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has paid or caused to be paid all other sums payable by Navient under the Indenture;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312" w:lineRule="auto"/>
        <w:tabs>
          <w:tab w:leader="none" w:pos="10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Navient has delivered to the Trustee an officer’s certificate and an opinion of counsel, each stating that all conditions precedent provided for in the Indenture relating to the satisfaction and discharge of the Indenture with respect to the notes have been complied with.</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terms of the notes may provide Navient with the option to discharge its indebtedness represented by such notes or to cease to be obligated to comply with certain covenants under the Indenture. Navient, in order to exercise such option, will be required to deposit with the Trustee money and/or U.S. government obligations which, through the payment of interest and principal in respect thereof in accordance with their terms, will provide money in an amount sufficient to pay the principal of and premium, if any, and interest on, the notes at the stated maturity of such payments in accordance with the terms of the Indenture and such notes.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trust may only be established if:</w:t>
      </w:r>
    </w:p>
    <w:p>
      <w:pPr>
        <w:spacing w:after="0" w:line="131" w:lineRule="exact"/>
        <w:rPr>
          <w:sz w:val="20"/>
          <w:szCs w:val="20"/>
          <w:color w:val="auto"/>
        </w:rPr>
      </w:pPr>
    </w:p>
    <w:p>
      <w:pPr>
        <w:ind w:left="108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that with notice or lapse of time or both would become an event of default shall have occurred and be continuing on the date of such deposit (other than a default resulting from the borrowing of funds and the grant of any related liens to be applied to such deposit);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has delivered to the Trustee:</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 the holders of the notes will not recognize income, gain or loss for U.S. federal income tax purposes as a result of Navient’s exercise of this defeasance option and will be subject to U.S. federal income tax on the same amounts and in the same manner and at the same times as would have been the case if Navient had not exercised this option;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notes being discharged, accompanied by a ruling to that effect received from or published by the U.S. Internal Revenue Service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Trustee may resign or be removed with respect to the notes and a successor trustee may be appointed to act with respect to such notes.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The notes will be represented by one or more permanent global notes in definitive, fully registered form without interest coupons. Upon issuance, the notes will be deposited with The Bank of New York Mellon, as Trustee, as custodian for DTC, and registered in the name of DTC or its nominee.</w:t>
      </w:r>
    </w:p>
    <w:p>
      <w:pPr>
        <w:spacing w:after="0" w:line="14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Ownership of beneficial interests in a global note will be limited to persons who have accounts with DTC, which we refer to as “participants,” or persons who hold interests through participants. Ownership of beneficial interests in a global note will be shown on, and the transfer of that ownership will be effected only through,</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records maintained by DTC or its nominee (with respect to interests of participants) and the records of participants (with respect to interests of persons other than participants).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So long as DTC, or its nominee, is the registered owner or holder of any of the notes, DTC or that nominee as the case may be, will be considered the sole owner or holder of such notes represented by the global note for all purposes under the Indenture and the notes. No beneficial owner of an interest in a global note will be able to transfer such interest except in accordance with DTC’s applicable procedures, in addition to those provided for under the Indenture.</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Payments of the principal of, and interest on, a global note will be made to DTC or its nominee, as the case may be, as the registered owner thereof. None of the Trustee, any paying agent, or we, or any of their or our agents, will have any responsibility or liability for any aspect of the records relating to or payments made on account of beneficial ownership interests in a global note or for maintaining, supervising or reviewing any records relating to such beneficial ownership interests.</w:t>
      </w:r>
    </w:p>
    <w:p>
      <w:pPr>
        <w:spacing w:after="0" w:line="180"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We expect that DTC or its nominee, upon receipt of any payment of principal or interest in respect of a global note, will credit participants’ accounts with payments in amounts proportionate to their respective beneficial interests in the principal amount of such global note as shown on the records of DTC or its nominee. We also expect that payments by participants to owners of beneficial interests in such global note held through such participants will be governed by standing instructions and customary practices, as is now the case with securities held for the accounts of customers registered in the names of nominees for such customers. Such payments will be the responsibility of such participants.</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Transfers between participants in DTC will be effected in the ordinary way in accordance with DTC rules and procedures and will be settled in same-day funds.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expect that DTC will take any action permitted to be taken by a holder of notes only at the direction of one or more participants to whose account the DTC interests in a global note is credited and only in respect of such portion of the aggregate principal amount of notes as to which such participant or participants has or have given such direction. However, if there is an event of default under the notes, DTC will exchange the applicable global note for certificated notes, which it will distribute to its participants.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global note is exchangeable for definitive notes in registered certificated form if:</w:t>
      </w:r>
    </w:p>
    <w:p>
      <w:pPr>
        <w:spacing w:after="0" w:line="131" w:lineRule="exact"/>
        <w:rPr>
          <w:sz w:val="20"/>
          <w:szCs w:val="20"/>
          <w:color w:val="auto"/>
        </w:rPr>
      </w:pPr>
    </w:p>
    <w:p>
      <w:pPr>
        <w:ind w:left="1080" w:right="7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(i) notifies us that it is unwilling or unable to continue as depositary for the global notes, and we fail to appoint a successor depositary, or (ii) has ceased to be a clearing agency registered under the Exchange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notify the Trustee in writing that we have elected to cause the issuance of the certificated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and is continuing a default or event of default with respect to the notes.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beneficial interests in a global note may be exchanged for certificated securities upon prior written notice given to the Trustee by or on behalf of DTC in accordance with the Indenture.</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all cases, certificated securities delivered in exchange for any beneficial interests in global notes will be registered in the names, and issued in any approved denominations, requested by or on behalf of the depositary (in accordance with its customary procedures). Certificated securities may be presented for registration, transfer and exchange at The Bank of New York Mellon, New York, New York, or the office or agency designated for such purpose.</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DTC has advised us that: DTC is a limited purpose trust company organized under the laws of the State of New York, a “banking organization” within the meaning of New York Banking Law, a member of the Federal</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60"/>
          </w:cols>
          <w:pgMar w:left="320" w:top="455"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56" w:lineRule="auto"/>
        <w:rPr>
          <w:sz w:val="20"/>
          <w:szCs w:val="20"/>
          <w:color w:val="auto"/>
        </w:rPr>
      </w:pPr>
      <w:r>
        <w:rPr>
          <w:rFonts w:ascii="Times New Roman" w:cs="Times New Roman" w:eastAsia="Times New Roman" w:hAnsi="Times New Roman"/>
          <w:sz w:val="18"/>
          <w:szCs w:val="18"/>
          <w:color w:val="auto"/>
        </w:rPr>
        <w:t>Reserve System, a “clearing corporation” within the meaning of the Uniform Commercial Code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Indirect access to the DTC system is available to others such as banks, brokers, dealers and trust companies and certain other organizations that clear through or maintain a custodial relationship with a participant, either directly or indirectly, whom we refer to as indirect participants.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Although DTC is expected to follow the foregoing procedures in order to facilitate transfers of interests in a global note among participants of DTC, they are under no obligation to perform or continue to perform such procedures, and such procedures may be discontinued at any time. None of the Trustee, the paying agent, or we, or any of their or our agents, will have any responsibility for the performance by DTC or its participants or indirect participants of their respective obligations under the rules and procedures governing their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Same Day Settlement and Payment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make payments in respect of the notes (including principal, interest and premium, if any) at the Corporate Trust Office of the Trustee except that, at the option of Navient, we will make payments of interest by check mailed to the registered address of the holder of the notes entitled thereto or, in accordance with arrangements satisfactory to the Trustee, at the option of the holder of the notes by wire transfer to an account designated by such holder. The notes represented by the global notes are expected to trade in DTC’s Same Day Funds Settlement System, and any permitted secondary market trading activity in the notes will, therefore, be required by DTC to be settled in immediately available funds. We expect that secondary trading in any certificated securities will also be settled in immediately available funds.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Euroclear and Clearstream</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Investors may hold interests in the notes outside the United States through Euroclear or Clearstream if they are participants in those systems, or indirectly through organizations which are participants in those systems.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The following is based on information furnished by Euroclear or Clearstream, as the case may be.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Euroclear has advised us that:</w:t>
      </w:r>
    </w:p>
    <w:p>
      <w:pPr>
        <w:spacing w:after="0" w:line="131" w:lineRule="exact"/>
        <w:rPr>
          <w:sz w:val="20"/>
          <w:szCs w:val="20"/>
          <w:color w:val="auto"/>
        </w:rPr>
      </w:pPr>
    </w:p>
    <w:p>
      <w:pPr>
        <w:ind w:left="1080" w:right="16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w:t>
      </w:r>
    </w:p>
    <w:p>
      <w:pPr>
        <w:spacing w:after="0" w:line="81"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Euroclear includes various other services, including securities lending and borrowing and interfaces with domestic markets in several countries;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Euroclear is operated by Euroclear Bank S.A./ N.V., as operator of the Euroclear System (the “Euroclear Operator”), under contract with Euroclear Clearance Systems S.C., a Belgian cooperative corporation (the “Cooperative”);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underwriters of securities offered by this prospectus supplement;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access to Euroclear is also available to other firms that clear through or maintain a custodial relationship with a Euroclear participant, either directly or indirectly;</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(collectively, the “Terms and Conditions”);</w:t>
      </w:r>
    </w:p>
    <w:p>
      <w:pPr>
        <w:spacing w:after="0" w:line="81"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govern transfers of securities and cash within Euroclear, withdrawals of securities and cash from Euroclear, and receipts of payments with respect to securities in Euroclear. The Euroclear Operator acts under the Terms and Conditions only on behalf of Euroclear participants, and has no record of or relationship with persons holding through Euroclear participants; and</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with respect to securities held beneficially through Euroclear will be credited to the cash accounts of Euroclear participants in accordance with the Terms and Conditions, to the extent received by the U.S. depositary for Euroclear.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Clearstream has advised us that:</w:t>
      </w:r>
    </w:p>
    <w:p>
      <w:pPr>
        <w:spacing w:after="0" w:line="131" w:lineRule="exact"/>
        <w:rPr>
          <w:sz w:val="20"/>
          <w:szCs w:val="20"/>
          <w:color w:val="auto"/>
        </w:rPr>
      </w:pPr>
    </w:p>
    <w:p>
      <w:pPr>
        <w:ind w:left="1080" w:right="16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incorporated under the laws of Luxembourg as a professional depositary and holds securities for its participating organizations and facilitates the clearance and settlement of securities transactions between Clearstream participants through electronic book-entry changes in accounts of Clearstream participants, thereby eliminating the need for physical movement of certificates;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Clearstream provides to Clearstream participants, among other things, services for safekeeping, administration, clearance and settlement of internationally traded securities and securities lending and borrowing. Clearstream interfaces with domestic markets in several countries;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professional depositary, Clearstream is subject to regulation by the Luxembourg Monetary Institute;</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Clearstream participants are recognized financial institutions around the world, including underwriters, securities brokers and dealers, banks, trust companies, clearing corporations and certain other organizations and may include underwriters of securities offered by this prospectus supplement;</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access to Clearstream is also available to others, such as banks, brokers, dealers and trust companies that clear through or maintain a custodial relationship with a Clearstream participant either directly or indirectly; and</w:t>
      </w:r>
    </w:p>
    <w:p>
      <w:pPr>
        <w:spacing w:after="0" w:line="67" w:lineRule="exact"/>
        <w:rPr>
          <w:rFonts w:ascii="Times New Roman" w:cs="Times New Roman" w:eastAsia="Times New Roman" w:hAnsi="Times New Roman"/>
          <w:sz w:val="18"/>
          <w:szCs w:val="18"/>
          <w:color w:val="auto"/>
        </w:rPr>
      </w:pPr>
    </w:p>
    <w:p>
      <w:pPr>
        <w:ind w:left="1080" w:right="740" w:hanging="424"/>
        <w:spacing w:after="0" w:line="312" w:lineRule="auto"/>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with respect to the securities held beneficially through Clearstream will be credited to cash accounts of Clearstream participants in accordance with its rules and procedures, to the extent received by the U.S. depositary for Clearstream.</w:t>
      </w:r>
    </w:p>
    <w:p>
      <w:pPr>
        <w:spacing w:after="0" w:line="14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have provided the following descriptions of the operations and procedures of Euroclear and Clearstream solely as a matter of convenience. These operations and procedures are solely within the control of Euroclear and Clearstream and are subject to change by them from time to time. Neither we, the underwriters, nor the Trustee take any responsibility for these operations or procedures, and you are urged to contact Euroclear or Clearstream or their respective participants directly to discuss these matters.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Secondary market trading between Euroclear participants and Clearstream participants will occur in the ordinary way in accordance with the applicable rules and operating procedures of Euroclear and Clearstream and will be settled using the procedures applicable to conventional eurobonds in immediately available funds.</w:t>
      </w:r>
    </w:p>
    <w:p>
      <w:pPr>
        <w:spacing w:after="0" w:line="176" w:lineRule="exact"/>
        <w:rPr>
          <w:sz w:val="20"/>
          <w:szCs w:val="20"/>
          <w:color w:val="auto"/>
        </w:rPr>
      </w:pPr>
    </w:p>
    <w:p>
      <w:pPr>
        <w:jc w:val="both"/>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Cross-market transfers between persons holding directly or indirectly through DTC, on the one hand, and directly or indirectly through Euroclear or Clearstream participants, on the other, will be effected within DTC in accordance with DTC’s rules on behalf of the relevant European international clearing system by its U.S. depositary; however, such cross-market transactions will require delivery of instructions to the relevant European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in DTC, and making or receiving payment in accordance with normal procedures. Euroclear participants and Clearstream participants may not deliver instructions directly to their respective U.S. depositaries.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of time-zone differences, credits of securities received in Euroclear or Clearstream as a result of a transaction with a DTC participant will be made during subsequent securities settlement processing and dated the business day following the DTC settlement date. Such credits, or any transactions in the securities settled during such processing, will be reported to the relevant Euroclear participants or Clearstream participants on that business day. Cash received in Euroclear or Clearstream as a result of sales of securities by or through a Euroclear participant or a Clearstream participant to a DTC participant will be received with value on the business day of settlement in DTC but will be available in the relevant Euroclear or Clearstream cash account only as of the business day following settlement in DTC.</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Although DTC, Euroclear and Clearstream have agreed to the foregoing procedures in order to facilitate transfers of securities among participants of DTC, Euroclear and Clearstream, they are under no obligation to perform or continue to perform such procedures and they may discontinue the procedures at any time.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 FOR NON-U.S. 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U.S. federal income tax considerations generally applicable to an investment in the notes by Non-U.S. Holders (as defined herein). The summary is based on the Code, U.S. Treasury regulations promulgated thereunder, judicial decisions, published positions of the IRS and other applicable authorities, all as in effect as of the date hereof and all of which are subject to change or differing interpretations (possibly on a retroactive basis). This discussion does not address all aspects of U.S. federal income taxation that may be relevant to a particular person or persons subject to special treatment under U.S. federal income tax laws (such as broker dealers, traders in securities that elect to use a mark-to-market method of accounting, financial institutions, regulated investment companies, real estate investment trusts, tax-exempt organizations, insurance companies, persons who hold notes as part of a hedging, integrated, straddle, conversion or constructive sale transaction for U.S. federal income tax purposes, persons subject to the alternative minimum or the Medicare tax on certain investment income, U.S. expatriates, controlled foreign corporations, passive foreign investment companies or persons that are, or hold their notes through, partnerships or other pass-through entities) all of whom may be subject to tax rules that differ from those summarized below. Moreover, this discussion does not address any foreign, state or local tax considerations, or any U.S. federal tax considerations other than U.S. federal income tax considerations. No assurance can be given that the IRS would not assert, or that a court would not sustain, a position contrary to any of those set forth below.</w:t>
      </w:r>
    </w:p>
    <w:p>
      <w:pPr>
        <w:spacing w:after="0" w:line="19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addition, this discussion deals only with certain U.S. federal income tax considerations for a holder that acquires the notes in the initial offering at their issue price and holds the notes as capital assets within the meaning of the Code (generally, property held for investment).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summary is based on current U.S. federal income tax law, which is subject to change, possibly with retroactive effect.</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EACH PROSPECTIVE PURCHASER OF THE NOTES SHOULD CONSULT ITS TAX ADVISOR CONCERNING THE U.S. FEDERAL, STATE, LOCAL AND FOREIGN TAX CONSIDERATIONS OF AN INVESTMENT IN SUCH NOTES.</w:t>
      </w:r>
    </w:p>
    <w:p>
      <w:pPr>
        <w:spacing w:after="0" w:line="16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 “U.S. Holder” means a beneficial owner of a note (as determined for U.S. federal income tax purposes) that, for U.S. federal income tax purposes, is:</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or any state thereof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court within the United States and for which one or more U.S. persons have the authority to control all substantial decisions, or (ii) that has a valid election in effect under applicable U.S. Treasury regulations to be treated as a U.S. person.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“Non-U.S. Holder” means any beneficial owner of a note (as determined for U.S. federal income tax purposes) that is not a U.S. Holder or a partnership (or any other entity or arrangement treated as a partnership for U.S. federal income tax purposes). If a partnership (or any other entity or arrangement treated as a partnership for U.S. federal income tax purposes) holds a note, the U.S. federal income tax treatment of a partner generally will depend upon the status of the partner and the activities of the partnership. A partner of a partnership holding a note should consult its tax advisor concerning the U.S. federal income and other tax considerations of its investment in the notes.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Considerations for Non-U.S. Holders</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A Non-U.S. Holder will generally not be subject to U.S. federal income or withholding tax on interest paid or accrued on a note if: (1)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is not effectively connected with the conduct of a trade or business by the Non-U.S. Holder within the United States and, if required by an applicable income tax treaty, the interest is not attributable to a permanent establishment or fixed base maintained by the Non-U.S. Holder in the United States and (2) the Non-U.S. Holder satisfies the following requirements:</w:t>
      </w:r>
    </w:p>
    <w:p>
      <w:pPr>
        <w:spacing w:after="0" w:line="87" w:lineRule="exact"/>
        <w:rPr>
          <w:sz w:val="20"/>
          <w:szCs w:val="20"/>
          <w:color w:val="auto"/>
        </w:rPr>
      </w:pPr>
    </w:p>
    <w:p>
      <w:pPr>
        <w:ind w:left="1080" w:right="32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actually or constructively own stock representing 10% or more of the total combined voting power of all classes of our stock entitled to vote;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controlled foreign corporation related to us (directly or indirectly) through stock ownership;</w:t>
      </w:r>
    </w:p>
    <w:p>
      <w:pPr>
        <w:spacing w:after="0" w:line="130"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Non-U.S. Holder certifies to its non-U.S. status and that no withholding is required pursuant to FATCA (discussed below) on IRS Form W-8BEN or W-8BEN-E (or a substantially similar form), as applicable, or (B) a securities clearing organization or certain other financial institutions holding the note on behalf of the Non-U.S. Holder certifies on IRS Form W-8IMY that such certification has been received by it and furnishes us or our paying agent with a copy of the IRS Form W-8IMY together with the W-8BEN or W-8BEN-E of the beneficial owner, together with a withholding statement, if applicable; and</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paying agent do not have actual knowledge or reason to know that the beneficial owner of the note is a U.S. person.</w:t>
      </w:r>
    </w:p>
    <w:p>
      <w:pPr>
        <w:spacing w:after="0" w:line="22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If a Non-U.S. Holder cannot satisfy the requirements described in clause (1) above, please see the discussion set forth under the heading “U.S. Trade or Business” below. If a Non-U.S. Holder cannot satisfy the requirements described in clause (2) above and does not establish that the interest is effectively connected with the Non-U.S. Holder’s conduct of a trade or business in the United States or if required by an applicable income tax treaty, that the interest is attributable to a permanent establishment or fixed base maintained by the Non-U.S. Holder in the United States, interest on the notes generally will be subject to U.S. federal withholding tax at a 30% rate (or such lower rate as may be specified by an applicable income tax treaty, provided certain certification requirements are met).</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Sale, Exchange, Retirement, Redemption or Other Taxable Disposition of a Note</w:t>
      </w:r>
      <w:r>
        <w:rPr>
          <w:rFonts w:ascii="Times New Roman" w:cs="Times New Roman" w:eastAsia="Times New Roman" w:hAnsi="Times New Roman"/>
          <w:sz w:val="18"/>
          <w:szCs w:val="18"/>
          <w:color w:val="auto"/>
        </w:rPr>
        <w:t>. A Non-U.S. Holder generally will not be subject to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or withholding tax on the receipt of payments of principal on a note or on any gain recognized upon the sale, exchange, retirement, redemption or other taxable disposition of a note, unless in the case where (i) such gain is effectively connected with the conduct by such Non-U.S. Holder of a trade or business within the United States and, if required by an applicable income tax treaty, such gain is attributable to a permanent establishment or fixed base maintained by the Non-U.S. Holder within the United States or (ii) such Non-U.S. Holder is an individual who is present in the United States for 183 days or more in the taxable year of disposition, and certain other conditions are met. In the case described in (ii), the Non-U.S. Holder will generally be subject to 30% tax (or lower applicable treaty rate) on any capital gain recognized on the sale or other taxable disposition of a note, which may be offset by certain U.S.-source capital losses. Proceeds from the sale or other taxable disposition of a note that are attributable to accrued but unpaid interest will generally be subject to, or exempt from, tax to the same extent as described above with respect to interest paid on a note.</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U.S. Trade or Business</w:t>
      </w:r>
      <w:r>
        <w:rPr>
          <w:rFonts w:ascii="Times New Roman" w:cs="Times New Roman" w:eastAsia="Times New Roman" w:hAnsi="Times New Roman"/>
          <w:sz w:val="18"/>
          <w:szCs w:val="18"/>
          <w:color w:val="auto"/>
        </w:rPr>
        <w:t>. If a Non-U.S. Holder is engaged in a trade or business in the United States, and if interest or gain on a note is effectively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connected with the conduct of such trade or business and, where required by an applicable income tax treaty, is attributable to a permanent establishment or fixed base maintained by the Non-U.S. Holder within the United States, the Non-U.S. Holder generally will be subject to U.S. federal income tax on the receipt or accrual of such interest or the recognition of gain upon the sale or other taxable disposition of the note on a net basis in the same manner as if such holder were a U.S. Holder. If such interest or gain is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recognized by a Non-U.S. Holder that is classified as a non-U.S. corporation, such corporation may also be subject to an additional U.S. federal branch profits tax at a 30% rate (or such lower rate as may be specified by an applicable income tax treaty). Non-U.S. Holders should consult their tax advisors with respect to other U.S. tax considerations of the ownership and disposition of the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provisions of U.S. federal income tax law commonly known as “FATCA,” withholding at a rate of 30% generally will be required in certain circumstances on interest in respect of the notes held by or through certain foreign financial institutions (including investment funds), unless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or other guidance, may modify these requirements. Accordingly, the entity through which each note is held will affect the determination of whether such withholding is required. Similarly, in certain circumstances, interest in respect of the notes held by an investor that is a non-financial non-U.S. entity that does not qualify under certain exemptions generally will be subject to withholding at a rate of 30%, unless such entity either (i) certifies to us or our paying agent that such entity does not have any “substantial United States owners” or (ii) provides certain information regarding the entity’s “substantial United States owners,” which we or our paying agent will in turn provide to the IRS. We will not pay additional amounts to Non-U.S. Holders in respect of any amounts withheld. Prospective investors should consult their tax advisors regarding the possible implications of these rules on their investment in the notes.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 the date of this prospectus supplement, the underwriters named below, for whom BofA Securities, Inc., Barclays Capital Inc., J.P. Morgan Securities LLC and RBC Capital Markets, LLC are acting as the representatives, have severally agreed to purchase, and we have agreed to sell to them, severally, the principal amount of notes set forth opposite their names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7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900" w:type="dxa"/>
            <w:vAlign w:val="bottom"/>
            <w:vMerge w:val="restart"/>
          </w:tcPr>
          <w:p>
            <w:pPr>
              <w:spacing w:after="0"/>
              <w:rPr>
                <w:sz w:val="12"/>
                <w:szCs w:val="12"/>
                <w:color w:val="auto"/>
              </w:rPr>
            </w:pPr>
          </w:p>
        </w:tc>
        <w:tc>
          <w:tcPr>
            <w:tcW w:w="7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5900" w:type="dxa"/>
            <w:vAlign w:val="bottom"/>
            <w:vMerge w:val="continue"/>
          </w:tcPr>
          <w:p>
            <w:pPr>
              <w:spacing w:after="0"/>
              <w:rPr>
                <w:sz w:val="15"/>
                <w:szCs w:val="15"/>
                <w:color w:val="auto"/>
              </w:rPr>
            </w:pPr>
          </w:p>
        </w:tc>
        <w:tc>
          <w:tcPr>
            <w:tcW w:w="740" w:type="dxa"/>
            <w:vAlign w:val="bottom"/>
            <w:gridSpan w:val="4"/>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of notes</w:t>
            </w:r>
          </w:p>
        </w:tc>
        <w:tc>
          <w:tcPr>
            <w:tcW w:w="0" w:type="dxa"/>
            <w:vAlign w:val="bottom"/>
          </w:tcPr>
          <w:p>
            <w:pPr>
              <w:spacing w:after="0"/>
              <w:rPr>
                <w:sz w:val="1"/>
                <w:szCs w:val="1"/>
                <w:color w:val="auto"/>
              </w:rPr>
            </w:pPr>
          </w:p>
        </w:tc>
      </w:tr>
      <w:tr>
        <w:trPr>
          <w:trHeight w:val="203"/>
        </w:trPr>
        <w:tc>
          <w:tcPr>
            <w:tcW w:w="6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the approval of certain legal matters by their counsel and to certain other conditions. The underwriters are obligated to take and pay for all of the notes offered by this prospectus supplement if any such notes are taken.</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underwriters initially propose to offer the notes directly to the public at the public offering price set forth on the cover page of this prospectus supplement and may offer the notes to certain dealers at a price that represents a concession not in excess of   % of the principal amount of the notes. Any such dealers may resell the notes purchased from the underwriters to certain other brokers or dealers at a discount not to exceed   % of the principal amount of the notes. After the initial offering of the notes, the offering price and other selling terms may from time to time be varied by the representatives. The underwriters may offer and sell the notes through certain of their affiliates.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underwriting discount that we will pay to the underwriters in connection with this offering:</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Note Paid by Us</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60" w:type="dxa"/>
            <w:vAlign w:val="bottom"/>
            <w:gridSpan w:val="2"/>
          </w:tcPr>
          <w:p>
            <w:pPr>
              <w:jc w:val="right"/>
              <w:ind w:right="290"/>
              <w:spacing w:after="0"/>
              <w:rPr>
                <w:sz w:val="20"/>
                <w:szCs w:val="20"/>
                <w:color w:val="auto"/>
              </w:rPr>
            </w:pPr>
            <w:r>
              <w:rPr>
                <w:rFonts w:ascii="Times New Roman" w:cs="Times New Roman" w:eastAsia="Times New Roman" w:hAnsi="Times New Roman"/>
                <w:sz w:val="8"/>
                <w:szCs w:val="8"/>
                <w:color w:val="auto"/>
                <w:w w:val="74"/>
              </w:rPr>
              <w:t> </w:t>
            </w: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Expenses associated with this offering to be paid by us, other than underwriting discounts, are estimated to be approximately $      .</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of the notes, the underwriters may engage in transactions that stabilize, maintain or otherwise affect the price of the notes. Specifically, the underwriters may over allot in connection with the offering of the notes, creating a syndicate short position. In addition, the underwriters may bid for, and purchase, notes in the open market to cover syndicate short positions or to stabilize the price of the notes. The underwriters may also impose a penalty bid. This occurs when a certain underwriter repays to the underwriters a portion of the underwriting discount received by it because the representatives have repurchased notes sold by or for the account of such underwriter in stabilizing or short covering transactions.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which the underwriters may be required to make in respect of any such liabilities.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Prior to the offering, there have been no active markets for the notes. The underwriters have advised us that certain of the underwriters presently intend to make markets in the notes as permitted by applicable laws and regulations. Such underwriters are not obligated, however, to make the markets in the notes and any such market making may be discontinued at any time at the discretion of such underwriters. Accordingly, no assurance can be given as to the liquidity of, or trading markets for, the notes.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 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notes offered hereby. Any such credit default swaps or short positions could adversely affect future trading prices of the notes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300" w:lineRule="exact"/>
        <w:rPr>
          <w:sz w:val="20"/>
          <w:szCs w:val="20"/>
          <w:color w:val="auto"/>
        </w:rPr>
      </w:pPr>
    </w:p>
    <w:p>
      <w:pPr>
        <w:jc w:val="center"/>
        <w:ind w:right="944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jc w:val="center"/>
        <w:ind w:right="9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EEA Retail Investor in the European Economic Area (the “EEA”). For these purposes, an “EEA Retail Investor” means a person who is one (or more) of the following: (i) a retail client as defined in point (11) of Article 4(1) of Directive 2014/65/EU (as amended, “MiFID II”); or (ii) a customer within the meaning of Directive (EU) 2016/97, (as amended), where that customer would not qualify as a professional client as defined in point (10) of Article 4(1) of MiFID II; or (iii) not a qualified investor as defined in Article 2 of Regulation (EU) 2017/1129 (as amended, the “Prospectus Regulation”). Consequently no key information document required by Regulation (EU) No 1286/2014 (as amended, the “EU PRIIPs Regulation”) for offering or selling the notes or otherwise making them available to EEA Retail Investor in the EEA has been prepared and therefore offering or selling the notes or otherwise making them available to any EEA Retail Investor in the EEA may be unlawful under the EU PRIIPs Regulation.</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Each underwriter has represented, warranted and agreed that it has not offered, sold or otherwise made available and will not offer, sell or otherwise make available any notes to any EEA Retail Investor in the European Economic Area. For the purposes of this provision, the expression “offer” includes the communication in any form and by any means of sufficient information on the terms of the offer and the notes to be offered so as to enable an investor to decide to purchase or subscribe for the notes.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UK Retail Investor in the United Kingdom (the “UK”). For these purposes, a “UK Retail Investor” means a person who is neither: (i) a retail client as defined in point (8) of Article 2 of Regulation (EU) 2017/565 as it forms part of UK domestic law by virtue of the European Union (Withdrawal) Act 2018 (as amended, the “EUWA”); nor (ii) a qualified investor as defined in paragraph 15 of Schedule 1 to the Public Offers and Admissions to Trading Regulations 2024 (SI 2024/105).</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it forms part of UK domestic law by virtue of the EUWA (as amended,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UK Financial Promotion Regime.</w:t>
      </w:r>
    </w:p>
    <w:p>
      <w:pPr>
        <w:spacing w:after="0" w:line="119" w:lineRule="exact"/>
        <w:rPr>
          <w:sz w:val="20"/>
          <w:szCs w:val="20"/>
          <w:color w:val="auto"/>
        </w:rPr>
      </w:pPr>
    </w:p>
    <w:p>
      <w:pPr>
        <w:jc w:val="both"/>
        <w:ind w:left="120" w:right="160" w:firstLine="440"/>
        <w:spacing w:after="0" w:line="270" w:lineRule="auto"/>
        <w:rPr>
          <w:sz w:val="20"/>
          <w:szCs w:val="20"/>
          <w:color w:val="auto"/>
        </w:rPr>
      </w:pPr>
      <w:r>
        <w:rPr>
          <w:rFonts w:ascii="Times New Roman" w:cs="Times New Roman" w:eastAsia="Times New Roman" w:hAnsi="Times New Roman"/>
          <w:sz w:val="17"/>
          <w:szCs w:val="17"/>
          <w:color w:val="auto"/>
        </w:rPr>
        <w:t>The communication of this prospectus supplement and any other document in connection with the offering and issuance of the notes is directed only to persons who: (i) are outside of the United Kingdom; (ii) have professional experience in matters relating to investments and are persons falling within Article 19(5) of the Financial Services and Markets Act 2000 (Financial Promotion) Order 2005 (as amended, the “Order”); or (iii) are persons falling within Article 49(2) of the Order or (iii) are persons to whom this prospectus supplement may otherwise lawfully be issued or passed on; or</w:t>
      </w:r>
    </w:p>
    <w:p>
      <w:pPr>
        <w:spacing w:after="0" w:line="3" w:lineRule="exact"/>
        <w:rPr>
          <w:sz w:val="20"/>
          <w:szCs w:val="20"/>
          <w:color w:val="auto"/>
        </w:rPr>
      </w:pPr>
    </w:p>
    <w:p>
      <w:pPr>
        <w:ind w:left="120" w:right="200" w:hanging="4"/>
        <w:spacing w:after="0" w:line="255" w:lineRule="auto"/>
        <w:tabs>
          <w:tab w:leader="none" w:pos="4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any other persons to whom it may otherwise lawfully be communicated or directed (all such persons together being referred to as “Relevant Persons”). A person who is not a Relevant Person should not act or rely on this Offering Circular or any of its contents. Any investment or investment activity to which this Offering Circular relates is available only to Relevant Persons and will be engaged in only with Relevant Persons.</w:t>
      </w:r>
    </w:p>
    <w:p>
      <w:pPr>
        <w:spacing w:after="0" w:line="18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Relevant Persons should note that all, or most, of the protections offered by the United Kingdom regulatory system will not apply to an investment in the notes and that compensation will not be available under the United Kingdom Financial Services Compensation Scheme.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31" w:lineRule="exact"/>
        <w:rPr>
          <w:sz w:val="20"/>
          <w:szCs w:val="20"/>
          <w:color w:val="auto"/>
        </w:rPr>
      </w:pPr>
    </w:p>
    <w:p>
      <w:pPr>
        <w:ind w:left="1080" w:hanging="532"/>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offered, sold or otherwise made available and will not offer, sell or otherwise make available any notes to any UK Retail Investor in the UK. For the purposes of this provision, the expression “offer” includes the communication in any form and by any means of sufficient information on the terms of the offer and the notes to be offered so as to enable an investor to decide to purchase or subscribe for the notes;</w:t>
      </w:r>
    </w:p>
    <w:p>
      <w:pPr>
        <w:spacing w:after="0" w:line="85"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any notes in circumstances in which section 21(1) of the FSMA does not apply to us; and</w:t>
      </w:r>
    </w:p>
    <w:p>
      <w:pPr>
        <w:spacing w:after="0" w:line="81"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notes in, from or otherwise involving the United Kingdom.</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may not be offered or sold by means of any document other than (i) in circumstances which do not constitute an offer to the public within the meaning of the Companies Ordinance (Cap.32, Laws of Hong Kong), or (ii)to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(Cap.571, Laws of Hong Kong) and any rules made thereunder.</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under the Securities and Futures Act, Chapter 289 of Singapore, which we refer to as the SFA, by the Monetary Authority of Singapore, and the offer of the notes in Singapore is made primarily pursuant to the exemptions under Sections 274 and 275 of the SFA. Accordingly, this prospectus supplement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(a) to an institutional investor as defined in the SFA, which we refer to as an Institutional Investor, pursuant to Section 274 of the SFA, (b) to an accredited investor as defined in the SFA, which we refer to as an Accredited Investor, or other relevant person as defined in Section 275(2) of the SFA, which we refer to as a Relevant Person, and pursuant to Section 275(1) of the SFA, or to any person pursuant to an offer referred to in Section 275(1A) of the SFA, and in accordance with the conditions specified in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275 of the SFA, or (c) otherwise pursuant to, and in accordance with, the conditions of any other applicable exemption or provision of the SFA.</w:t>
      </w:r>
    </w:p>
    <w:p>
      <w:pPr>
        <w:spacing w:after="0" w:line="22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Singapore Securities and Futures Act Product Classification</w:t>
      </w:r>
      <w:r>
        <w:rPr>
          <w:rFonts w:ascii="Times New Roman" w:cs="Times New Roman" w:eastAsia="Times New Roman" w:hAnsi="Times New Roman"/>
          <w:sz w:val="18"/>
          <w:szCs w:val="18"/>
          <w:color w:val="auto"/>
        </w:rPr>
        <w:t>—Solely for the purposes of its obligations pursuant to sections 309B(1)(a)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309B(1)(c) of the SFA, the Company has determined, and hereby notifies all relevant persons (as defined in Section 309A of the SFA) that the notes are “prescribed capital markets products”(as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notes may not be publicly offered, directly or indirectly, in Switzerland within the meaning of the Swiss Financial Services Act (the “FinSA”) and will not be admitted to trading on any trading venue (exchange or multilateral trading facility) in Switzerland. Neither this prospectus supplement nor any other offering or marketing material relating to the notes constitutes a prospectus as such term is understood pursuant to the FinSA, and neither this prospectus supplement nor any other offering or marketing material relating to the notes may be publicly distributed or otherwise made publicly available in Switzerland.</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prospectus supplements in connection with Exempt Offers. The DFSA has not approved this prospectus supplement nor taken steps to verify the information set forth herein and has no responsibility for this prospectus supplement. The notes to which this prospectus supplement relates may be illiquid 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Dubai International Financial Centre (“DIFC”), this prospectus supplement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the accompanying prospectus and any other offering or marketing material relating to the notes or the offering do not constitute a public offer of securities in the United Arab Emirates (including the Abu Dhabi Global Market and the Dubai International Financial Centre) and are not intended to be a public offer. This prospectus supplement, the accompanying prospectus and any other offering or marketing material relating to the notes or the offering have not been approved by or filed with the Central Bank of the United Arab Emirates, the Securities and Commodities Authority, the Financial Services Regulatory Authority or the Dubai Financial Services Authority.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notes offered in this offering and certain other legal matters will be passed upon for us by Skadden, Arps, Slate, Meagher &amp; Flom LLP, New York, New York. Certain legal matters relating to the offering of the notes will be passed upon for the underwriters by Cadwalader, Wickersham &amp; Taft LLP.</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Navient Corporation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under the Exchange Act. You may access electronically without charge any documents filed by us at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The SEC’s website contains reports, proxy and information statements, and other information regarding issuers that file electronically with the SEC, including Navient Corporation. Our common shares are listed and traded on the NASDAQ. You may also inspect the information we file with the SEC at the NASDAQ’s offices at One Liberty Plaza, 165 Broadway, New York, New York 10006. Information about us, including our SEC filings, is also available at our internet site at </w:t>
      </w:r>
      <w:r>
        <w:rPr>
          <w:rFonts w:ascii="Times New Roman" w:cs="Times New Roman" w:eastAsia="Times New Roman" w:hAnsi="Times New Roman"/>
          <w:sz w:val="18"/>
          <w:szCs w:val="18"/>
          <w:u w:val="single" w:color="auto"/>
          <w:color w:val="auto"/>
        </w:rPr>
        <w:t>http://www.navient.com</w:t>
      </w:r>
      <w:r>
        <w:rPr>
          <w:rFonts w:ascii="Times New Roman" w:cs="Times New Roman" w:eastAsia="Times New Roman" w:hAnsi="Times New Roman"/>
          <w:sz w:val="18"/>
          <w:szCs w:val="18"/>
          <w:color w:val="auto"/>
        </w:rPr>
        <w:t>. However, the information on our internet site is not part of this prospectus supplement or the accompanying prospectus.</w:t>
      </w:r>
    </w:p>
    <w:p>
      <w:pPr>
        <w:spacing w:after="0" w:line="187"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documents we file with the SEC into this prospectus supplement and the accompanying prospectus, which means that we can disclose important information to you by referring you to another document filed separately with the SEC. The information incorporated by reference is considered part of this prospectus supplement and the accompanying prospectus. If any statement in this prospectus supplement, the accompanying prospectus or any document incorporated by reference is inconsistent with a statement in another document having a later date—for example, a document incorporated by reference in the accompanying prospectus—the statement in the document having the later date modifies or supersedes the earlier statement. Any statement so modified or superseded shall not be deemed, except as so modified or superseded, to constitute a part of this prospectus supplement or the accompanying prospectus.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and the accompanying prospectus the documents listed below and all documents we subsequently file with the SEC pursuant to Sections 13(a), 13(c), 14 or 15(d) of the Exchange Act, prior to the completion of the offering of all securities covered by this prospectus supplement (other than documents or information deemed to have been furnished and not filed in accordance with SEC rules):</w:t>
      </w:r>
    </w:p>
    <w:p>
      <w:pPr>
        <w:spacing w:after="0" w:line="85"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February 26,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April 29,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to the extent filed with the SEC on </w:t>
      </w:r>
      <w:hyperlink r:id="rId51">
        <w:r>
          <w:rPr>
            <w:rFonts w:ascii="Times New Roman" w:cs="Times New Roman" w:eastAsia="Times New Roman" w:hAnsi="Times New Roman"/>
            <w:sz w:val="18"/>
            <w:szCs w:val="18"/>
            <w:u w:val="single" w:color="auto"/>
            <w:color w:val="0000EE"/>
          </w:rPr>
          <w:t>January 8,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2">
        <w:r>
          <w:rPr>
            <w:rFonts w:ascii="Times New Roman" w:cs="Times New Roman" w:eastAsia="Times New Roman" w:hAnsi="Times New Roman"/>
            <w:sz w:val="18"/>
            <w:szCs w:val="18"/>
            <w:u w:val="single" w:color="auto"/>
            <w:color w:val="0000EE"/>
          </w:rPr>
          <w:t>April 8, 2026</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53">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on April 16, 2026 (solely to the extent incorporated by reference into Part III of our Annual Report on </w:t>
      </w:r>
      <w:hyperlink r:id="rId4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w:t>
      </w:r>
    </w:p>
    <w:p>
      <w:pPr>
        <w:spacing w:after="0" w:line="9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upon written or oral request, a copy of any or all of the documents that are incorporated by reference into this prospectus supplement or the accompanying prospectus, excluding any exhibits to those documents unless the exhibit is specifically incorporated by reference as an exhibit in this prospectus supplement or the accompanying prospectus. You should direct requests for documents to:</w:t>
      </w:r>
    </w:p>
    <w:p>
      <w:pPr>
        <w:spacing w:after="0" w:line="17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Navient Corporation</w:t>
      </w:r>
    </w:p>
    <w:p>
      <w:pPr>
        <w:spacing w:after="0" w:line="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13865 Sunrise Valley Drive</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Herndon, Virginia 20171</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Telephone: (302) 283-8000</w:t>
      </w:r>
    </w:p>
    <w:p>
      <w:pPr>
        <w:spacing w:after="0" w:line="13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0840"/>
          </w:cols>
          <w:pgMar w:left="320" w:top="455" w:right="7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217170</wp:posOffset>
            </wp:positionV>
            <wp:extent cx="1817370"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81737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NAVIENT CORPORATION</w:t>
      </w:r>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offer, issue and sell, together or separately:</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which may be issued in one or more series;</w:t>
      </w:r>
    </w:p>
    <w:p>
      <w:pPr>
        <w:spacing w:after="0" w:line="2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w:t>
      </w:r>
    </w:p>
    <w:p>
      <w:pPr>
        <w:spacing w:after="0" w:line="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which may be issued in one or more series;</w:t>
      </w:r>
    </w:p>
    <w:p>
      <w:pPr>
        <w:spacing w:after="0" w:line="9" w:lineRule="exact"/>
        <w:rPr>
          <w:rFonts w:ascii="Times New Roman" w:cs="Times New Roman" w:eastAsia="Times New Roman" w:hAnsi="Times New Roman"/>
          <w:sz w:val="18"/>
          <w:szCs w:val="18"/>
          <w:color w:val="auto"/>
        </w:rPr>
      </w:pPr>
    </w:p>
    <w:p>
      <w:pPr>
        <w:ind w:left="1080" w:hanging="424"/>
        <w:spacing w:after="0" w:line="250"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common stock, shares of preferred stock, debt securities or units of two or more of these types of securities; and</w:t>
      </w: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each representing a combination of two or more of the foregoing securities.</w:t>
      </w:r>
    </w:p>
    <w:p>
      <w:pPr>
        <w:spacing w:after="0" w:line="20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provide the specific prices and terms of these securities in one or more supplements to this prospectus at the time of offering. You should read this prospectus and any accompanying prospectus supplement carefully before you make your investment decision. We refer to our debt securities, common stock, preferred stock, warrants and units collectively as the “securities.” Any or all of the securities may be offered and sold separately or together. The debt securities and preferred stock may be convertible into or exchangeable or exercisable for other securities. We will provide specific terms of these securities, and the manner in which these securities will be offered, in supplements to this prospectus. The prospectus supplements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224790</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20" w:right="6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carefully read this prospectus and the applicable prospectus supplement, including the section entitled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5 of this prospectus, the section entitled “Risk Factors” in the applicable prospectus supplement and risk factors in our periodic reports and other information filed with the Securities and Exchange Commission before investing in our securities.</w:t>
      </w:r>
    </w:p>
    <w:p>
      <w:pPr>
        <w:spacing w:after="0" w:line="18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NASDAQ under the trading symbol “NAVI.” Each prospectus supplement will indicate whether the securities offered thereby will be listed on any securities exchange.</w:t>
      </w:r>
    </w:p>
    <w:p>
      <w:pPr>
        <w:spacing w:after="0" w:line="158"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This prospectus is dated May 2, 2025</w:t>
      </w:r>
    </w:p>
    <w:p>
      <w:pPr>
        <w:sectPr>
          <w:pgSz w:w="11900" w:h="16838" w:orient="portrait"/>
          <w:cols w:equalWidth="0" w:num="1">
            <w:col w:w="11060"/>
          </w:cols>
          <w:pgMar w:left="320" w:top="455"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18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8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86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3800" w:type="dxa"/>
            <w:vAlign w:val="bottom"/>
            <w:gridSpan w:val="14"/>
            <w:vMerge w:val="continue"/>
          </w:tcPr>
          <w:p>
            <w:pPr>
              <w:spacing w:after="0"/>
              <w:rPr>
                <w:sz w:val="14"/>
                <w:szCs w:val="14"/>
                <w:color w:val="auto"/>
              </w:rPr>
            </w:pPr>
          </w:p>
        </w:tc>
        <w:tc>
          <w:tcPr>
            <w:tcW w:w="68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ABOUT NAVIENT CORPORATION</w:t>
            </w:r>
          </w:p>
        </w:tc>
        <w:tc>
          <w:tcPr>
            <w:tcW w:w="880" w:type="dxa"/>
            <w:vAlign w:val="bottom"/>
            <w:gridSpan w:val="2"/>
          </w:tcPr>
          <w:p>
            <w:pPr>
              <w:spacing w:after="0"/>
              <w:rPr>
                <w:sz w:val="17"/>
                <w:szCs w:val="17"/>
                <w:color w:val="auto"/>
              </w:rPr>
            </w:pPr>
          </w:p>
        </w:tc>
        <w:tc>
          <w:tcPr>
            <w:tcW w:w="7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60" w:type="dxa"/>
            <w:vAlign w:val="bottom"/>
            <w:gridSpan w:val="4"/>
          </w:tcPr>
          <w:p>
            <w:pPr>
              <w:spacing w:after="0"/>
              <w:rPr>
                <w:sz w:val="17"/>
                <w:szCs w:val="17"/>
                <w:color w:val="auto"/>
              </w:rPr>
            </w:pPr>
          </w:p>
        </w:tc>
        <w:tc>
          <w:tcPr>
            <w:tcW w:w="7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2220" w:type="dxa"/>
            <w:vAlign w:val="bottom"/>
            <w:gridSpan w:val="10"/>
          </w:tcPr>
          <w:p>
            <w:pPr>
              <w:spacing w:after="0"/>
              <w:rPr>
                <w:sz w:val="17"/>
                <w:szCs w:val="17"/>
                <w:color w:val="auto"/>
              </w:rPr>
            </w:pPr>
          </w:p>
        </w:tc>
        <w:tc>
          <w:tcPr>
            <w:tcW w:w="7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 WE MAY OFFER</w:t>
            </w:r>
          </w:p>
        </w:tc>
        <w:tc>
          <w:tcPr>
            <w:tcW w:w="1400" w:type="dxa"/>
            <w:vAlign w:val="bottom"/>
            <w:gridSpan w:val="6"/>
          </w:tcPr>
          <w:p>
            <w:pPr>
              <w:spacing w:after="0"/>
              <w:rPr>
                <w:sz w:val="17"/>
                <w:szCs w:val="17"/>
                <w:color w:val="auto"/>
              </w:rPr>
            </w:pPr>
          </w:p>
        </w:tc>
        <w:tc>
          <w:tcPr>
            <w:tcW w:w="7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80" w:type="dxa"/>
            <w:vAlign w:val="bottom"/>
          </w:tcPr>
          <w:p>
            <w:pPr>
              <w:spacing w:after="0"/>
              <w:rPr>
                <w:sz w:val="17"/>
                <w:szCs w:val="17"/>
                <w:color w:val="auto"/>
              </w:rPr>
            </w:pPr>
          </w:p>
        </w:tc>
        <w:tc>
          <w:tcPr>
            <w:tcW w:w="7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8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380" w:type="dxa"/>
            <w:vAlign w:val="bottom"/>
            <w:tcBorders>
              <w:top w:val="single" w:sz="8" w:color="0000EE"/>
            </w:tcBorders>
            <w:gridSpan w:val="2"/>
          </w:tcPr>
          <w:p>
            <w:pPr>
              <w:spacing w:after="0"/>
              <w:rPr>
                <w:sz w:val="17"/>
                <w:szCs w:val="17"/>
                <w:color w:val="auto"/>
              </w:rPr>
            </w:pPr>
          </w:p>
        </w:tc>
        <w:tc>
          <w:tcPr>
            <w:tcW w:w="940" w:type="dxa"/>
            <w:vAlign w:val="bottom"/>
            <w:gridSpan w:val="3"/>
          </w:tcPr>
          <w:p>
            <w:pPr>
              <w:spacing w:after="0"/>
              <w:rPr>
                <w:sz w:val="17"/>
                <w:szCs w:val="17"/>
                <w:color w:val="auto"/>
              </w:rPr>
            </w:pPr>
          </w:p>
        </w:tc>
        <w:tc>
          <w:tcPr>
            <w:tcW w:w="7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780" w:type="dxa"/>
            <w:vAlign w:val="bottom"/>
            <w:gridSpan w:val="9"/>
          </w:tcPr>
          <w:p>
            <w:pPr>
              <w:spacing w:after="0"/>
              <w:rPr>
                <w:sz w:val="17"/>
                <w:szCs w:val="17"/>
                <w:color w:val="auto"/>
              </w:rPr>
            </w:pPr>
          </w:p>
        </w:tc>
        <w:tc>
          <w:tcPr>
            <w:tcW w:w="7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38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1760" w:type="dxa"/>
            <w:vAlign w:val="bottom"/>
            <w:gridSpan w:val="8"/>
          </w:tcPr>
          <w:p>
            <w:pPr>
              <w:spacing w:after="0"/>
              <w:rPr>
                <w:sz w:val="17"/>
                <w:szCs w:val="17"/>
                <w:color w:val="auto"/>
              </w:rPr>
            </w:pPr>
          </w:p>
        </w:tc>
        <w:tc>
          <w:tcPr>
            <w:tcW w:w="7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8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7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WHERE YOU CAN FIND MORE INFORMATION</w:t>
            </w:r>
          </w:p>
        </w:tc>
        <w:tc>
          <w:tcPr>
            <w:tcW w:w="71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(the “SEC”) as a “well-known seasoned issuer” as defined in Rule 405 under the Securities Act of 1933, as amended (the “Securities Act”), using a “shelf” registration process. Under this process, we may sell from time to time any combination of the securities described in this prospectus. This prospectus only provides you with a general description of the securities that we may offer. Each time we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19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83"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prospectus is accurate as of the date on the front cover. You should not assume that the information contained in this prospectus is accurate as of any other date.</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When used in this prospectus, the terms “Navient,” the “Company,” “we,” “our” and “us” refer to Navient Corporation and its consolidated subsidiaries, unless otherwise specified or the context otherwise requires.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This prospectus and any accompanying prospectus supplement and any information incorporated by reference herein or therein contain forward-looking statements relating to future events or our future results. These statements are forward-looking statements within the meaning of Section 27A of the Securities Act and Section 21E of the Securities Exchange Act of 1934, as amended (the “Exchange Act”), and are intended to come within the safe harbor protection provided by those sections. Statements that are not historical facts, including statements about our beliefs, opinions, or expectations and statements that assume or are dependent upon future events, are forward-looking statements and often contain words such as “expect,” “assume,” “anticipate,” “intend,” “plan,” “believe,” “seek,” “see,” “will,” “would,” “may,” “could,” “should,” “goals,” or “target.” Such statements are based on management’s expectations as of the date of this prospectus and involve many risks and uncertainties that could cause our actual results to differ materially from those expressed or implied in our forward-looking statements. Such risks and uncertainties are discussed more fully under the caption “Risk Factors” included in our Annual Report on Form 10-K for the year ended December 31, 2024 and include, but are not limited to the following:</w:t>
      </w:r>
    </w:p>
    <w:p>
      <w:pPr>
        <w:spacing w:after="0" w:line="79" w:lineRule="exact"/>
        <w:rPr>
          <w:sz w:val="20"/>
          <w:szCs w:val="20"/>
          <w:color w:val="auto"/>
        </w:rPr>
      </w:pPr>
    </w:p>
    <w:p>
      <w:pPr>
        <w:ind w:left="1080" w:right="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the potential impact of inflation and interest rates on Navient and its clients and customers and on the creditworthiness of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defaults on education loans held by us;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repayment trends on education loans including prepayments or deferrals resulting from new interpretations or the timing of the execution and implementation of current laws, rules or regulations or future laws, executive orders or other policy initiatives that operate to encourage or require consolidation, abolish existing or create additional income-based repayment or debt forgiveness programs or establish other policies and programs which may increase or decrease the prepayment rates on education loans and accelerate or slow down the repayment of the bonds in our securitization trusts;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our credit ratings;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applicable laws, rules, regulations and government policies, as well as changing regulatory and governmental oversight;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general interest rate environment, including the availability of any relevant money-market index rate or the relationship between the relevant money-market index rate and the rate at which our assets are priced;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characteristics of our assets do not always match those of our funding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conditions or an inability to effectively manage our liquidity risk or access liquidity could negatively impact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funding in the capital markets;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earn Floor Income (as defined in our Annual Report on Form 10-K for the year ended December 31, 2024) and our ability to enter into hedges relative to that Floor Income are dependent on the future interest rate environment and therefore is variable;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derivatives exposes us to credit and market risk;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and effectively align our cost structure with our business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or breach of our operating systems, infrastructure or information technology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any third party providing us material services or products or a breach or violation of law by one of these third parties;</w:t>
      </w:r>
    </w:p>
    <w:p>
      <w:pPr>
        <w:spacing w:after="0" w:line="130" w:lineRule="exact"/>
        <w:rPr>
          <w:rFonts w:ascii="Times New Roman" w:cs="Times New Roman" w:eastAsia="Times New Roman" w:hAnsi="Times New Roman"/>
          <w:sz w:val="18"/>
          <w:szCs w:val="18"/>
          <w:color w:val="auto"/>
        </w:rPr>
      </w:pPr>
    </w:p>
    <w:p>
      <w:pPr>
        <w:ind w:left="5580" w:right="140" w:hanging="4924"/>
        <w:spacing w:after="0" w:line="454" w:lineRule="auto"/>
        <w:tabs>
          <w:tab w:leader="none" w:pos="10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previous work with government clients exposes us to additional risks inherent in the government contracting environment; 2</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strategic initiatives and investments or divestitures that we pursue;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risk and social factors.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also requires management to make certain estimates and assumptions including estimates and assumptions about future events. These estimates or assumptions may prove to be incorrect and actual results could differ materially. All forward-looking statements contained in this prospectus are qualified by these cautionary statements and are made only as of the date of this document. We do not undertake any obligation to update or revise these forward-looking statements except as required by law.</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readers are cautioned not to place undue reliance on such forward-looking statements. For more information regarding these risks and uncertainties as well as certain additional risks that we face, investors should review the risks described in this prospectus and in the applicable prospectus supplement and those incorporated by reference into this prospectus, including those risks in our Annual Report on Form 10-K for the year ended December 31, 2024 and subsequent reports and registration statements filed from time to time with the SEC.</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NAVIENT CORPORATION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Navient Corporation provides technology-enabled education finance solutions that help millions of people achieve success.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13865 Sunrise Valley Drive, Herndon, Virginia 20171. Our telephone number is (703) 810-3000. Our website address is www.navient.com. Information on, or accessible through, our website does not constitute part of this prospectus or any accompanying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risk. Before you decide to invest in our securities, you should carefully consider the specific risks set forth under the caption “Risk Factors” included in our most recent, and subsequent, Annual Reports on Form 10-K, in our most recent, and subsequent, Quarterly Reports on Form 10-Q and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1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0"/>
          </w:cols>
          <w:pgMar w:left="320" w:top="455" w:right="7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any accompanying prospectus supplement, we expect to use the net proceeds from the sale of securities for general corporate purposes, including the financing of our operations and debt repurchases.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320" w:top="455" w:right="10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contains summary descriptions of the debt securities, preferred stock, common stock, warrants and units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55" w:right="5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may offer debt securities in one or more series, which may be senior, subordinated or junior subordinated, and which may be convertible into another security.</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either an indenture between us and The Bank of New York Mellon, as trustee, dated as of July 18, 2014 (the “2014 Senior Indenture”), or an indenture between us (as successor to SLM Corporation and USA Education, Inc.) and The Bank of New York Mellon (as successor to J.P. Morgan Chase Bank, National Association, formerly Chase Manhattan Bank), dated as of October 1, 2000, as supplemented by the First Supplemental Indenture, dated as of October 11, 2006, the Seventh Supplemental Indenture, dated as of April 29, 2014, and the Eighth Supplemental Indenture, dated as of October 16, 2014 (the “2000 Senior Indenture” and, together with the 2014 Senior Indenture, the “indentures”). The terms of the debt securities will include those set forth in the applicable indenture and those made a part of such indenture by the Trust Indenture Act of 1939 (the “TIA”). You should read the summary below, any accompanying prospectus supplement and the provisions of the indentures and supplemental indenture, if any, in their entirety before investing in our debt securities.</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indentures is unlimited. The prospectus supplement relating to any series of debt securities that we may offer will contain the specific terms of that series of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Securities Issued Under the 2014 Senior Indenture</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With respect to debt securities issued under the 2014 Senior Indenture, authorizing resolutions, a written company order or a supplemental indenture will set forth the specific terms of each series of debt securities. These terms may include, among others, the following:</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subordinated and any applicable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and where notices or demands upon the company may be made;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to or changes in the covenants that apply to such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of each series, if any, and the extent of the guarantees (including provisions relating to seniority, subordination and release of the guarantees), if any;</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the debt securities will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can select the payment currency;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to the provisions for the defeasance of the debt securities or to provisions related to satisfaction and discharge of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under the indenture and the execution of supplemental indentures for such series;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Securities Issued Under the 2000 Senior Indenture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With respect to debt securities issued under the 2000 Senior Indenture, authorizing resolutions, a certificate or a supplemental indenture will set forth the specific terms of each series of debt securities. These terms may include, among others, the following:</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their CUSIP and ISIN numbers, as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and premium, if any, of the debt securities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will bear interest: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debt securities or the method by which the interest rate may be determined;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interest will accrue;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and interest payment dates for the debt securities;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circumstances under which we may defer interest payments; and</w:t>
      </w:r>
    </w:p>
    <w:p>
      <w:pPr>
        <w:spacing w:after="0" w:line="130" w:lineRule="exact"/>
        <w:rPr>
          <w:rFonts w:ascii="Times New Roman" w:cs="Times New Roman" w:eastAsia="Times New Roman" w:hAnsi="Times New Roman"/>
          <w:sz w:val="18"/>
          <w:szCs w:val="18"/>
          <w:color w:val="auto"/>
        </w:rPr>
      </w:pPr>
    </w:p>
    <w:p>
      <w:pPr>
        <w:jc w:val="center"/>
        <w:ind w:left="5580" w:right="940" w:hanging="4371"/>
        <w:spacing w:after="0" w:line="454" w:lineRule="auto"/>
        <w:tabs>
          <w:tab w:leader="none" w:pos="153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interest shall be calculated if other than on the basis of a 360-day year of twelve 30-day months; 9</w:t>
      </w:r>
    </w:p>
    <w:p>
      <w:pPr>
        <w:sectPr>
          <w:pgSz w:w="11900" w:h="16838" w:orient="portrait"/>
          <w:cols w:equalWidth="0" w:num="1">
            <w:col w:w="10960"/>
          </w:cols>
          <w:pgMar w:left="320" w:top="455" w:right="6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make payments on the debt securities;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can be surrendered for registration of transfer or exchange; and</w:t>
      </w:r>
    </w:p>
    <w:p>
      <w:pPr>
        <w:spacing w:after="0" w:line="130" w:lineRule="exact"/>
        <w:rPr>
          <w:rFonts w:ascii="Times New Roman" w:cs="Times New Roman" w:eastAsia="Times New Roman" w:hAnsi="Times New Roman"/>
          <w:sz w:val="18"/>
          <w:szCs w:val="18"/>
          <w:color w:val="auto"/>
        </w:rPr>
      </w:pPr>
    </w:p>
    <w:p>
      <w:pPr>
        <w:ind w:left="1540" w:right="520" w:hanging="331"/>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and demands can be given to us relating to the debt securities and under the applicable indenture, and where notices to holders pursuant to the applicable indenture will be published;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 that would permit us or the holders of debt securities to elect to redeem the debt securities before their final maturity;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features;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provisions that would obligate us to redeem the debt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the debt securities are to be issuable as registered securities, bearer securities or both, whether debt securities are to be issuable with or without coupons or both and, if issuable as bearer securities, the date as of which the bearer securities will be dated (if other than the date of original issuance of the first debt security of that series of like tenor and term to be issued and any restrictions applicable to the offering, sale or delivery of bearer securities and whether, and the terms upon which, bearer securities of a series may be exchanged for registered securities of the same series and vice versa);</w:t>
      </w:r>
    </w:p>
    <w:p>
      <w:pPr>
        <w:spacing w:after="0" w:line="88"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or part of the debt securities will be issued in whole or in part as temporary or permanent global securities and, if so, the depositary for those global securities and a description of any book-entry procedures relating to the global securities;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temporary global securities, any special provisions dealing with the payment of interest and any terms relating to the ability to exchange interests in a temporary global security for interests in a permanent global security or for definitive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$1,000 or an integral multiple of $1,000;</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debt securities payable upon a declaration of acceleration of maturity, if other than the full principal amount;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will be denominated and payable and, if a composite currency, any related special provisions;</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circumstances under which the debt securities may be paid in a currency other than the currency in which the debt securities are denominated and any related provisions;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principal, premium and interest on debt securities will be determined if they are determined with reference to an index based upon a currency or currencies other than that in which the debt securities are denominated or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that will apply to the debt securities in addition to those contained in the applicable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issue of debt securities may be “reopened” by offering additional securities with substantially the same terms;</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to the covenants contained in the applicable indenture and the ability, if any, of the holders to waive our compliance with those additional or changed covenants;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provisions in the 2000 Senior Indenture relating to defeasance apply to the debt securities; the identity of the security registrar and paying agent for the debt securities if other than the applicable trustee;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applicable indenture.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89"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an accompanying prospectus supplement.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$2,000 and any integral multiple of $1,000 in excess thereof. Subject to the limitations provided in the indentures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 respect to debt securities issued under the 2014 Senior Indenture, unless we inform you otherwise in an accompanying prospectus supplement, the debt securities of a series may be issued in whole or in part in the form of one or more global securities that will be deposited with, or on behalf of, a depositary identified in the accompanying prospectus supplement. With respect to debt securities issued under the 2000 Senior Indenture, we may issue debt securities of a series, in whole or in part, in the form of one or more global securities, registered in the name of Cede &amp; Co., the nominee of The Depository Trust Company, New York, New York, unless the accompanying prospectus supplement or pricing supplement describes another depositary or states that no global securities will be issued. With respect to debt securities issued under the 2014 Senior Indenture, global securities will be issued in registered form and in either temporary or definitive form. With respect to debt securities issued under the 2000 Senior Indenture, such debt securities will be issued in temporary or definitive form, and unless we indicate otherwise in the accompanying prospectus supplement, we will issue debt securities only as registered securities.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indentures and the debt securities shall be construed in accordance with and governed by the laws of the State of New York.</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following summary description of our capital stock is based on the provisions of the Delaware General Corporation Law (the “DGCL”), our amended and restated certificate of incorporation and our amended and restated bylaws. This description does not purport to be complete and is qualified in its entirety by reference to the full text of the DGCL, as it may be amended from time to time, and to the terms of our amended and restated certificate of incorporation and bylaws, as each may be amended from time to time, which are exhibits to the registration statement of which this prospectus is a part. See “Where You Can Find More Information.”</w:t>
      </w:r>
    </w:p>
    <w:p>
      <w:pPr>
        <w:spacing w:after="0" w:line="18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authorized capital stock is 1,125,000,000 shares of common stock, $0.01 par value, and 20,000,000 shares of preferred stock, $0.20 par value.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April 7, 2025, 101,150,217 shares of our common stock were outstanding and no preferred stock was outstanding.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to be voted upon by the common stockholders, and there are no cumulative voting rights. Holders of common stock are not entitled to vote on any amendment to our amended and restated certificate of incorporation that relates solely to the terms of one or more outstanding series of preferred stock if the holders of such affected series of preferred stock are entitled, either separately or together as a class with the holders of one or more other series of preferred stock, to vote on such amendment pursuant to our amended and restated certificate of incorporation or the DGCL.</w:t>
      </w:r>
    </w:p>
    <w:p>
      <w:pPr>
        <w:spacing w:after="0" w:line="183"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Subject to any preferential rights of the holders of any outstanding preferred stock, holders of our common stock are entitled to receive ratably the dividends, if any, as may be declared from time to time by our board of directors out of funds legally available for that purpose. If there is a liquidation, dissolution or winding up of the Company, holders of our common stock would be entitled to share ratably in the assets legally available for distribution after the payment or provision in full of all liabilities and any preferential rights of the holders of any then outstanding preferred stock.</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Holders of our common stock have no preemptive or conversion rights or other subscription rights, and there are no redemption or sinking fund provisions applicable to shares of the common stock. Upon the distribution, all outstanding shares of the common stock will be fully paid and non-assessable. The rights, preferences and privileges of the holders of our common stock are subject to, and may be adversely affected by, the rights of the holders of shares of any series of preferred stock that we may authorize and issue in the future.</w:t>
      </w:r>
    </w:p>
    <w:p>
      <w:pPr>
        <w:spacing w:after="0" w:line="180"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We will distribute a prospectus supplement with regard to each issue of common stock. Each prospectus supplement will describe the specific terms of the common stock offered through that prospectus supplement and any general terms outlined above that will not apply to that common stock.</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preferred stock in one or more series with any rights and preferences that may be authorized by our board of directors.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distribute a prospectus supplement with regard to each particular series of preferred stock. Each prospectus supplement will describe, as to the series of preferred stock to which it relates:</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preferred stock;</w:t>
      </w:r>
    </w:p>
    <w:p>
      <w:pPr>
        <w:spacing w:after="0" w:line="130" w:lineRule="exact"/>
        <w:rPr>
          <w:rFonts w:ascii="Times New Roman" w:cs="Times New Roman" w:eastAsia="Times New Roman" w:hAnsi="Times New Roman"/>
          <w:sz w:val="18"/>
          <w:szCs w:val="18"/>
          <w:color w:val="auto"/>
        </w:rPr>
      </w:pPr>
    </w:p>
    <w:p>
      <w:pPr>
        <w:ind w:left="5540" w:right="3760" w:hanging="4884"/>
        <w:spacing w:after="0" w:line="454" w:lineRule="auto"/>
        <w:tabs>
          <w:tab w:leader="none" w:pos="109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number of shares of the series of preferred stock that may be issued; 12</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preference, if any, to which holders of the series of preferred stock will be entitled upon our liquidation;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we will be required or permitted to redeem the preferred stock;</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we or holders of the preferred stock will have the option to cause the preferred stock to be redeemed or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the preferred stock;</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that will be payable with regard to the series of preferred stock, which may be fixed dividends or participating dividends, and may be cumulative or non-cumulative;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of holders of the preferred stock to convert it into another class of our stock or securities, including provisions intended to prevent dilution of those conversion rights;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by which we will be required or permitted to make payments to a sinking fund to be used to redeem preferred stock, or a purchase fund to be used to purchase preferred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issuance of shares in the same series or any other series;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preferred stock.</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or all of these rights may be greater than the rights of the holders of common stock. In addition, our board of directors, without shareholder approval, may issue preferred stock with voting, conversion or other rights that could adversely affect the voting power and other rights of the holders of our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terms of the preferred stock that might be issued could conceivably prohibit us from:</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consummating a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substantially all of our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other extraordinary corporate transactions without shareholder approval.</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Preferred stock could therefore be issued with terms calculated to delay, defer or prevent a change in our control or to make it more difficult to remove our management. Our issuance of preferred stock may have the effect of decreasing the market price of the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the Certificate of Incorporation, Bylaws and Other Agreements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Provisions of the DGCL and our amended and restated certificate of incorporation and amended and restated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the heightened ability to negotiate with the proponent of an unfriendly or unsolicited proposal to acquire or restructure us outweighs the disadvantages of discouraging takeover or acquisition proposals because, among other things, negotiation of these proposals could result in an improvement of their terms.</w:t>
      </w:r>
    </w:p>
    <w:p>
      <w:pPr>
        <w:spacing w:after="0" w:line="185"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We are subject to Section 203 of the DGCL, an anti-takeover statute. In general, Section 203 of the DGCL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fifteen percent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85"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Amendments to Amended and Restated Bylaws</w:t>
      </w:r>
      <w:r>
        <w:rPr>
          <w:rFonts w:ascii="Times New Roman" w:cs="Times New Roman" w:eastAsia="Times New Roman" w:hAnsi="Times New Roman"/>
          <w:sz w:val="18"/>
          <w:szCs w:val="18"/>
          <w:color w:val="auto"/>
        </w:rPr>
        <w:t>. Our amended and restated certificate of incorporation and amended and restated bylaws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amended and restated bylaws may be amended by our board of directors or by the affirmative vote of holders of at least seventy-five percent (75%) in voting power of our stock then outstanding and entitled to vote thereon.</w:t>
      </w:r>
    </w:p>
    <w:p>
      <w:pPr>
        <w:spacing w:after="0" w:line="17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Size of Board and Vacancies. </w:t>
      </w:r>
      <w:r>
        <w:rPr>
          <w:rFonts w:ascii="Times New Roman" w:cs="Times New Roman" w:eastAsia="Times New Roman" w:hAnsi="Times New Roman"/>
          <w:sz w:val="18"/>
          <w:szCs w:val="18"/>
          <w:color w:val="auto"/>
        </w:rPr>
        <w:t>Our amended and restated certificate of incorporation and amended and restated bylaws provide that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on our board of directors will be fixed exclusively by our board of directors, subject to the rights of the holders of any outstanding preferred stock to elect directors. Any newly created directorship or any vacancy in our board of directors resulting from any increase in the authorized number of directors or the death, disability, resignation, retirement, disqualification, removal from office or other cause will be filled solely by the affirmative vote of a majority of the board of directors then in office, even if less than a quorum, or by a sole remaining director. Any director appointed to fill a vacancy on our board of directors not resulting from an increase in the size of the board will be appointed for the remaining term of his or her predecessor, and until his or her successor has been elected and qualified, subject to his or her earlier death, disqualification, resignation or removal.</w:t>
      </w:r>
    </w:p>
    <w:p>
      <w:pPr>
        <w:spacing w:after="0" w:line="183"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Stockholder Action by Written Consent</w:t>
      </w:r>
      <w:r>
        <w:rPr>
          <w:rFonts w:ascii="Times New Roman" w:cs="Times New Roman" w:eastAsia="Times New Roman" w:hAnsi="Times New Roman"/>
          <w:sz w:val="18"/>
          <w:szCs w:val="18"/>
          <w:color w:val="auto"/>
        </w:rPr>
        <w:t>. Subject to the rights of any series of preferred stock, our amended and restated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expressly eliminates the right of our stockholders to act by written consent. Stockholder action must take place at the annual or a special meeting of our stockholders.</w:t>
      </w:r>
    </w:p>
    <w:p>
      <w:pPr>
        <w:spacing w:after="0" w:line="173" w:lineRule="exact"/>
        <w:rPr>
          <w:sz w:val="20"/>
          <w:szCs w:val="20"/>
          <w:color w:val="auto"/>
        </w:rPr>
      </w:pPr>
    </w:p>
    <w:p>
      <w:pPr>
        <w:ind w:left="120" w:right="2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Our amended and restated bylaws establish advance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with respect to stockholder proposals and nomination of candidates for election as directors other than nominations made by or at the direction of our board of directors or a committee of our board of directors.</w:t>
      </w:r>
    </w:p>
    <w:p>
      <w:pPr>
        <w:spacing w:after="0" w:line="17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DGCL provides that stockholders are denied the right to cumulate votes in the election of directors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certificate of incorporation provides otherwise. Our amended and restated certificate of incorporation does not provide for cumulative voting in the election of directors.</w:t>
      </w:r>
    </w:p>
    <w:p>
      <w:pPr>
        <w:spacing w:after="0" w:line="17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Undesignated Preferred Stock. </w:t>
      </w:r>
      <w:r>
        <w:rPr>
          <w:rFonts w:ascii="Times New Roman" w:cs="Times New Roman" w:eastAsia="Times New Roman" w:hAnsi="Times New Roman"/>
          <w:sz w:val="18"/>
          <w:szCs w:val="18"/>
          <w:color w:val="auto"/>
        </w:rPr>
        <w:t>The authority that our board of directors possesses to issue preferred stock could potentially be used to discourage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attempts by third parties to obtain control of us through a merger, tender offer, proxy contest or otherwise by making such attempts more difficult or more costly. Our board of directors may be able to issue preferred stock with voting rights or conversion rights that, if exercised, could adversely affect the voting power of the holders of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NASDAQ under the trading symbol “NAVI.”</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warrants for the purchase of debt securities, common stock, preferred stock or units of two or more of these types of securities.</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Warrants may be issued independently or together with debt securities, preferred stock or common stock, and may be attached to or separate from any offered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relating to a particular issue of warrants will describe the terms of those warrants, including, when applicable:</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designation, aggregate principal amount, currencies, denominations and terms of the series of debt securities purchasable upon exercise of the warrants, and the price at which you may purchase the debt securities upon exercise;</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preferred stock, the designation, number of shares, stated value and terms, such as liquidation, dividend, conversion and voting rights, of the series of preferred stock purchasable upon exercise of the warrants, and the price at which you may purchase shares of preferred stock of that series upon exercise;</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the number of shares of common stock purchasable upon the exercise of the warrants and the price at which you may purchase shares of common stock upon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units of two or more securities, the type, number and terms of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purchasable upon exercise of the warrants and the price at which you may purchase units upon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you may exercise the warrants;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adjusting the securities that may be purchased on exercise of the warrants, and the exercise price of the warrants, to prevent dilution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if any, we have to redeem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warrants can be presented for exercise or for registration of transfer or exchange;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Unless we provide otherwise in a prospectus supplement, warrants for the purchase of preferred stock and common stock will be offered and exercisable for U.S. dollars only, and will be issued in registered form only. The exercise price for warrants will be subject to adjustment as described in the prospectus supplement for those warrants.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Prior to the exercise of any warrants to purchase debt securities, preferred stock or common stock, holders of the warrants will not have any of the rights of holders of the securities purchasable upon exercise, including:</w:t>
      </w:r>
    </w:p>
    <w:p>
      <w:pPr>
        <w:spacing w:after="0" w:line="67" w:lineRule="exact"/>
        <w:rPr>
          <w:sz w:val="20"/>
          <w:szCs w:val="20"/>
          <w:color w:val="auto"/>
        </w:rPr>
      </w:pPr>
    </w:p>
    <w:p>
      <w:pPr>
        <w:ind w:left="1080" w:right="2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for the purchase of debt securities, the right to receive payments of principal of or any premium or interest on the debt securities purchasable upon exercise, or to enforce covenants in the applicable indenture;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for the purchase of preferred stock or common stock, the right to vote or to receive any payments of dividends on the preferred stock or common stock purchasable upon exercise.</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320" w:top="455" w:right="5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debt securities and warrants, or any combination of those securities. The prospectus supplement relating to the offering of such units will describe their terms, including the following:</w:t>
      </w:r>
    </w:p>
    <w:p>
      <w:pPr>
        <w:spacing w:after="0" w:line="67" w:lineRule="exact"/>
        <w:rPr>
          <w:sz w:val="20"/>
          <w:szCs w:val="20"/>
          <w:color w:val="auto"/>
        </w:rPr>
      </w:pPr>
    </w:p>
    <w:p>
      <w:pPr>
        <w:ind w:left="10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each of the securities included in the units, including whether and under what circumstances the securities included in the units may or may not be traded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unit agreement governing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the payment, settlement, transfer or exchange of the units.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units we offer will not necessarily be complete and will be qualified in its entirety by reference to the applicable units agreement, if any, or documents governing the units or the components of the units, which will be filed with the SEC if we offer units. For more information on how you can obtain copies of any agreement if we offer units, see “Where You Can Find More Information.” We urge you to read the applicable unit agreement and any accompanying prospectus supplement in their entirety.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any of the securities being offered by this prospectus separately or together:</w:t>
      </w:r>
    </w:p>
    <w:p>
      <w:pPr>
        <w:spacing w:after="0" w:line="13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who may act directly or through a syndicate represented by one or more managing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our outstanding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through a specific bidding, auction or other process;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the securities offered under this prospectus are issued in exchange for our outstanding securities, the applicable prospectus supplement will describe the terms of the exchange, and the identity and the terms of sale of the securities offered under this prospectus.</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at a fixed price or prices that may be changed, at market prices prevailing at the time of sale or prices related to prevailing market prices or at negotiated prices.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Agents designated by us from time to time may solicit offers to purchase the securities. We will name any agent involved in the offer or sale of the securities and set forth any commissions payable by us to an agent in the prospectus supplement or pricing supplement for that transaction. Unless otherwise indicated in the prospectus supplement or pricing supplement, any agent will be acting on a best efforts basis for the period of its appointment. Any agent may be deemed to be an “underwriter” of the securities as that term is defined in the Securities Act.</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If we utilize an underwriter or underwriters in the sale of securities, we will execute an underwriting agreement with the underwriter or underwriters at the time we reach an agreement for sale. We will set forth in the prospectus supplement the names of the specific managing underwriter or underwriters, as well as any other underwriters, and the terms of the transactions, including compensation of the underwriters and dealers. This compensation may be in the form of discounts, concessions or commissions. Underwriters and others participating in any offering of securities may engage in transactions that stabilize, maintain or otherwise affect the price of securities. We will describe any of these activities in the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 dealer is utilized in the sale of the securities, we or an underwriter will sell securities to the dealer, as principal. The dealer may then resell the securities to the public at varying prices to be determined by the dealer at the time of resale. The prospectus supplement will set forth the name of the dealer and the terms of the transactions.</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and we may sell directly to institutional investors or others. These persons may be deemed to be underwriters within the meaning of the Securities Act with respect to any resale of the securities. The prospectus supplement will describe the terms of any direct sales, including the terms of any bidding or auction process, if utilized.</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Agreements we enter into with agents, underwriters and dealers may entitle them to indemnification by us against specified liabilities, including liabilities under the Securities Act, or to contribution by us to payments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they may be required to make in respect of these liabilities. The prospectus supplement will describe the terms and conditions of indemnification or contribution. Some of the agents, underwriters or dealers, or their affiliates, may be our customers, or engage in transactions with or perform services for us and our subsidiaries in the ordinary course of business.</w:t>
      </w:r>
    </w:p>
    <w:p>
      <w:pPr>
        <w:spacing w:after="0" w:line="176"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Certain of the agents, underwriters and dealers that we sell the securities offered under this prospectus to or through, and certain of their affiliates, engage in transactions with and perform services for us in the ordinary course of business. We may enter into hedging transactions in connection with any particular issue of the securities offered under this prospectus, including forwards, futures, options, interest rate or exchange rate swaps and repurchase or reverse repurchase transactions with, or arranged by, the applicable agent, underwriter or dealer, an affiliate of that agent, underwriter or dealer or an unrelated entity. We, the applicable agent, underwriter or dealer or other parties may receive compensation, trading gain or other benefits in connection with these transactions. We are not required to engage in any of these transactions. If we commence these transactions, we may discontinue them at any time. Counterparties to these hedging activities also may engage in market transactions involving the securities offered under this prospectus.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9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No securities may be sold under this prospectus without delivery (in paper format, in electronic format, in electronic format on the Internet, or by other means) of the applicable prospectus supplement or pricing supplement describing the method and terms of the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Navient Corporation and subsidiaries as of December 31, 2024 and 2023, and for each of the years in the three-year period ended December 31, 2024, and management’s assessment of the effectiveness of internal control over financial reporting as of December 31, 2024, have been incorporated by reference herein in reliance upon the reports of KPMG LLP, independent registered public accounting firm, incorporated by reference herein, and upon the authority of said firm as experts in accounting and auditing.</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60"/>
          </w:cols>
          <w:pgMar w:left="320" w:top="455" w:right="5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under the Exchange Act. Our SEC filings are available to the public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94" w:lineRule="exact"/>
        <w:rPr>
          <w:sz w:val="20"/>
          <w:szCs w:val="20"/>
          <w:color w:val="auto"/>
        </w:rPr>
      </w:pPr>
    </w:p>
    <w:p>
      <w:pPr>
        <w:ind w:left="10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amended registration statement on </w:t>
      </w:r>
      <w:hyperlink r:id="rId83">
        <w:r>
          <w:rPr>
            <w:rFonts w:ascii="Times New Roman" w:cs="Times New Roman" w:eastAsia="Times New Roman" w:hAnsi="Times New Roman"/>
            <w:sz w:val="18"/>
            <w:szCs w:val="18"/>
            <w:u w:val="single" w:color="auto"/>
            <w:color w:val="0000EE"/>
          </w:rPr>
          <w:t>Form 10</w:t>
        </w:r>
      </w:hyperlink>
      <w:r>
        <w:rPr>
          <w:rFonts w:ascii="Times New Roman" w:cs="Times New Roman" w:eastAsia="Times New Roman" w:hAnsi="Times New Roman"/>
          <w:sz w:val="18"/>
          <w:szCs w:val="18"/>
          <w:color w:val="auto"/>
        </w:rPr>
        <w:t>, filed with the SEC on April 10, 2014, and any further amendment or report filed for the purpose of updating such description;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as amended by Amendment No. 1 on Form 10-K/A, for the fiscal year ended December 31, 2024, filed with the SEC on </w:t>
      </w:r>
      <w:hyperlink r:id="rId84">
        <w:r>
          <w:rPr>
            <w:rFonts w:ascii="Times New Roman" w:cs="Times New Roman" w:eastAsia="Times New Roman" w:hAnsi="Times New Roman"/>
            <w:sz w:val="18"/>
            <w:szCs w:val="18"/>
            <w:u w:val="single" w:color="auto"/>
            <w:color w:val="0000EE"/>
          </w:rPr>
          <w:t>February 27,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5">
        <w:r>
          <w:rPr>
            <w:rFonts w:ascii="Times New Roman" w:cs="Times New Roman" w:eastAsia="Times New Roman" w:hAnsi="Times New Roman"/>
            <w:sz w:val="18"/>
            <w:szCs w:val="18"/>
            <w:u w:val="single" w:color="auto"/>
            <w:color w:val="0000EE"/>
          </w:rPr>
          <w:t>March 4, 2025</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8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2025, filed with the SEC on April 30,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87">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filed with the SEC on April 4, 2025;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8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2024 from our </w:t>
      </w:r>
      <w:hyperlink r:id="rId88">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filed with the SEC on April 17, 2025.</w:t>
      </w:r>
    </w:p>
    <w:p>
      <w:pPr>
        <w:spacing w:after="0" w:line="162" w:lineRule="exact"/>
        <w:rPr>
          <w:rFonts w:ascii="Times New Roman" w:cs="Times New Roman" w:eastAsia="Times New Roman" w:hAnsi="Times New Roman"/>
          <w:sz w:val="18"/>
          <w:szCs w:val="18"/>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158" w:lineRule="exact"/>
        <w:rPr>
          <w:rFonts w:ascii="Times New Roman" w:cs="Times New Roman" w:eastAsia="Times New Roman" w:hAnsi="Times New Roman"/>
          <w:sz w:val="18"/>
          <w:szCs w:val="18"/>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80"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Navient Corporation</w:t>
      </w:r>
    </w:p>
    <w:p>
      <w:pPr>
        <w:spacing w:after="0" w:line="2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13865 Sunrise Valley Drive</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Herndon, Virginia 20171</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Telephone: (703) 810-3000</w:t>
      </w:r>
    </w:p>
    <w:p>
      <w:pPr>
        <w:spacing w:after="0" w:line="207" w:lineRule="exact"/>
        <w:rPr>
          <w:rFonts w:ascii="Times New Roman" w:cs="Times New Roman" w:eastAsia="Times New Roman" w:hAnsi="Times New Roman"/>
          <w:sz w:val="18"/>
          <w:szCs w:val="18"/>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and any prospectus supplement. We have not authorized anyone else to provide you with different information. You should not assume that the information in this prospectus or any prospectus supplement is accurate as of any date other than the date on the front of these documents.</w:t>
      </w:r>
    </w:p>
    <w:p>
      <w:pPr>
        <w:spacing w:after="0" w:line="108"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970280</wp:posOffset>
            </wp:positionV>
            <wp:extent cx="1748790" cy="308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748790" cy="30861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42"/>
          <w:szCs w:val="42"/>
          <w:b w:val="1"/>
          <w:bCs w:val="1"/>
          <w:color w:val="auto"/>
        </w:rPr>
        <w:t>NAVIENT CORPORATION</w:t>
      </w:r>
    </w:p>
    <w:p>
      <w:pPr>
        <w:spacing w:after="0" w:line="200" w:lineRule="exact"/>
        <w:rPr>
          <w:sz w:val="20"/>
          <w:szCs w:val="20"/>
          <w:color w:val="auto"/>
        </w:rPr>
      </w:pPr>
    </w:p>
    <w:p>
      <w:pPr>
        <w:spacing w:after="0" w:line="25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32"/>
          <w:szCs w:val="32"/>
          <w:b w:val="1"/>
          <w:bCs w:val="1"/>
          <w:color w:val="auto"/>
        </w:rPr>
        <w:t>$                %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1682115</wp:posOffset>
            </wp:positionV>
            <wp:extent cx="1474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Barclays</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249555</wp:posOffset>
            </wp:positionV>
            <wp:extent cx="1474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2"/>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lowerRoman"/>
      <w:start w:val="1"/>
    </w:lvl>
  </w:abstractNum>
  <w:abstractNum w:abstractNumId="24">
    <w:nsid w:val="614FD4A1"/>
    <w:multiLevelType w:val="hybridMultilevel"/>
    <w:lvl w:ilvl="0">
      <w:lvlJc w:val="left"/>
      <w:lvlText w:val="(%1)"/>
      <w:numFmt w:val="lowerRoman"/>
      <w:start w:val="4"/>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lvl w:ilvl="1">
      <w:lvlJc w:val="left"/>
      <w:lvlText w:val="•"/>
      <w:numFmt w:val="bullet"/>
      <w:start w:val="1"/>
    </w:lvl>
  </w:abstractNum>
  <w:abstractNum w:abstractNumId="33">
    <w:nsid w:val="2463B9EA"/>
    <w:multiLevelType w:val="hybridMultilevel"/>
    <w:lvl w:ilvl="0">
      <w:lvlJc w:val="left"/>
      <w:lvlText w:val="•"/>
      <w:numFmt w:val="bullet"/>
      <w:start w:val="1"/>
    </w:lvl>
    <w:lvl w:ilvl="1">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jpe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jpe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49" Type="http://schemas.openxmlformats.org/officeDocument/2006/relationships/hyperlink" Target="http://www.sec.gov/ix?doc=/Archives/edgar/data/1593538/000119312526076753/navi-20251231.htm" TargetMode="External"/><Relationship Id="rId50" Type="http://schemas.openxmlformats.org/officeDocument/2006/relationships/hyperlink" Target="http://www.sec.gov/ix?doc=/Archives/edgar/data/1593538/000119312526191605/navi-20260331.htm" TargetMode="External"/><Relationship Id="rId51" Type="http://schemas.openxmlformats.org/officeDocument/2006/relationships/hyperlink" Target="http://www.sec.gov/ix?doc=/Archives/edgar/data/1593538/000114036126000724/ef20062525_8k.htm" TargetMode="External"/><Relationship Id="rId52" Type="http://schemas.openxmlformats.org/officeDocument/2006/relationships/hyperlink" Target="http://www.sec.gov/ix?doc=/Archives/edgar/data/1593538/000114036126013765/ef20069880_8k.htm" TargetMode="External"/><Relationship Id="rId53" Type="http://schemas.openxmlformats.org/officeDocument/2006/relationships/hyperlink" Target="http://www.sec.gov/ix?doc=/Archives/edgar/data/1593538/000114036126014980/ny20066419x1_def14a.htm" TargetMode="External"/><Relationship Id="rId83" Type="http://schemas.openxmlformats.org/officeDocument/2006/relationships/hyperlink" Target="http://www.sec.gov/Archives/edgar/data/1593538/000119312514138083/d635153d1012ba.htm" TargetMode="External"/><Relationship Id="rId84" Type="http://schemas.openxmlformats.org/officeDocument/2006/relationships/hyperlink" Target="http://www.sec.gov/ix?doc=/Archives/edgar/data/0001593538/000095017025029207/navi-20241231.htm" TargetMode="External"/><Relationship Id="rId85" Type="http://schemas.openxmlformats.org/officeDocument/2006/relationships/hyperlink" Target="http://www.sec.gov/ix?doc=/Archives/edgar/data/0001593538/000095017025032042/navi-20241231.htm" TargetMode="External"/><Relationship Id="rId86" Type="http://schemas.openxmlformats.org/officeDocument/2006/relationships/hyperlink" Target="http://www.sec.gov/ix?doc=/Archives/edgar/data/1593538/000095017025061089/navi-20250331.htm" TargetMode="External"/><Relationship Id="rId87" Type="http://schemas.openxmlformats.org/officeDocument/2006/relationships/hyperlink" Target="http://www.sec.gov/ix?doc=/Archives/edgar/data/0001593538/000114036125012335/ef20046878_8k.htm" TargetMode="External"/><Relationship Id="rId88" Type="http://schemas.openxmlformats.org/officeDocument/2006/relationships/hyperlink" Target="http://www.sec.gov/ix?doc=/Archives/edgar/data/0001593538/000114036125014395/edge20043286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2026-05-26T07:42:15Z</dcterms:created>
  <dcterms:modified xsi:type="dcterms:W3CDTF">2026-05-26T07:42:15Z</dcterms:modified>
</cp:coreProperties>
</file>