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29, 2026</w:t>
      </w:r>
    </w:p>
    <w:p>
      <w:pPr>
        <w:spacing w:after="0" w:line="6"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 xml:space="preserve">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411480</wp:posOffset>
            </wp:positionV>
            <wp:extent cx="180022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tbl>
      <w:tblPr>
        <w:tblLayout w:type="fixed"/>
        <w:tblInd w:w="2080" w:type="dxa"/>
        <w:tblCellMar>
          <w:top w:w="0" w:type="dxa"/>
          <w:left w:w="0" w:type="dxa"/>
          <w:bottom w:w="0" w:type="dxa"/>
          <w:right w:w="0" w:type="dxa"/>
        </w:tblCellMar>
      </w:tblPr>
      <w:tr>
        <w:trPr>
          <w:trHeight w:val="442"/>
        </w:trPr>
        <w:tc>
          <w:tcPr>
            <w:tcW w:w="1740" w:type="dxa"/>
            <w:vAlign w:val="bottom"/>
          </w:tcPr>
          <w:p>
            <w:pPr>
              <w:spacing w:after="0"/>
              <w:rPr>
                <w:sz w:val="24"/>
                <w:szCs w:val="24"/>
                <w:color w:val="auto"/>
              </w:rPr>
            </w:pPr>
          </w:p>
        </w:tc>
        <w:tc>
          <w:tcPr>
            <w:tcW w:w="5140" w:type="dxa"/>
            <w:vAlign w:val="bottom"/>
            <w:gridSpan w:val="3"/>
          </w:tcPr>
          <w:p>
            <w:pPr>
              <w:ind w:left="80"/>
              <w:spacing w:after="0"/>
              <w:rPr>
                <w:sz w:val="20"/>
                <w:szCs w:val="20"/>
                <w:color w:val="auto"/>
              </w:rPr>
            </w:pPr>
            <w:r>
              <w:rPr>
                <w:rFonts w:ascii="Times New Roman" w:cs="Times New Roman" w:eastAsia="Times New Roman" w:hAnsi="Times New Roman"/>
                <w:sz w:val="36"/>
                <w:szCs w:val="36"/>
                <w:b w:val="1"/>
                <w:bCs w:val="1"/>
                <w:color w:val="auto"/>
              </w:rPr>
              <w:t>Navient Holdings, Inc.</w:t>
            </w:r>
          </w:p>
        </w:tc>
      </w:tr>
      <w:tr>
        <w:trPr>
          <w:trHeight w:val="202"/>
        </w:trPr>
        <w:tc>
          <w:tcPr>
            <w:tcW w:w="1740" w:type="dxa"/>
            <w:vAlign w:val="bottom"/>
          </w:tcPr>
          <w:p>
            <w:pPr>
              <w:spacing w:after="0"/>
              <w:rPr>
                <w:sz w:val="17"/>
                <w:szCs w:val="17"/>
                <w:color w:val="auto"/>
              </w:rPr>
            </w:pPr>
          </w:p>
        </w:tc>
        <w:tc>
          <w:tcPr>
            <w:tcW w:w="514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332"/>
        </w:trPr>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405"/>
        </w:trPr>
        <w:tc>
          <w:tcPr>
            <w:tcW w:w="17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140" w:type="dxa"/>
            <w:vAlign w:val="bottom"/>
            <w:gridSpan w:val="3"/>
          </w:tcPr>
          <w:p>
            <w:pPr>
              <w:jc w:val="center"/>
              <w:ind w:left="4031"/>
              <w:spacing w:after="0"/>
              <w:rPr>
                <w:sz w:val="20"/>
                <w:szCs w:val="20"/>
                <w:color w:val="auto"/>
              </w:rPr>
            </w:pPr>
            <w:r>
              <w:rPr>
                <w:rFonts w:ascii="Times New Roman" w:cs="Times New Roman" w:eastAsia="Times New Roman" w:hAnsi="Times New Roman"/>
                <w:sz w:val="14"/>
                <w:szCs w:val="14"/>
                <w:b w:val="1"/>
                <w:bCs w:val="1"/>
                <w:color w:val="auto"/>
              </w:rPr>
              <w:t>42-4701395</w:t>
            </w:r>
          </w:p>
        </w:tc>
      </w:tr>
      <w:tr>
        <w:trPr>
          <w:trHeight w:val="135"/>
        </w:trPr>
        <w:tc>
          <w:tcPr>
            <w:tcW w:w="174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180" w:type="dxa"/>
            <w:vAlign w:val="bottom"/>
          </w:tcPr>
          <w:p>
            <w:pPr>
              <w:jc w:val="center"/>
              <w:ind w:left="1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80" w:type="dxa"/>
            <w:vAlign w:val="bottom"/>
          </w:tcPr>
          <w:p>
            <w:pPr>
              <w:jc w:val="center"/>
              <w:ind w:left="1117"/>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13865 Sunrise Valley Drive</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Herndon, Virginia 20171</w:t>
      </w:r>
    </w:p>
    <w:p>
      <w:pPr>
        <w:jc w:val="center"/>
        <w:ind w:right="-139"/>
        <w:spacing w:after="0" w:line="225" w:lineRule="auto"/>
        <w:rPr>
          <w:sz w:val="20"/>
          <w:szCs w:val="20"/>
          <w:color w:val="auto"/>
        </w:rPr>
      </w:pPr>
      <w:r>
        <w:rPr>
          <w:rFonts w:ascii="Times New Roman" w:cs="Times New Roman" w:eastAsia="Times New Roman" w:hAnsi="Times New Roman"/>
          <w:sz w:val="14"/>
          <w:szCs w:val="14"/>
          <w:b w:val="1"/>
          <w:bCs w:val="1"/>
          <w:color w:val="auto"/>
        </w:rPr>
        <w:t>(302) 283-8000</w:t>
      </w: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Matthew Sheldon</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&amp; General Counsel</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13865 Sunrise Valley Drive</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Herndon, Virginia 20171</w:t>
      </w:r>
    </w:p>
    <w:p>
      <w:pPr>
        <w:jc w:val="center"/>
        <w:ind w:right="-139"/>
        <w:spacing w:after="0" w:line="225" w:lineRule="auto"/>
        <w:rPr>
          <w:sz w:val="20"/>
          <w:szCs w:val="20"/>
          <w:color w:val="auto"/>
        </w:rPr>
      </w:pPr>
      <w:r>
        <w:rPr>
          <w:rFonts w:ascii="Times New Roman" w:cs="Times New Roman" w:eastAsia="Times New Roman" w:hAnsi="Times New Roman"/>
          <w:sz w:val="14"/>
          <w:szCs w:val="14"/>
          <w:b w:val="1"/>
          <w:bCs w:val="1"/>
          <w:color w:val="auto"/>
        </w:rPr>
        <w:t>(302) 283-8000</w:t>
      </w: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With a Copy to:</w:t>
      </w:r>
    </w:p>
    <w:p>
      <w:pPr>
        <w:spacing w:after="0" w:line="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Robert M. Hayward, P.C.</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Anthony L. Sanderson</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Kirkland &amp; Ellis LLP</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333 West Wolf Point Plaza</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Chicago, Illinois 60654</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(312) 862-2000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88"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48" w:lineRule="exact"/>
        <w:rPr>
          <w:sz w:val="24"/>
          <w:szCs w:val="24"/>
          <w:color w:val="auto"/>
        </w:rPr>
      </w:pPr>
    </w:p>
    <w:p>
      <w:pPr>
        <w:ind w:left="120" w:right="2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68" w:lineRule="exact"/>
        <w:rPr>
          <w:sz w:val="24"/>
          <w:szCs w:val="24"/>
          <w:color w:val="auto"/>
        </w:rPr>
      </w:pPr>
    </w:p>
    <w:p>
      <w:pPr>
        <w:ind w:left="120" w:right="56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68" w:lineRule="exact"/>
        <w:rPr>
          <w:sz w:val="24"/>
          <w:szCs w:val="24"/>
          <w:color w:val="auto"/>
        </w:rPr>
      </w:pPr>
    </w:p>
    <w:p>
      <w:pPr>
        <w:ind w:left="120" w:right="10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68" w:lineRule="exact"/>
        <w:rPr>
          <w:sz w:val="24"/>
          <w:szCs w:val="24"/>
          <w:color w:val="auto"/>
        </w:rPr>
      </w:pPr>
    </w:p>
    <w:p>
      <w:pPr>
        <w:ind w:lef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68" w:lineRule="exact"/>
        <w:rPr>
          <w:sz w:val="24"/>
          <w:szCs w:val="24"/>
          <w:color w:val="auto"/>
        </w:rPr>
      </w:pPr>
    </w:p>
    <w:p>
      <w:pPr>
        <w:ind w:left="120" w:right="16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6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 (Check one):</w:t>
      </w:r>
    </w:p>
    <w:p>
      <w:pPr>
        <w:spacing w:after="0" w:line="197" w:lineRule="exact"/>
        <w:rPr>
          <w:sz w:val="24"/>
          <w:szCs w:val="24"/>
          <w:color w:val="auto"/>
        </w:rPr>
      </w:pPr>
    </w:p>
    <w:tbl>
      <w:tblPr>
        <w:tblLayout w:type="fixed"/>
        <w:tblInd w:w="120" w:type="dxa"/>
        <w:tblCellMar>
          <w:top w:w="0" w:type="dxa"/>
          <w:left w:w="0" w:type="dxa"/>
          <w:bottom w:w="0" w:type="dxa"/>
          <w:right w:w="0" w:type="dxa"/>
        </w:tblCellMar>
      </w:tblPr>
      <w:tr>
        <w:trPr>
          <w:trHeight w:val="242"/>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ectPr>
          <w:pgSz w:w="11900" w:h="16838" w:orient="portrait"/>
          <w:cols w:equalWidth="0" w:num="1">
            <w:col w:w="11120"/>
          </w:cols>
          <w:pgMar w:left="320" w:top="225" w:right="459" w:bottom="16" w:gutter="0" w:footer="0" w:header="0"/>
        </w:sectPr>
      </w:pPr>
    </w:p>
    <w:bookmarkStart w:id="1" w:name="page2"/>
    <w:bookmarkEnd w:id="1"/>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113030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660"/>
          </w:cols>
          <w:pgMar w:left="440" w:top="118" w:right="7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217170</wp:posOffset>
            </wp:positionV>
            <wp:extent cx="180022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issue and sell, together or separately:</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issued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which may be issued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shares of preferred stock, debt securities or units of two or more of these types of securities;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each representing a combination of two or more of the foregoing securities.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provide the specific prices and terms of these securities in one or more supplements to this prospectus at the time of offering. You should read this prospectus and any accompanying prospectus supplement carefully before you make your investment decision. We refer to our debt securities, common stock, preferred stock, warrants and units collectively as the “securities.” Any or all of the securities may be offered and sold separately or together. The debt securities and preferred stock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sale of the securities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securities involves risks. You should carefully read this prospectus and the applicable prospectus supplement, including the section entitled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beginning on page 5 of this prospectus, the section entitled “Risk Factors” in the applicable prospectus supplement and risk factors in Navient LLC’s periodic reports and other information filed with the U.S. Securities and Exchange Commission (the “SEC”) before investing in our securities.</w:t>
      </w:r>
    </w:p>
    <w:p>
      <w:pPr>
        <w:spacing w:after="0" w:line="17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trading symbol “NAVI.” Each prospectus supplement will indicate whether the securities offered thereby will be listed on any securities exchange.</w:t>
      </w:r>
    </w:p>
    <w:p>
      <w:pPr>
        <w:spacing w:after="0" w:line="158"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This prospectus is dated October 29, 2026</w:t>
      </w:r>
    </w:p>
    <w:p>
      <w:pPr>
        <w:sectPr>
          <w:pgSz w:w="11900" w:h="16838" w:orient="portrait"/>
          <w:cols w:equalWidth="0" w:num="1">
            <w:col w:w="11060"/>
          </w:cols>
          <w:pgMar w:left="320" w:top="455"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9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2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20" w:type="dxa"/>
            <w:vAlign w:val="bottom"/>
          </w:tcPr>
          <w:p>
            <w:pPr>
              <w:jc w:val="right"/>
              <w:ind w:right="44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43"/>
        </w:trPr>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20" w:type="dxa"/>
            <w:vAlign w:val="bottom"/>
          </w:tcPr>
          <w:p>
            <w:pPr>
              <w:spacing w:after="0"/>
              <w:rPr>
                <w:sz w:val="21"/>
                <w:szCs w:val="21"/>
                <w:color w:val="auto"/>
              </w:rPr>
            </w:pPr>
          </w:p>
        </w:tc>
      </w:tr>
      <w:tr>
        <w:trPr>
          <w:trHeight w:val="175"/>
        </w:trPr>
        <w:tc>
          <w:tcPr>
            <w:tcW w:w="120" w:type="dxa"/>
            <w:vAlign w:val="bottom"/>
          </w:tcPr>
          <w:p>
            <w:pPr>
              <w:spacing w:after="0"/>
              <w:rPr>
                <w:sz w:val="15"/>
                <w:szCs w:val="15"/>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NAVIENT HOLDINGS, INC.</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6"/>
        </w:trPr>
        <w:tc>
          <w:tcPr>
            <w:tcW w:w="120" w:type="dxa"/>
            <w:vAlign w:val="bottom"/>
          </w:tcPr>
          <w:p>
            <w:pPr>
              <w:spacing w:after="0"/>
              <w:rPr>
                <w:sz w:val="15"/>
                <w:szCs w:val="15"/>
                <w:color w:val="auto"/>
              </w:rPr>
            </w:pPr>
          </w:p>
        </w:tc>
        <w:tc>
          <w:tcPr>
            <w:tcW w:w="28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60" w:type="dxa"/>
            <w:vAlign w:val="bottom"/>
            <w:tcBorders>
              <w:top w:val="single" w:sz="8" w:color="CCEEFF"/>
            </w:tcBorders>
            <w:gridSpan w:val="4"/>
          </w:tcPr>
          <w:p>
            <w:pPr>
              <w:spacing w:after="0"/>
              <w:rPr>
                <w:sz w:val="15"/>
                <w:szCs w:val="15"/>
                <w:color w:val="auto"/>
              </w:rPr>
            </w:pPr>
          </w:p>
        </w:tc>
        <w:tc>
          <w:tcPr>
            <w:tcW w:w="72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220" w:type="dxa"/>
            <w:vAlign w:val="bottom"/>
            <w:tcBorders>
              <w:bottom w:val="single" w:sz="8" w:color="CCEEFF"/>
            </w:tcBorders>
            <w:gridSpan w:val="10"/>
            <w:shd w:val="clear" w:color="auto" w:fill="CCEEFF"/>
          </w:tcPr>
          <w:p>
            <w:pPr>
              <w:spacing w:after="0"/>
              <w:rPr>
                <w:sz w:val="17"/>
                <w:szCs w:val="17"/>
                <w:color w:val="auto"/>
              </w:rPr>
            </w:pPr>
          </w:p>
        </w:tc>
        <w:tc>
          <w:tcPr>
            <w:tcW w:w="72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20" w:type="dxa"/>
            <w:vAlign w:val="bottom"/>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7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1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80" w:type="dxa"/>
            <w:vAlign w:val="bottom"/>
            <w:tcBorders>
              <w:bottom w:val="single" w:sz="8" w:color="CCEEFF"/>
            </w:tcBorders>
            <w:shd w:val="clear" w:color="auto" w:fill="CCEEFF"/>
          </w:tcPr>
          <w:p>
            <w:pPr>
              <w:spacing w:after="0"/>
              <w:rPr>
                <w:sz w:val="17"/>
                <w:szCs w:val="17"/>
                <w:color w:val="auto"/>
              </w:rPr>
            </w:pPr>
          </w:p>
        </w:tc>
        <w:tc>
          <w:tcPr>
            <w:tcW w:w="72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120" w:type="dxa"/>
            <w:vAlign w:val="bottom"/>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1320" w:type="dxa"/>
            <w:vAlign w:val="bottom"/>
            <w:tcBorders>
              <w:bottom w:val="single" w:sz="8" w:color="CCEEFF"/>
            </w:tcBorders>
            <w:gridSpan w:val="5"/>
            <w:shd w:val="clear" w:color="auto" w:fill="CCEEFF"/>
          </w:tcPr>
          <w:p>
            <w:pPr>
              <w:spacing w:after="0"/>
              <w:rPr>
                <w:sz w:val="17"/>
                <w:szCs w:val="17"/>
                <w:color w:val="auto"/>
              </w:rPr>
            </w:pPr>
          </w:p>
        </w:tc>
        <w:tc>
          <w:tcPr>
            <w:tcW w:w="72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176"/>
        </w:trPr>
        <w:tc>
          <w:tcPr>
            <w:tcW w:w="120" w:type="dxa"/>
            <w:vAlign w:val="bottom"/>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7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21"/>
        </w:trPr>
        <w:tc>
          <w:tcPr>
            <w:tcW w:w="1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175"/>
        </w:trPr>
        <w:tc>
          <w:tcPr>
            <w:tcW w:w="120" w:type="dxa"/>
            <w:vAlign w:val="bottom"/>
          </w:tcPr>
          <w:p>
            <w:pPr>
              <w:spacing w:after="0"/>
              <w:rPr>
                <w:sz w:val="15"/>
                <w:szCs w:val="15"/>
                <w:color w:val="auto"/>
              </w:rPr>
            </w:pPr>
          </w:p>
        </w:tc>
        <w:tc>
          <w:tcPr>
            <w:tcW w:w="204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tcBorders>
              <w:top w:val="single" w:sz="8" w:color="CCEEFF"/>
            </w:tcBorders>
            <w:gridSpan w:val="8"/>
          </w:tcPr>
          <w:p>
            <w:pPr>
              <w:spacing w:after="0"/>
              <w:rPr>
                <w:sz w:val="15"/>
                <w:szCs w:val="15"/>
                <w:color w:val="auto"/>
              </w:rPr>
            </w:pPr>
          </w:p>
        </w:tc>
        <w:tc>
          <w:tcPr>
            <w:tcW w:w="72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21"/>
        </w:trPr>
        <w:tc>
          <w:tcPr>
            <w:tcW w:w="12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380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7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4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 as a “well-known seasoned issuer” as defined in Rule 405 under the Securities Act of 1933, as amended (the “Securities Act”), using a “shelf” registration process. Under this process, we may sell from time to time any combination of the securities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“Navient,” the “Company,” “we,” “our” and “us” refer to Navient Holdings, Inc. and its consolidated subsidiaries, including Navient LLC, unless otherwise specified or the context otherwise requires.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information incorporated by reference herein or therein contain forward-looking statements relating to future events or our future results. These statements are forward-looking statements within the meaning of Section 27A of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prospectus and involve many risks and uncertainties that could cause our actual results to differ materially from those expressed or implied in our forward-looking statements. Such risks and uncertainties are discussed more fully under the caption “Risk Factors” included in Navient LLC’s Annual Report on Form 10-K for the year ended December 31, 2025, and in Navient LLC’s Quarterly Report on Form 10-Q for the fiscal quarter ended June 30, 2026, and include, but are not limited to the following:</w:t>
      </w:r>
    </w:p>
    <w:p>
      <w:pPr>
        <w:spacing w:after="0" w:line="100" w:lineRule="exact"/>
        <w:rPr>
          <w:sz w:val="20"/>
          <w:szCs w:val="20"/>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potential impact of artificial intelligence, inflation and interest rates on Navient and its clients and customers and on the creditworthiness of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defaults on education loans held by us;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credit ratings;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applicable laws, rules, regulations and government policies, as well as changing regulatory and governmental oversight;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 including the availability of any relevant money-market index rate or the relationship between the relevant money-market index rate and the rate at which our assets are priced;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characteristics of our assets do not always match those of our funding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or an inability to effectively manage our liquidity risk or access liquidity could negatively impact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funding in the capital markets;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earn Floor Income (as defined in Navient LLC’s Annual Report on Form 10-K for the year ended December 31, 2025) and our ability to enter into hedges relative to that Floor Income are dependent on the future interest rate environment and therefore are variable;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derivatives exposes us to credit and market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and effectively align our cost structure with our business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or breach of our operating systems, infrastructure or information technology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any third party providing us material services or products or a breach or violation of law by one of these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new products, strategic initiatives and investments or divestitures that we pursue;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risk and social factors.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are qualified by these cautionary statements and are made only as of the date of this prospectus. We do not undertake any obligation to update or revise these forward-looking statements except as required by law.</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such forward-looking statements. For more information regarding these risks and uncertainties as well as certain additional risks that we face, investors should review the risks described in this prospectus and in the applicable prospectus supplement and those incorporated by reference into this prospectus, including those risks in Navient LLC’s Annual Report on Form 10-K for the year ended December 31, 2025, Navient LLC’s Quarterly Report on Form 10-Q for the fiscal quarter ended June 30, 2026, and subsequent reports and registration statements filed from time to time with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NAVIENT HOLDINGS, INC.</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Navient Holdings, Inc. provides technology-enabled education finance solutions that help millions of people achieve success.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13865 Sunrise Valley Drive, Herndon, Virginia 20171. Our telephone number is (302) 283-8000. Our website address is www.navient.com. Information on, or accessible through, our website does not constitute part of this prospectus or any accompanying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Investing in our securities involves risk. Before you decide to invest in our securities, you should carefully consider the specific risks set forth under the caption “Risk Factors” included in Navient LLC’s most recent, and subsequent, Annual Reports on Form 10-K, in Navient LLC’s most recent, and subsequent, Quarterly Reports on Form 10-Q and in Navient LLC’s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 and debt repurchases.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320" w:top="455"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summary descriptions of the debt securities, preferred stock, common stock, warrants and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subordinated or junior subordinated, and which may be convertible into another security.</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that may apply to the debt securities. The particular terms of the debt securities offered by any prospectus supplement and the extent, if any, to which the following general terms and provisions may apply to the debt securities, will be described in an accompanying prospectus supplement. The debt securities will be issued under one or more indentures to be entered into between us and a trustee to be named later in a prospectus supplement. These indentures are referred to as the “indentures.” The terms of the debt securities will include those set forth in the applicable indenture and those made a part of such indenture by the Trust Indenture Act of 1939, as amended (the “TIA”). You should read the summary below, any accompanying prospectus supplement and the provisions of the indentures and supplemental indenture, if any, in their entirety before investing in our debt securities.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indentures is unlimited. The prospectus supplement relating to any series of debt securities that we may offer will contain the specific terms of that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With respect to debt securities issued under the indentures, authorizing resolutions, a written company order or a supplemental indenture will set forth the specific terms of each series of debt securities. These terms may include, among others,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their CUSIP and ISIN numbers, as applicable, and aggregate principal amount of the debt securities and any limit on the aggregate principal amount of such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subordinated and any applicable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the record dates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circumstances under which we may defer interest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shall be calculated if other than on the basis of a 360-day year of twelve 30-day months;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or surrendered for registration of transfer or exchange, where notices or demands upon the company may be made and where notices to holders will be published;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debt securities are to be issuable as registered securities, bearer securities or both, whether debt securities are to be issuable with or without coupons or both and, if issuable as bearer securities, the date as of which the bearer securities will be dated (if other than the date of original issuance of the first debt security of that series of like tenor and term to be issued and any restrictions applicable to the offering, sale or delivery of bearer securities and whether the terms upon which bearer securities of a series may be exchanged for registered securities of the same series and vice versa);</w:t>
      </w:r>
    </w:p>
    <w:p>
      <w:pPr>
        <w:spacing w:after="0" w:line="88"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part of the debt securities will be issued in whole or in part in the form of one or more temporary or permanent global securities and, if so, the depositary for those global securities and a description of any book-entry procedures relating to the global securities, and the date as of which the securities are dated if other than the date of original issuance;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temporary global securities, any special provisions dealing with the payment of interest and any terms relating to the ability to exchange interests in a temporary global security for interests in a permanent global security or for definitive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to or changes in the covenants that apply to such debt securities and the ability, if any, of the holders to waive our compliance with those additional or changed covenants;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issue of debt securities may be “reopened” by offering additional securities with substantially the same terms;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in which the purchase price for, the principal of and any premium and any interest on, the debt securities will be payable and, if a composite currency, any related special provisions;</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circumstances under which the debt securities may be paid in a currency other than the currency in which the debt securities are denominated and any related provisions;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can select the payment currency;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principal, premium and interest on debt securities will be determined if they are determined with reference to an index based upon a currency or currencies other than that in which the debt securities are denominated or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to the provisions for the defeasance of the debt securities or to provisions related to satisfaction and discharge of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identity of the security registrar and paying agent for the debt securities if other than the applicable trustee;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indentures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depositary that we will identify in a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We will describe the specific terms of the depositary arrangement relating to a series of debt securities in the applicable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and the debt securities shall be construed in accordance with and governed by the laws of the State of New York.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the Delaware General Corporation Law (the “DGCL”), our certificate of incorporation and our bylaws. This description does not purport to be complete and is qualified in its entirety by reference to the full text of the DGCL, as it may be amended from time to time, and to the terms of our certificate of incorporation and bylaws, as each may be amended from time to time, which are exhibits to the registration statement of which this prospectus is a part. See “Where You Can Find More Information.”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Under our certificate of incorporation, our authorized capital stock is 1,125,000,000 shares of common stock, $0.01 par value, and 20,000,000 shares of preferred stock, $0.20 par value.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October 29, 2026, 92,883,025 shares of our common stock were outstanding and no preferred stock was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to be voted upon by the common stockholders, and there are no cumulative voting rights. Holders of common stock are not entitled to vote on any amendment to our certificate of incorporation that relates solely to the terms of one or more outstanding series of preferred stock if the holders of such affected series of preferred stock are entitled, either separately or together as a class with the holders of one or more other series of preferred stock, to vote on such amendment pursuant to our certificate of incorporation or the DGCL.</w:t>
      </w:r>
    </w:p>
    <w:p>
      <w:pPr>
        <w:spacing w:after="0" w:line="18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Subject to any preferential rights of the holders of any outstanding preferred stock, holders of our common stock are entitled to receive ratably the dividends, if any, as may be declared from time to time by our board of directors out of funds legally available for that purpose. If there is a liquidation, dissolution or winding up of the Company, holders of our common stock would be entitled to share ratably in the assets legally available for distribution after the payment or provision in full of all liabilities and any preferential rights of the holders of any then outstanding preferred stock.</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or conversion rights or other subscription rights, and there are no redemption or sinking fund provisions applicable to shares of the common stock. Upon the distribution, all outstanding shares of the common stock will be fully paid and non-assessable. The rights, preferences and privileges of the holders of our common stock are subject to, and may be adversely affected by, the rights of the holders of shares of any series of preferred stock that we may authorize and issue in the future.</w:t>
      </w:r>
    </w:p>
    <w:p>
      <w:pPr>
        <w:spacing w:after="0" w:line="180"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will distribute a prospectus supplement with regard to each issue of common stock. Each prospectus supplement will describe the specific terms of the common stock offered through that prospectus supplement and any general terms outlined above that will not apply to that common stock.</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preferred stock in one or more series with any rights and preferences that may be authorized by our board of directors.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distribute a prospectus supplement with regard to each particular series of preferred stock. Each prospectus supplement will describe, as to the series of preferred stock to which it relates:</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preferred stock;</w:t>
      </w:r>
    </w:p>
    <w:p>
      <w:pPr>
        <w:spacing w:after="0" w:line="130" w:lineRule="exact"/>
        <w:rPr>
          <w:rFonts w:ascii="Times New Roman" w:cs="Times New Roman" w:eastAsia="Times New Roman" w:hAnsi="Times New Roman"/>
          <w:sz w:val="18"/>
          <w:szCs w:val="18"/>
          <w:color w:val="auto"/>
        </w:rPr>
      </w:pPr>
    </w:p>
    <w:p>
      <w:pPr>
        <w:ind w:left="5540" w:right="3760" w:hanging="4884"/>
        <w:spacing w:after="0" w:line="454" w:lineRule="auto"/>
        <w:tabs>
          <w:tab w:leader="none" w:pos="10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number of shares of the series of preferred stock that may be issued; 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if any, to which holders of the series of preferred stock will be entitled upon our liquidation;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we will be required or permitted to redeem the preferred stock;</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we or holders of the preferred stock will have the option to cause the preferred stock to be redeemed or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preferred stock;</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that will be payable with regard to the series of preferred stock, which may be fixed dividends or participating dividends, and may be cumulative or non-cumulative;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holders of the preferred stock to convert it into another class of our stock or securities, including provisions intended to prevent dilution of those conversion rights;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by which we will be required or permitted to make payments to a sinking fund to be used to redeem preferred stock, or a purchase fund to be used to purchase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issuance of shares in the same series or any other series;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preferred stock.</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or all of these rights may be greater than the rights of the holders of common stock. In addition, our board of directors, without shareholder approval, may issue preferred stock with voting, conversion or other rights that could adversely affect the voting power and other rights of the holders of our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the preferred stock that might be issued could conceivably prohibit us from:</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consummating a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other extraordinary corporate transactions without shareholder approval.</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Preferred stock could therefore be issued with terms calculated to delay, defer or prevent a change in our control or to make it more difficult to remove our management. Our issuance of preferred stock may have the effect of decreasing the market price of the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Certificate of Incorporation, Bylaws and Other Agreements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Provisions of the DGCL and our certificate of incorporation and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the heightened ability to negotiate with the proponent of an unfriendly or unsolicited proposal to acquire or restructure us outweighs the disadvantages of discouraging takeover or acquisition proposals because, among other things, negotiation of these proposals could result in an improvement of their terms.</w:t>
      </w:r>
    </w:p>
    <w:p>
      <w:pPr>
        <w:spacing w:after="0" w:line="185"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an anti-takeover statute. In general, Section 203 of the DGCL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Amendments to Bylaws</w:t>
      </w:r>
      <w:r>
        <w:rPr>
          <w:rFonts w:ascii="Times New Roman" w:cs="Times New Roman" w:eastAsia="Times New Roman" w:hAnsi="Times New Roman"/>
          <w:sz w:val="18"/>
          <w:szCs w:val="18"/>
          <w:color w:val="auto"/>
        </w:rPr>
        <w:t>. Our certificate of incorporation and bylaws provide that the bylaws may be amended by our board of directors or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holders of at least seventy-five percent (75%) in voting power of our stock then outstanding and entitled to vote thereon.</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Size of Board and Vacancies. </w:t>
      </w:r>
      <w:r>
        <w:rPr>
          <w:rFonts w:ascii="Times New Roman" w:cs="Times New Roman" w:eastAsia="Times New Roman" w:hAnsi="Times New Roman"/>
          <w:sz w:val="18"/>
          <w:szCs w:val="18"/>
          <w:color w:val="auto"/>
        </w:rPr>
        <w:t>Our certificate of incorporation and bylaws provide that the number of directors on our board of directors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exclusively by our board of directors, subject to the rights of the holders of any outstanding preferred stock to elect directors. Any newly created directorship or any vacancy in our board of directors resulting from any increase in the authorized number of directors or the death, disability, resignation, retirement, disqualification, removal from office or other cause will be filled solely by the affirmative vote of a majority of the board of directors then in office, even if less than a quorum, or by a sole remaining director. Any director appointed to fill a vacancy on our board of directors not resulting from an increase in the size of the board will be appointed for the remaining term of his or her predecessor, and until his or her successor has been elected and qualified, subject to his or her earlier death, disqualification, resignation or removal.</w:t>
      </w:r>
    </w:p>
    <w:p>
      <w:pPr>
        <w:spacing w:after="0" w:line="183" w:lineRule="exact"/>
        <w:rPr>
          <w:sz w:val="20"/>
          <w:szCs w:val="20"/>
          <w:color w:val="auto"/>
        </w:rPr>
      </w:pPr>
    </w:p>
    <w:p>
      <w:pPr>
        <w:ind w:left="120" w:right="14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Stockholder Action by Written Consent</w:t>
      </w:r>
      <w:r>
        <w:rPr>
          <w:rFonts w:ascii="Times New Roman" w:cs="Times New Roman" w:eastAsia="Times New Roman" w:hAnsi="Times New Roman"/>
          <w:sz w:val="17"/>
          <w:szCs w:val="17"/>
          <w:color w:val="auto"/>
        </w:rPr>
        <w:t>. Subject to the rights of any series of preferred stock, our certificate of incorporation expressly eliminates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 of our stockholders to act by written consent. Stockholder action must take place at the annual or a special meeting of our stockholders.</w:t>
      </w:r>
    </w:p>
    <w:p>
      <w:pPr>
        <w:spacing w:after="0" w:line="13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bylaws establish advance notice procedures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stockholder proposals and nomination of candidates for election as directors other than nominations made by or at the direction of our board of directors or a committee of our board of directors. Generally, to be timely, a stockholder’s notice of nominations and directors or proposal of other business must be delivered to the Secretary at our principal executive offices at an annual meeting of stockholders not less than the 90th day nor more than the 120th day prior to the first anniversary of the preceding year’s annual meeting. Our bylaws also specify requirements as to the form and content of a stockholder’s notice. In the case of a special meeting of stockholders called for the election of directors, notice must be delivered not earlier than the 120th day prior to such meeting and not later than the close of business on the later of the 90th day prior to such special meeting and the 10th day following the day on which notice of the date of such special meeting was mailed or public disclosure of such special meeting was made, whichever first occurs. Our bylaws allow the Board to adopt rules, regulations and procedures for the conduct of any meeting of stockholders.</w:t>
      </w:r>
    </w:p>
    <w:p>
      <w:pPr>
        <w:spacing w:after="0" w:line="188"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denied the right to cumulate votes in the election of directors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certificate of incorporation provides otherwise. Our certificate of incorporation does not provide for cumulative voting in the election of directors.</w:t>
      </w:r>
    </w:p>
    <w:p>
      <w:pPr>
        <w:spacing w:after="0" w:line="17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The authority that our board of directors possesses to issue preferred stock could potentially be used to discourage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attempts by third parties to obtain control of us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trading symbol “NAVI.”</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Computershare Trust Company, N.A.</w:t>
      </w:r>
    </w:p>
    <w:p>
      <w:pPr>
        <w:spacing w:after="0" w:line="1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39"/>
          </w:cols>
          <w:pgMar w:left="320" w:top="45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warrants for the purchase of debt securities, common stock, preferred stock or units of two or more of these types of securities.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debt securities, preferred stock or common stock, and may be attached to or separate from any offered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designation, aggregate principal amount, currencies, denominations and terms of the series of debt securities purchasable upon exercise of the warrants, and the price at which you may purchase the debt securities upon exercise;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preferred stock, the designation, number of shares, stated value and terms, such as liquidation, dividend, conversion and voting rights, of the series of preferred stock purchasable upon exercise of the warrants, and the price at which you may purchase shares of preferred stock of that series upon exercise;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of shares of common stock purchasable upon the exercise of the warrants and the price at which you may purchase shares of common stock upon exercise;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units of two or more securities, the type, number and terms of the units purchasable upon exercise of the warrants and the price at which you may purchase units upon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you may exercise the warrants;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adjusting the securities that may be purchased on exercise of the warrants, and the exercise price of the warrants, to prevent dilution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warrants can be presented for exercise or for registration of transfer or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we provide otherwise in a prospectus supplement, warrants for the purchase of preferred stock and common stock will be offered and exercisable for U.S. dollars only, and will be issued in registered form only. The exercise price for warrants will be subject to adjustment as described in the prospectus supplement for those warrants.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to purchase debt securities, preferred stock or common stock, holders of the warrants will not have any of the rights of holders of the securities purchasable upon exercise, including:</w:t>
      </w:r>
    </w:p>
    <w:p>
      <w:pPr>
        <w:spacing w:after="0" w:line="67" w:lineRule="exact"/>
        <w:rPr>
          <w:sz w:val="20"/>
          <w:szCs w:val="20"/>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for the purchase of debt securities, the right to receive payments of principal of or any premium or interest on the debt securities purchasable upon exercise, or to enforce covenants in the applicable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for the purchase of preferred stock or common stock, the right to vote or to receive any payments of dividends on the preferred stock or common stock purchasable upon exercise.</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455" w:right="5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 warrants, or any combination of those securities. The prospectus supplement relating to the offering of such units will describe their terms, including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each of the securities included in the units, including whether and under what circumstances the securities included in the units may or may not be traded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the payment, settlement, transfer or exchange of the units.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units we offer will not necessarily be complete and will be qualified in its entirety by reference to the applicable units agreement, if any, or documents governing the units or the components of the units, which will be filed with the SEC if we offer units. For more information on how you can obtain copies of any agreement if we offer units, see “Where You Can Find More Information.” We urge you to read the applicable unit agreement and any accompanying prospectus supplement in their entirety.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any of the securities being offered by this prospectus separately or together:</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who may act directly or through a syndicate represented by one or more managing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our outstanding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auction or other process;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the securities offered under this prospectus are issued in exchange for our outstanding securities, the applicable prospectus supplement will describe the terms of the exchange, and the identity and the terms of sale of the securities offered under this prospectus.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at a fixed price or prices that may be changed, at market prices prevailing at the time of sale or prices related to prevailing market prices or at negotiated prices.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Agents designated by us from time to time may solicit offers to purchase the securities. We will name any agent involved in the offer or sale of the securities and set forth any commissions payable by us to an agent in the prospectus supplement or pricing supplement for that transaction. Unless otherwise indicated in the prospectus supplement or pricing supplement, any agent will be acting on a best efforts basis for the period of its appointment. Any agent may be deemed to be an “underwriter” of the securities as that term is defined in the Securities Act.</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Agreements we enter into with agents, underwriters and dealers may entitle them to indemnification by us against specified liabilities, including liabilities under the Securities Act, or to contribution by us to payments they may be required to make in respect of these liabilities. The prospectus supplement will describe the terms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and conditions of indemnification or contribution. Some of the agents, underwriters or dealers, or their affiliates, may be our customers, or engage in transactions with or perform services for us and our subsidiaries in the ordinary course of business.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9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in electronic format, in electronic format on the Internet, or by other means) of the applicable prospectus supplement or pricing supplement describing the method and terms of the offering.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Kirkland &amp; Ellis LLP, Chicago, Illinois, will provide opinions regarding the authorization and validity of the securities. Kirkland &amp; Ellis LLP, Chicago, Illinois, may also provide opinions regarding certain other matters. Any underwriters will be advised about legal matters by their own counsel, which will be named in an accompanying prospectus supplement.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Navient Corporation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Exchange Act. Our SEC filings and Navient LLC’s SEC filings are available to the public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Navient LLC has previously filed with the SEC (other than information deemed furnished and not filed in accordance with SEC rules, including Items 2.02 and 7.01 of Form 8-K):</w:t>
      </w:r>
    </w:p>
    <w:p>
      <w:pPr>
        <w:spacing w:after="0" w:line="94" w:lineRule="exact"/>
        <w:rPr>
          <w:sz w:val="20"/>
          <w:szCs w:val="20"/>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Current Report on Form 8-K filed with the SEC on </w:t>
      </w:r>
      <w:hyperlink r:id="rId46">
        <w:r>
          <w:rPr>
            <w:rFonts w:ascii="Times New Roman" w:cs="Times New Roman" w:eastAsia="Times New Roman" w:hAnsi="Times New Roman"/>
            <w:sz w:val="18"/>
            <w:szCs w:val="18"/>
            <w:u w:val="single" w:color="auto"/>
            <w:color w:val="0000EE"/>
          </w:rPr>
          <w:t>October 29, 2026</w:t>
        </w:r>
      </w:hyperlink>
      <w:r>
        <w:rPr>
          <w:rFonts w:ascii="Times New Roman" w:cs="Times New Roman" w:eastAsia="Times New Roman" w:hAnsi="Times New Roman"/>
          <w:sz w:val="18"/>
          <w:szCs w:val="18"/>
          <w:color w:val="auto"/>
        </w:rPr>
        <w:t>, and any further amendment or report filed for the purpose of updating such description;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46">
        <w:r>
          <w:rPr>
            <w:rFonts w:ascii="Times New Roman" w:cs="Times New Roman" w:eastAsia="Times New Roman" w:hAnsi="Times New Roman"/>
            <w:sz w:val="18"/>
            <w:szCs w:val="18"/>
            <w:u w:val="single" w:color="auto"/>
            <w:color w:val="0000EE"/>
          </w:rPr>
          <w:t>October 29,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LLC’s Annual Report on </w:t>
      </w:r>
      <w:hyperlink r:id="rId4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26,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LLC’s Quarterly Report on </w:t>
      </w:r>
      <w:hyperlink r:id="rId4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April 29,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LLC’s Quarterly Report on </w:t>
      </w:r>
      <w:hyperlink r:id="rId4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June 30, 2026, filed with the SEC on August 7, 2026;</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Navient LLC’s Current Reports on Form 8-K, filed with the SEC on </w:t>
        </w:r>
        <w:r>
          <w:rPr>
            <w:rFonts w:ascii="Times New Roman" w:cs="Times New Roman" w:eastAsia="Times New Roman" w:hAnsi="Times New Roman"/>
            <w:sz w:val="18"/>
            <w:szCs w:val="18"/>
            <w:u w:val="single" w:color="auto"/>
            <w:color w:val="0000EE"/>
          </w:rPr>
          <w:t>January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 xml:space="preserve">September 25, 2026 </w:t>
        </w:r>
      </w:hyperlink>
      <w:hyperlink r:id="rId5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October 21, 2026</w:t>
        </w:r>
      </w:hyperlink>
      <w:hyperlink r:id="rId50">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080" w:right="700" w:hanging="424"/>
        <w:spacing w:after="0" w:line="312" w:lineRule="auto"/>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Navient LLC’s Annual Report on </w:t>
      </w:r>
      <w:hyperlink r:id="rId5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fiscal year ended December 31, 2025 from Navient LLC’s definitive proxy statement on </w:t>
      </w:r>
      <w:hyperlink r:id="rId54">
        <w:r>
          <w:rPr>
            <w:rFonts w:ascii="Times New Roman" w:cs="Times New Roman" w:eastAsia="Times New Roman" w:hAnsi="Times New Roman"/>
            <w:sz w:val="17"/>
            <w:szCs w:val="17"/>
            <w:u w:val="single" w:color="auto"/>
            <w:color w:val="0000EE"/>
          </w:rPr>
          <w:t>Schedule 14A</w:t>
        </w:r>
      </w:hyperlink>
      <w:r>
        <w:rPr>
          <w:rFonts w:ascii="Times New Roman" w:cs="Times New Roman" w:eastAsia="Times New Roman" w:hAnsi="Times New Roman"/>
          <w:sz w:val="17"/>
          <w:szCs w:val="17"/>
          <w:color w:val="auto"/>
        </w:rPr>
        <w:t>, filed with the SEC on April 16, 2026.</w:t>
      </w:r>
    </w:p>
    <w:p>
      <w:pPr>
        <w:spacing w:after="0" w:line="140" w:lineRule="exact"/>
        <w:rPr>
          <w:rFonts w:ascii="Times New Roman" w:cs="Times New Roman" w:eastAsia="Times New Roman" w:hAnsi="Times New Roman"/>
          <w:sz w:val="17"/>
          <w:szCs w:val="17"/>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58" w:lineRule="exact"/>
        <w:rPr>
          <w:rFonts w:ascii="Times New Roman" w:cs="Times New Roman" w:eastAsia="Times New Roman" w:hAnsi="Times New Roman"/>
          <w:sz w:val="17"/>
          <w:szCs w:val="17"/>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7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7"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9"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Telephone: (302) 283-8000</w:t>
      </w:r>
    </w:p>
    <w:p>
      <w:pPr>
        <w:spacing w:after="0" w:line="207" w:lineRule="exact"/>
        <w:rPr>
          <w:rFonts w:ascii="Times New Roman" w:cs="Times New Roman" w:eastAsia="Times New Roman" w:hAnsi="Times New Roman"/>
          <w:sz w:val="17"/>
          <w:szCs w:val="17"/>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and any prospectus supplement. We have not authorized anyone else to provide you with different information. You should not assume that the information in this prospectus or any prospectus supplement is accurate as of any date other than the date on the front of these documents.</w:t>
      </w:r>
    </w:p>
    <w:p>
      <w:pPr>
        <w:spacing w:after="0" w:line="108"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13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22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2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expenses relating to the registration of the securities will be borne by the registrant.</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w:t>
            </w: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Agents and Trustees’ Fees and Expenses</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w:t>
            </w: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Fees</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0" w:hanging="54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 reliance on Rules 456(b) and 457(r) under the Securities Act.</w:t>
      </w:r>
    </w:p>
    <w:p>
      <w:pPr>
        <w:spacing w:after="0" w:line="27" w:lineRule="exact"/>
        <w:rPr>
          <w:sz w:val="20"/>
          <w:szCs w:val="20"/>
          <w:color w:val="auto"/>
        </w:rPr>
      </w:pPr>
    </w:p>
    <w:p>
      <w:pPr>
        <w:ind w:left="660" w:right="800" w:hanging="544"/>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an indeterminate amount of securities is covered by this registration statement, the expenses in connection with the issuance and distribution of the securities are not currently determinable.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Officers and Directors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permitted by Section 102(b)(7) of the DGCL, the Company’s certificate of incorporation provides that none of the Company’s directors will be personally liable to the Company or its stockholders for monetary damages for breaches of fiduciary duty, except for liability (i) for any breach of the director’s duty of loyalty to the Company or its stockholders, (ii) for acts or omissions not in good faith or which involve intentional misconduct or a knowing violation of law, (iii) pursuant to the provisions of Section 174 of the DGCL or (iv) for any transaction from which the director derived an improper personal benefit. Any repeal or modification of the foregoing Article SEVENTH of the Company’s certificate of incorporation by the Company’s stockholders will not adversely affect any right of a director existing at the time of such repeal or modification with respect to any act or omission occurring prior to such repeal or modification.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 145 of the DGCL, a corporation has the power to indemnify directors and officers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any of them is a party by reason of being a director or officer of the corporation if it is determined that the director or officer acted in accordance with the applicable standard of conduct set forth in such statutory provision. Article VII of the Company’s bylaws provides that the Company will indemnify any person who was or is party or is threatened to be made a party to any threatened, pending or completed action, suit or proceeding by reason of the fact that he or she is or was a director or officer of the Company, or is or was a director or officer of the Company serving at the request of the Company as a director, officer, employee or agent of another entity, against certain liabilities, costs and expenses. Article VII also provides for the advancement of expenses to an indemnified party upon receipt of an undertaking by the party to repay those amounts if it is ultimately determined that he or she is not entitled to be indemnified by the Company. Any repeal or modification of the foregoing provisions of Article VII of the Company’s bylaws will be prospective only and will not in any way adversely affect any right of a director or officer in effect at the time with respect to any act or omission occurring prior to such repeal or modification.</w:t>
      </w:r>
    </w:p>
    <w:p>
      <w:pPr>
        <w:spacing w:after="0" w:line="192"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Company maintains a director and officer insurance policy which insures the directors and officers of the Company and its subsidiaries, within certain limits and subject to certain limitations, against certain expenses in connection with the defense of actions, suits or proceedings, and certain liabilities that might be imposed as a result of such actions, suits or proceedings in which they are parties by reason of being or having been directors or officers.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46"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on page II-4.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60" w:hanging="439"/>
        <w:spacing w:after="0" w:line="273" w:lineRule="auto"/>
        <w:tabs>
          <w:tab w:leader="none" w:pos="154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spacing w:after="0" w:line="76" w:lineRule="exact"/>
        <w:rPr>
          <w:rFonts w:ascii="Times New Roman" w:cs="Times New Roman" w:eastAsia="Times New Roman" w:hAnsi="Times New Roman"/>
          <w:sz w:val="17"/>
          <w:szCs w:val="17"/>
          <w:color w:val="auto"/>
        </w:rPr>
      </w:pPr>
    </w:p>
    <w:p>
      <w:pPr>
        <w:ind w:left="1540" w:right="160" w:hanging="439"/>
        <w:spacing w:after="0" w:line="282" w:lineRule="auto"/>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(ii), and (iii)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right="80" w:hanging="439"/>
        <w:spacing w:after="0" w:line="255"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 (1)(i),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540" w:right="40"/>
        <w:spacing w:after="0" w:line="257" w:lineRule="auto"/>
        <w:rPr>
          <w:sz w:val="20"/>
          <w:szCs w:val="20"/>
          <w:color w:val="auto"/>
        </w:rPr>
      </w:pPr>
      <w:r>
        <w:rPr>
          <w:rFonts w:ascii="Times New Roman" w:cs="Times New Roman" w:eastAsia="Times New Roman" w:hAnsi="Times New Roman"/>
          <w:sz w:val="18"/>
          <w:szCs w:val="18"/>
          <w:color w:val="auto"/>
        </w:rPr>
        <w:t xml:space="preserve">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0" w:lineRule="exact"/>
        <w:rPr>
          <w:sz w:val="20"/>
          <w:szCs w:val="20"/>
          <w:color w:val="auto"/>
        </w:rPr>
      </w:pPr>
    </w:p>
    <w:p>
      <w:pPr>
        <w:ind w:left="1080" w:hanging="532"/>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120" w:right="120" w:firstLine="436"/>
        <w:spacing w:after="0" w:line="254" w:lineRule="auto"/>
        <w:tabs>
          <w:tab w:leader="none" w:pos="8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120" w:right="360" w:firstLine="436"/>
        <w:spacing w:after="0" w:line="312" w:lineRule="auto"/>
        <w:tabs>
          <w:tab w:leader="none" w:pos="8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file an application for the purpose of determining the eligibility of the trustee to act under subsection (a) of Section 310 of the TIA in accordance with the rules and regulations prescribed by the SEC under Section 305(b)(2) of the TIA.</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0" w:type="dxa"/>
            <w:vAlign w:val="bottom"/>
          </w:tcPr>
          <w:p>
            <w:pPr>
              <w:spacing w:after="0"/>
              <w:rPr>
                <w:sz w:val="24"/>
                <w:szCs w:val="24"/>
                <w:color w:val="auto"/>
              </w:rPr>
            </w:pPr>
          </w:p>
        </w:tc>
        <w:tc>
          <w:tcPr>
            <w:tcW w:w="990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94"/>
        </w:trPr>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1.1*</w:t>
            </w:r>
          </w:p>
        </w:tc>
        <w:tc>
          <w:tcPr>
            <w:tcW w:w="400" w:type="dxa"/>
            <w:vAlign w:val="bottom"/>
            <w:shd w:val="clear" w:color="auto" w:fill="CCEEFF"/>
          </w:tcPr>
          <w:p>
            <w:pPr>
              <w:spacing w:after="0"/>
              <w:rPr>
                <w:sz w:val="18"/>
                <w:szCs w:val="18"/>
                <w:color w:val="auto"/>
              </w:rPr>
            </w:pPr>
          </w:p>
        </w:tc>
        <w:tc>
          <w:tcPr>
            <w:tcW w:w="99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400" w:type="dxa"/>
            <w:vAlign w:val="bottom"/>
          </w:tcPr>
          <w:p>
            <w:pPr>
              <w:spacing w:after="0"/>
              <w:rPr>
                <w:sz w:val="24"/>
                <w:szCs w:val="24"/>
                <w:color w:val="auto"/>
              </w:rPr>
            </w:pPr>
          </w:p>
        </w:tc>
        <w:tc>
          <w:tcPr>
            <w:tcW w:w="9900" w:type="dxa"/>
            <w:vAlign w:val="bottom"/>
            <w:gridSpan w:val="10"/>
          </w:tcPr>
          <w:p>
            <w:pPr>
              <w:ind w:left="20"/>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Certificate of Incorporation of Navient Holdings, Inc. (incorporated by reference to Exhibit 3.1 to Navient’s Current Report on Form 8-K</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tcBorders>
              <w:top w:val="single" w:sz="8" w:color="0000EE"/>
            </w:tcBorders>
            <w:gridSpan w:val="9"/>
          </w:tcPr>
          <w:p>
            <w:pPr>
              <w:ind w:left="20"/>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filed on October 29, 2026 (File No. 001-43525))</w:t>
              </w:r>
            </w:hyperlink>
          </w:p>
        </w:tc>
        <w:tc>
          <w:tcPr>
            <w:tcW w:w="20" w:type="dxa"/>
            <w:vAlign w:val="bottom"/>
          </w:tcPr>
          <w:p>
            <w:pPr>
              <w:spacing w:after="0"/>
              <w:rPr>
                <w:sz w:val="17"/>
                <w:szCs w:val="17"/>
                <w:color w:val="auto"/>
              </w:rPr>
            </w:pPr>
          </w:p>
        </w:tc>
      </w:tr>
      <w:tr>
        <w:trPr>
          <w:trHeight w:val="128"/>
        </w:trPr>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3.2**</w:t>
            </w:r>
          </w:p>
        </w:tc>
        <w:tc>
          <w:tcPr>
            <w:tcW w:w="400" w:type="dxa"/>
            <w:vAlign w:val="bottom"/>
            <w:shd w:val="clear" w:color="auto" w:fill="CCEEFF"/>
          </w:tcPr>
          <w:p>
            <w:pPr>
              <w:spacing w:after="0"/>
              <w:rPr>
                <w:sz w:val="15"/>
                <w:szCs w:val="15"/>
                <w:color w:val="auto"/>
              </w:rPr>
            </w:pPr>
          </w:p>
        </w:tc>
        <w:tc>
          <w:tcPr>
            <w:tcW w:w="9900" w:type="dxa"/>
            <w:vAlign w:val="bottom"/>
            <w:gridSpan w:val="10"/>
            <w:shd w:val="clear" w:color="auto" w:fill="CCEEFF"/>
          </w:tcPr>
          <w:p>
            <w:pPr>
              <w:ind w:left="20"/>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Bylaws of Navient Holdings, Inc. (incorporated by reference to Exhibit 3.2 to Navient’s Current Report on Form 8-K filed on October</w:t>
              </w:r>
            </w:hyperlink>
          </w:p>
        </w:tc>
      </w:tr>
      <w:tr>
        <w:trPr>
          <w:trHeight w:val="217"/>
        </w:trPr>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0000EE"/>
              <w:bottom w:val="single" w:sz="8" w:color="0000EE"/>
            </w:tcBorders>
            <w:gridSpan w:val="2"/>
            <w:shd w:val="clear" w:color="auto" w:fill="CCEEFF"/>
          </w:tcPr>
          <w:p>
            <w:pPr>
              <w:ind w:left="20"/>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29, 2026 (File No. 001-43525))</w:t>
              </w:r>
            </w:hyperlink>
          </w:p>
        </w:tc>
        <w:tc>
          <w:tcPr>
            <w:tcW w:w="738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400" w:type="dxa"/>
            <w:vAlign w:val="bottom"/>
          </w:tcPr>
          <w:p>
            <w:pPr>
              <w:spacing w:after="0"/>
              <w:rPr>
                <w:sz w:val="24"/>
                <w:szCs w:val="24"/>
                <w:color w:val="auto"/>
              </w:rPr>
            </w:pPr>
          </w:p>
        </w:tc>
        <w:tc>
          <w:tcPr>
            <w:tcW w:w="9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Form of Indenture with a trustee to be named later</w:t>
            </w:r>
          </w:p>
        </w:tc>
      </w:tr>
      <w:tr>
        <w:trPr>
          <w:trHeight w:val="128"/>
        </w:trPr>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4.2*</w:t>
            </w:r>
          </w:p>
        </w:tc>
        <w:tc>
          <w:tcPr>
            <w:tcW w:w="400" w:type="dxa"/>
            <w:vAlign w:val="bottom"/>
            <w:shd w:val="clear" w:color="auto" w:fill="CCEEFF"/>
          </w:tcPr>
          <w:p>
            <w:pPr>
              <w:spacing w:after="0"/>
              <w:rPr>
                <w:sz w:val="18"/>
                <w:szCs w:val="18"/>
                <w:color w:val="auto"/>
              </w:rPr>
            </w:pPr>
          </w:p>
        </w:tc>
        <w:tc>
          <w:tcPr>
            <w:tcW w:w="99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Debt Securities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400" w:type="dxa"/>
            <w:vAlign w:val="bottom"/>
          </w:tcPr>
          <w:p>
            <w:pPr>
              <w:spacing w:after="0"/>
              <w:rPr>
                <w:sz w:val="24"/>
                <w:szCs w:val="24"/>
                <w:color w:val="auto"/>
              </w:rPr>
            </w:pPr>
          </w:p>
        </w:tc>
        <w:tc>
          <w:tcPr>
            <w:tcW w:w="9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108"/>
        </w:trPr>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4.4*</w:t>
            </w:r>
          </w:p>
        </w:tc>
        <w:tc>
          <w:tcPr>
            <w:tcW w:w="400" w:type="dxa"/>
            <w:vAlign w:val="bottom"/>
            <w:shd w:val="clear" w:color="auto" w:fill="CCEEFF"/>
          </w:tcPr>
          <w:p>
            <w:pPr>
              <w:spacing w:after="0"/>
              <w:rPr>
                <w:sz w:val="18"/>
                <w:szCs w:val="18"/>
                <w:color w:val="auto"/>
              </w:rPr>
            </w:pPr>
          </w:p>
        </w:tc>
        <w:tc>
          <w:tcPr>
            <w:tcW w:w="99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400" w:type="dxa"/>
            <w:vAlign w:val="bottom"/>
          </w:tcPr>
          <w:p>
            <w:pPr>
              <w:spacing w:after="0"/>
              <w:rPr>
                <w:sz w:val="24"/>
                <w:szCs w:val="24"/>
                <w:color w:val="auto"/>
              </w:rPr>
            </w:pPr>
          </w:p>
        </w:tc>
        <w:tc>
          <w:tcPr>
            <w:tcW w:w="9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Form of Preferred Stock Certificate</w:t>
            </w:r>
          </w:p>
        </w:tc>
      </w:tr>
      <w:tr>
        <w:trPr>
          <w:trHeight w:val="108"/>
        </w:trPr>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6"/>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5.1</w:t>
            </w:r>
          </w:p>
        </w:tc>
        <w:tc>
          <w:tcPr>
            <w:tcW w:w="400" w:type="dxa"/>
            <w:vAlign w:val="bottom"/>
            <w:shd w:val="clear" w:color="auto" w:fill="CCEEFF"/>
          </w:tcPr>
          <w:p>
            <w:pPr>
              <w:spacing w:after="0"/>
              <w:rPr>
                <w:sz w:val="15"/>
                <w:szCs w:val="15"/>
                <w:color w:val="auto"/>
              </w:rPr>
            </w:pPr>
          </w:p>
        </w:tc>
        <w:tc>
          <w:tcPr>
            <w:tcW w:w="990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Opinion of Kirkland &amp; Ellis LLP</w:t>
            </w: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tcPr>
          <w:p>
            <w:pPr>
              <w:spacing w:after="0"/>
              <w:rPr>
                <w:sz w:val="24"/>
                <w:szCs w:val="24"/>
                <w:color w:val="auto"/>
              </w:rPr>
            </w:pPr>
          </w:p>
        </w:tc>
        <w:tc>
          <w:tcPr>
            <w:tcW w:w="9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Consent of Kirkland &amp; Ellis LLP (included in Exhibit 5.1)</w:t>
            </w:r>
          </w:p>
        </w:tc>
      </w:tr>
      <w:tr>
        <w:trPr>
          <w:trHeight w:val="129"/>
        </w:trPr>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400" w:type="dxa"/>
            <w:vAlign w:val="bottom"/>
            <w:shd w:val="clear" w:color="auto" w:fill="CCEEFF"/>
          </w:tcPr>
          <w:p>
            <w:pPr>
              <w:spacing w:after="0"/>
              <w:rPr>
                <w:sz w:val="15"/>
                <w:szCs w:val="15"/>
                <w:color w:val="auto"/>
              </w:rPr>
            </w:pPr>
          </w:p>
        </w:tc>
        <w:tc>
          <w:tcPr>
            <w:tcW w:w="990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KPMG LLP</w:t>
            </w:r>
          </w:p>
        </w:tc>
      </w:tr>
      <w:tr>
        <w:trPr>
          <w:trHeight w:val="21"/>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tcPr>
          <w:p>
            <w:pPr>
              <w:spacing w:after="0"/>
              <w:rPr>
                <w:sz w:val="24"/>
                <w:szCs w:val="24"/>
                <w:color w:val="auto"/>
              </w:rPr>
            </w:pPr>
          </w:p>
        </w:tc>
        <w:tc>
          <w:tcPr>
            <w:tcW w:w="99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Power of Attorney (included on the signature page hereto)</w:t>
            </w:r>
          </w:p>
        </w:tc>
      </w:tr>
      <w:tr>
        <w:trPr>
          <w:trHeight w:val="128"/>
        </w:trPr>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400" w:type="dxa"/>
            <w:vAlign w:val="bottom"/>
            <w:shd w:val="clear" w:color="auto" w:fill="CCEEFF"/>
          </w:tcPr>
          <w:p>
            <w:pPr>
              <w:spacing w:after="0"/>
              <w:rPr>
                <w:sz w:val="18"/>
                <w:szCs w:val="18"/>
                <w:color w:val="auto"/>
              </w:rPr>
            </w:pPr>
          </w:p>
        </w:tc>
        <w:tc>
          <w:tcPr>
            <w:tcW w:w="99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Eligibility on Form T-1 of the trustee to be named later under the form of Indenture</w:t>
            </w:r>
          </w:p>
        </w:tc>
      </w:tr>
    </w:tbl>
    <w:p>
      <w:pPr>
        <w:spacing w:after="0" w:line="90" w:lineRule="exact"/>
        <w:rPr>
          <w:sz w:val="20"/>
          <w:szCs w:val="20"/>
          <w:color w:val="auto"/>
        </w:rPr>
      </w:pPr>
    </w:p>
    <w:p>
      <w:pPr>
        <w:ind w:left="1260" w:hanging="1144"/>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52" w:lineRule="exact"/>
        <w:rPr>
          <w:sz w:val="20"/>
          <w:szCs w:val="20"/>
          <w:color w:val="auto"/>
        </w:rPr>
      </w:pPr>
    </w:p>
    <w:p>
      <w:pPr>
        <w:ind w:left="540" w:right="68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an amendment or an exhibit to a document to be incorporated or deemed to be incorporated by reference to this registration statement, including a Current Report on Form 8-K.</w:t>
      </w: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pursuant to Section 305(b)(2) of the TIA.</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on Form S-3 to be signed on its behalf by the undersigned, thereunto duly authorized, in the City of Herndon, State of Virginia on October 29, 2026.</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Edward Bramson</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requirements of the Securities Act, this Registration Statement has been signed by the following persons in the capacities and on the dates stated. Each person whose signature appears below constitutes and appoints Edward Bramson, Steve Hauber and Matthew Sheldon, and each of them severally, as his or her true and lawful attorney-in-fact and agent, each acting alone with full power of substitution and resubstitution, for him or her and in his or her name, place and stead, in any and all capacities, to sign any or all amendments (including post-effective amendments) and exhibits to this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on Form S-3 has been signed by the following persons in the capacities indicated on October 29, 2026.</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BRAMSON</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President, Chief Executive Officer and Chair of the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Edward Bramson</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Board of Directors (Principal Executive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HAUBER</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Steve Hauber</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YOWAN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David Yowan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LARRY A. KLANE</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Larry A. Klane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FREDERICK ARNOLD</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Frederick Arnold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ANNA ESCOBEDO CABRAL</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Anna Escobedo Cabral</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LAWSON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Michael A. Lawson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DIANE E. OFFEREINS</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2026</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Diane E. Offereins</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NAVIENT HOLDINGS, INC.</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ectPr>
          <w:pgSz w:w="11900" w:h="16838" w:orient="portrait"/>
          <w:cols w:equalWidth="0" w:num="1">
            <w:col w:w="10020"/>
          </w:cols>
          <w:pgMar w:left="1440" w:top="117" w:right="4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9300" w:type="dxa"/>
            <w:vAlign w:val="bottom"/>
            <w:gridSpan w:val="2"/>
          </w:tcPr>
          <w:p>
            <w:pPr>
              <w:jc w:val="center"/>
              <w:ind w:right="1631"/>
              <w:spacing w:after="0"/>
              <w:rPr>
                <w:sz w:val="20"/>
                <w:szCs w:val="20"/>
                <w:color w:val="auto"/>
              </w:rPr>
            </w:pPr>
            <w:r>
              <w:rPr>
                <w:rFonts w:ascii="Times New Roman" w:cs="Times New Roman" w:eastAsia="Times New Roman" w:hAnsi="Times New Roman"/>
                <w:sz w:val="18"/>
                <w:szCs w:val="18"/>
                <w:b w:val="1"/>
                <w:bCs w:val="1"/>
                <w:color w:val="auto"/>
                <w:w w:val="99"/>
              </w:rPr>
              <w:t>Reconciliation and tie between</w:t>
            </w:r>
          </w:p>
        </w:tc>
      </w:tr>
      <w:tr>
        <w:trPr>
          <w:trHeight w:val="324"/>
        </w:trPr>
        <w:tc>
          <w:tcPr>
            <w:tcW w:w="1720" w:type="dxa"/>
            <w:vAlign w:val="bottom"/>
          </w:tcPr>
          <w:p>
            <w:pPr>
              <w:spacing w:after="0"/>
              <w:rPr>
                <w:sz w:val="24"/>
                <w:szCs w:val="24"/>
                <w:color w:val="auto"/>
              </w:rPr>
            </w:pPr>
          </w:p>
        </w:tc>
        <w:tc>
          <w:tcPr>
            <w:tcW w:w="9300" w:type="dxa"/>
            <w:vAlign w:val="bottom"/>
            <w:gridSpan w:val="2"/>
          </w:tcPr>
          <w:p>
            <w:pPr>
              <w:jc w:val="center"/>
              <w:ind w:right="1631"/>
              <w:spacing w:after="0"/>
              <w:rPr>
                <w:sz w:val="20"/>
                <w:szCs w:val="20"/>
                <w:color w:val="auto"/>
              </w:rPr>
            </w:pPr>
            <w:r>
              <w:rPr>
                <w:rFonts w:ascii="Times New Roman" w:cs="Times New Roman" w:eastAsia="Times New Roman" w:hAnsi="Times New Roman"/>
                <w:sz w:val="18"/>
                <w:szCs w:val="18"/>
                <w:b w:val="1"/>
                <w:bCs w:val="1"/>
                <w:color w:val="auto"/>
                <w:w w:val="99"/>
              </w:rPr>
              <w:t>Trust Indenture Act of 1939 and Indenture*</w:t>
            </w:r>
          </w:p>
        </w:tc>
      </w:tr>
      <w:tr>
        <w:trPr>
          <w:trHeight w:val="412"/>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7960" w:type="dxa"/>
            <w:vAlign w:val="bottom"/>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85"/>
        </w:trPr>
        <w:tc>
          <w:tcPr>
            <w:tcW w:w="17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 310(a)(1)</w:t>
            </w:r>
          </w:p>
        </w:tc>
        <w:tc>
          <w:tcPr>
            <w:tcW w:w="7960" w:type="dxa"/>
            <w:vAlign w:val="bottom"/>
          </w:tcPr>
          <w:p>
            <w:pPr>
              <w:spacing w:after="0"/>
              <w:rPr>
                <w:sz w:val="16"/>
                <w:szCs w:val="16"/>
                <w:color w:val="auto"/>
              </w:rPr>
            </w:pPr>
          </w:p>
        </w:tc>
        <w:tc>
          <w:tcPr>
            <w:tcW w:w="13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11.04(a),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11.04(a),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11.04(a),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w w:val="98"/>
              </w:rPr>
              <w:t>11.01(f), 11.04(b),</w:t>
            </w:r>
          </w:p>
        </w:tc>
      </w:tr>
      <w:tr>
        <w:trPr>
          <w:trHeight w:val="216"/>
        </w:trPr>
        <w:tc>
          <w:tcPr>
            <w:tcW w:w="1720" w:type="dxa"/>
            <w:vAlign w:val="bottom"/>
          </w:tcPr>
          <w:p>
            <w:pPr>
              <w:spacing w:after="0"/>
              <w:rPr>
                <w:sz w:val="18"/>
                <w:szCs w:val="18"/>
                <w:color w:val="auto"/>
              </w:rPr>
            </w:pP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11.05(1), 11.06,</w:t>
            </w:r>
          </w:p>
        </w:tc>
      </w:tr>
      <w:tr>
        <w:trPr>
          <w:trHeight w:val="216"/>
        </w:trPr>
        <w:tc>
          <w:tcPr>
            <w:tcW w:w="1720" w:type="dxa"/>
            <w:vAlign w:val="bottom"/>
          </w:tcPr>
          <w:p>
            <w:pPr>
              <w:spacing w:after="0"/>
              <w:rPr>
                <w:sz w:val="18"/>
                <w:szCs w:val="18"/>
                <w:color w:val="auto"/>
              </w:rPr>
            </w:pP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311(a)</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11.01(f),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11.01(f),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312(a)</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10.03, 16.02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11.10, 16.02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11.10, 16.02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313(a)</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10.01(a),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10.01(a),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10.01(a),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10.01(a),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314(a)</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6.05, 10.02, 16.02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16.01, 16.02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16.01, 16.02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16.01, 16.02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315(a)</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11.02, 16.02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11.03, 16.02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11.02, 16.02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11.02, 16.02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7.08, 16.02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316(a)</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1.01, 16.02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8.02(e), 7.06,</w:t>
            </w:r>
          </w:p>
        </w:tc>
      </w:tr>
      <w:tr>
        <w:trPr>
          <w:trHeight w:val="216"/>
        </w:trPr>
        <w:tc>
          <w:tcPr>
            <w:tcW w:w="1720" w:type="dxa"/>
            <w:vAlign w:val="bottom"/>
          </w:tcPr>
          <w:p>
            <w:pPr>
              <w:spacing w:after="0"/>
              <w:rPr>
                <w:sz w:val="18"/>
                <w:szCs w:val="18"/>
                <w:color w:val="auto"/>
              </w:rPr>
            </w:pP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8.02(e), 7.02,</w:t>
            </w:r>
          </w:p>
        </w:tc>
      </w:tr>
      <w:tr>
        <w:trPr>
          <w:trHeight w:val="216"/>
        </w:trPr>
        <w:tc>
          <w:tcPr>
            <w:tcW w:w="1720" w:type="dxa"/>
            <w:vAlign w:val="bottom"/>
          </w:tcPr>
          <w:p>
            <w:pPr>
              <w:spacing w:after="0"/>
              <w:rPr>
                <w:sz w:val="18"/>
                <w:szCs w:val="18"/>
                <w:color w:val="auto"/>
              </w:rPr>
            </w:pP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7.06, 16.02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7.07, 16.02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9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8.02(e),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317(a)(1)</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7.03, 16.02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7.04, 16.02</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6.03, 16.02</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318</w:t>
            </w:r>
          </w:p>
        </w:tc>
        <w:tc>
          <w:tcPr>
            <w:tcW w:w="9300" w:type="dxa"/>
            <w:vAlign w:val="bottom"/>
            <w:gridSpan w:val="2"/>
          </w:tcPr>
          <w:p>
            <w:pPr>
              <w:ind w:left="7960"/>
              <w:spacing w:after="0"/>
              <w:rPr>
                <w:sz w:val="20"/>
                <w:szCs w:val="20"/>
                <w:color w:val="auto"/>
              </w:rPr>
            </w:pPr>
            <w:r>
              <w:rPr>
                <w:rFonts w:ascii="Times New Roman" w:cs="Times New Roman" w:eastAsia="Times New Roman" w:hAnsi="Times New Roman"/>
                <w:sz w:val="18"/>
                <w:szCs w:val="18"/>
                <w:color w:val="auto"/>
              </w:rPr>
              <w:t>16.02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This reconciliation and tie shall not, for any purpose, be deemed to be a part of the Indenture.</w:t>
      </w:r>
    </w:p>
    <w:p>
      <w:pPr>
        <w:sectPr>
          <w:pgSz w:w="11900" w:h="16838" w:orient="portrait"/>
          <w:cols w:equalWidth="0" w:num="1">
            <w:col w:w="11020"/>
          </w:cols>
          <w:pgMar w:left="440" w:top="266" w:right="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7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60" w:type="dxa"/>
            <w:vAlign w:val="bottom"/>
          </w:tcPr>
          <w:p>
            <w:pPr>
              <w:spacing w:after="0"/>
              <w:rPr>
                <w:sz w:val="20"/>
                <w:szCs w:val="20"/>
                <w:color w:val="auto"/>
              </w:rPr>
            </w:pPr>
          </w:p>
        </w:tc>
      </w:tr>
      <w:tr>
        <w:trPr>
          <w:trHeight w:val="408"/>
        </w:trPr>
        <w:tc>
          <w:tcPr>
            <w:tcW w:w="9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7"/>
        </w:trPr>
        <w:tc>
          <w:tcPr>
            <w:tcW w:w="980" w:type="dxa"/>
            <w:vAlign w:val="bottom"/>
          </w:tcPr>
          <w:p>
            <w:pPr>
              <w:spacing w:after="0"/>
              <w:rPr>
                <w:sz w:val="24"/>
                <w:szCs w:val="24"/>
                <w:color w:val="auto"/>
              </w:rPr>
            </w:pPr>
          </w:p>
        </w:tc>
        <w:tc>
          <w:tcPr>
            <w:tcW w:w="77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ARTICLE I</w:t>
            </w:r>
          </w:p>
        </w:tc>
        <w:tc>
          <w:tcPr>
            <w:tcW w:w="22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77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DEFINITIONS</w:t>
            </w:r>
          </w:p>
        </w:tc>
        <w:tc>
          <w:tcPr>
            <w:tcW w:w="226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980" w:type="dxa"/>
            <w:vAlign w:val="bottom"/>
          </w:tcPr>
          <w:p>
            <w:pPr>
              <w:spacing w:after="0"/>
              <w:rPr>
                <w:sz w:val="24"/>
                <w:szCs w:val="24"/>
                <w:color w:val="auto"/>
              </w:rPr>
            </w:pPr>
          </w:p>
        </w:tc>
        <w:tc>
          <w:tcPr>
            <w:tcW w:w="77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ARTICLE II</w:t>
            </w:r>
          </w:p>
        </w:tc>
        <w:tc>
          <w:tcPr>
            <w:tcW w:w="22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77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FORMS OF SECURITIES</w:t>
            </w:r>
          </w:p>
        </w:tc>
        <w:tc>
          <w:tcPr>
            <w:tcW w:w="2260" w:type="dxa"/>
            <w:vAlign w:val="bottom"/>
          </w:tcPr>
          <w:p>
            <w:pPr>
              <w:spacing w:after="0"/>
              <w:rPr>
                <w:sz w:val="24"/>
                <w:szCs w:val="24"/>
                <w:color w:val="auto"/>
              </w:rPr>
            </w:pPr>
          </w:p>
        </w:tc>
      </w:tr>
      <w:tr>
        <w:trPr>
          <w:trHeight w:val="30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Terms of the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Form of Trustee’s Certificate of Authentication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Form of Trustee’s Certificate of Authentication by an Authenticating Agent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80" w:type="dxa"/>
            <w:vAlign w:val="bottom"/>
          </w:tcPr>
          <w:p>
            <w:pPr>
              <w:spacing w:after="0"/>
              <w:rPr>
                <w:sz w:val="24"/>
                <w:szCs w:val="24"/>
                <w:color w:val="auto"/>
              </w:rPr>
            </w:pPr>
          </w:p>
        </w:tc>
        <w:tc>
          <w:tcPr>
            <w:tcW w:w="77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ARTICLE III</w:t>
            </w:r>
          </w:p>
        </w:tc>
        <w:tc>
          <w:tcPr>
            <w:tcW w:w="22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77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THE DEBT SECURITIES</w:t>
            </w:r>
          </w:p>
        </w:tc>
        <w:tc>
          <w:tcPr>
            <w:tcW w:w="2260" w:type="dxa"/>
            <w:vAlign w:val="bottom"/>
          </w:tcPr>
          <w:p>
            <w:pPr>
              <w:spacing w:after="0"/>
              <w:rPr>
                <w:sz w:val="24"/>
                <w:szCs w:val="24"/>
                <w:color w:val="auto"/>
              </w:rPr>
            </w:pPr>
          </w:p>
        </w:tc>
      </w:tr>
      <w:tr>
        <w:trPr>
          <w:trHeight w:val="30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Amount Unlimited; Issuable in Series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Denominations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Execution, Authentication, Delivery and Dating</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Temporary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Registrar and Paying Agent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Transfer and Exchange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Mutilated, Destroyed, Lost and Stolen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Payment of Interest; Interest Rights Preserved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  Computation of 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3.11  Currency of Payments in Respect of Securities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Judgments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Numbers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3.14  Original Issue Discount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980" w:type="dxa"/>
            <w:vAlign w:val="bottom"/>
          </w:tcPr>
          <w:p>
            <w:pPr>
              <w:spacing w:after="0"/>
              <w:rPr>
                <w:sz w:val="24"/>
                <w:szCs w:val="24"/>
                <w:color w:val="auto"/>
              </w:rPr>
            </w:pPr>
          </w:p>
        </w:tc>
        <w:tc>
          <w:tcPr>
            <w:tcW w:w="77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ARTICLE IV</w:t>
            </w:r>
          </w:p>
        </w:tc>
        <w:tc>
          <w:tcPr>
            <w:tcW w:w="22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77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2260" w:type="dxa"/>
            <w:vAlign w:val="bottom"/>
          </w:tcPr>
          <w:p>
            <w:pPr>
              <w:spacing w:after="0"/>
              <w:rPr>
                <w:sz w:val="24"/>
                <w:szCs w:val="24"/>
                <w:color w:val="auto"/>
              </w:rPr>
            </w:pPr>
          </w:p>
        </w:tc>
      </w:tr>
      <w:tr>
        <w:trPr>
          <w:trHeight w:val="30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Applicability of Right of Redemption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Selection of Securities to be Redeemed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Notice of Redemption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Deposit of Redemption Price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4.05  Securities Payable on Redemption Date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Securities Redeemed in Part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2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w:t>
            </w:r>
          </w:p>
        </w:tc>
        <w:tc>
          <w:tcPr>
            <w:tcW w:w="1780" w:type="dxa"/>
            <w:vAlign w:val="bottom"/>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8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SINKING FUNDS</w:t>
            </w:r>
          </w:p>
        </w:tc>
        <w:tc>
          <w:tcPr>
            <w:tcW w:w="1780" w:type="dxa"/>
            <w:vAlign w:val="bottom"/>
          </w:tcPr>
          <w:p>
            <w:pPr>
              <w:spacing w:after="0"/>
              <w:rPr>
                <w:sz w:val="24"/>
                <w:szCs w:val="24"/>
                <w:color w:val="auto"/>
              </w:rPr>
            </w:pPr>
          </w:p>
        </w:tc>
      </w:tr>
      <w:tr>
        <w:trPr>
          <w:trHeight w:val="30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Applicability of Sinking Fund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Mandatory Sinking Fund Obligation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Optional Redemption at Sinking Fund Redemption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Application of Sinking Fund Payment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980" w:type="dxa"/>
            <w:vAlign w:val="bottom"/>
          </w:tcPr>
          <w:p>
            <w:pPr>
              <w:spacing w:after="0"/>
              <w:rPr>
                <w:sz w:val="24"/>
                <w:szCs w:val="24"/>
                <w:color w:val="auto"/>
              </w:rPr>
            </w:pPr>
          </w:p>
        </w:tc>
        <w:tc>
          <w:tcPr>
            <w:tcW w:w="8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VI</w:t>
            </w:r>
          </w:p>
        </w:tc>
        <w:tc>
          <w:tcPr>
            <w:tcW w:w="17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2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PARTICULAR COVENANTS OF THE COMPANY</w:t>
            </w:r>
          </w:p>
        </w:tc>
        <w:tc>
          <w:tcPr>
            <w:tcW w:w="1780" w:type="dxa"/>
            <w:vAlign w:val="bottom"/>
          </w:tcPr>
          <w:p>
            <w:pPr>
              <w:spacing w:after="0"/>
              <w:rPr>
                <w:sz w:val="24"/>
                <w:szCs w:val="24"/>
                <w:color w:val="auto"/>
              </w:rPr>
            </w:pPr>
          </w:p>
        </w:tc>
      </w:tr>
      <w:tr>
        <w:trPr>
          <w:trHeight w:val="30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Payments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Paying Agent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To Hold Payment in Trust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Merger, Consolidation and Sale of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Conditional Waiver by Holders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Statement by Officers as to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980" w:type="dxa"/>
            <w:vAlign w:val="bottom"/>
          </w:tcPr>
          <w:p>
            <w:pPr>
              <w:spacing w:after="0"/>
              <w:rPr>
                <w:sz w:val="24"/>
                <w:szCs w:val="24"/>
                <w:color w:val="auto"/>
              </w:rPr>
            </w:pPr>
          </w:p>
        </w:tc>
        <w:tc>
          <w:tcPr>
            <w:tcW w:w="82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VII</w:t>
            </w:r>
          </w:p>
        </w:tc>
        <w:tc>
          <w:tcPr>
            <w:tcW w:w="17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2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REMEDIES OF TRUSTEE AND SECURITYHOLDERS</w:t>
            </w:r>
          </w:p>
        </w:tc>
        <w:tc>
          <w:tcPr>
            <w:tcW w:w="1780" w:type="dxa"/>
            <w:vAlign w:val="bottom"/>
          </w:tcPr>
          <w:p>
            <w:pPr>
              <w:spacing w:after="0"/>
              <w:rPr>
                <w:sz w:val="24"/>
                <w:szCs w:val="24"/>
                <w:color w:val="auto"/>
              </w:rPr>
            </w:pPr>
          </w:p>
        </w:tc>
      </w:tr>
      <w:tr>
        <w:trPr>
          <w:trHeight w:val="30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Acceleration; Rescission and Annulment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7.04  Trustee as Attorney-in-Fact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  Control by Securityholders; Waiver of Past Defaults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Limitation on Suits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Undertaking for Costs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 Cumulative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80" w:type="dxa"/>
            <w:vAlign w:val="bottom"/>
          </w:tcPr>
          <w:p>
            <w:pPr>
              <w:spacing w:after="0"/>
              <w:rPr>
                <w:sz w:val="24"/>
                <w:szCs w:val="24"/>
                <w:color w:val="auto"/>
              </w:rPr>
            </w:pPr>
          </w:p>
        </w:tc>
        <w:tc>
          <w:tcPr>
            <w:tcW w:w="8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VIII</w:t>
            </w:r>
          </w:p>
        </w:tc>
        <w:tc>
          <w:tcPr>
            <w:tcW w:w="17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20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CONCERNING THE SECURITYHOLDERS</w:t>
            </w:r>
          </w:p>
        </w:tc>
        <w:tc>
          <w:tcPr>
            <w:tcW w:w="1780" w:type="dxa"/>
            <w:vAlign w:val="bottom"/>
          </w:tcPr>
          <w:p>
            <w:pPr>
              <w:spacing w:after="0"/>
              <w:rPr>
                <w:sz w:val="24"/>
                <w:szCs w:val="24"/>
                <w:color w:val="auto"/>
              </w:rPr>
            </w:pPr>
          </w:p>
        </w:tc>
      </w:tr>
      <w:tr>
        <w:trPr>
          <w:trHeight w:val="30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Evidence of Action of Securityholders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Proof of Execution or Holding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8.03  Persons Deemed Owners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Effect of Consents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IX</w:t>
            </w:r>
          </w:p>
        </w:tc>
        <w:tc>
          <w:tcPr>
            <w:tcW w:w="112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SECURITYHOLDERS’ MEETINGS</w:t>
            </w:r>
          </w:p>
        </w:tc>
        <w:tc>
          <w:tcPr>
            <w:tcW w:w="112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Purposes of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Call of Meetings by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Call of Meetings by Company or Securityholders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Qualifications for Voting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Regulation of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Delay of Rights by Meeting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X</w:t>
            </w:r>
          </w:p>
        </w:tc>
        <w:tc>
          <w:tcPr>
            <w:tcW w:w="112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REPORTS BY THE COMPANY AND THE TRUSTEE AND SECURITYHOLDERS’ LISTS</w:t>
            </w:r>
          </w:p>
        </w:tc>
        <w:tc>
          <w:tcPr>
            <w:tcW w:w="112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the Company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Securityholders’ Lists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XI</w:t>
            </w:r>
          </w:p>
        </w:tc>
        <w:tc>
          <w:tcPr>
            <w:tcW w:w="112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CONCERNING THE TRUSTEE</w:t>
            </w:r>
          </w:p>
        </w:tc>
        <w:tc>
          <w:tcPr>
            <w:tcW w:w="112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Trustees; Compensation and Indemnity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of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Notice; Removal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Trustee by Appointment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Trustee by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to Rely on Officer’s Certificate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Communications by Securityholders with Other Securityholders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Withholding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XII</w:t>
            </w:r>
          </w:p>
        </w:tc>
        <w:tc>
          <w:tcPr>
            <w:tcW w:w="112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SATISFACTION AND DISCHARGE; DEFEASANCE</w:t>
            </w:r>
          </w:p>
        </w:tc>
        <w:tc>
          <w:tcPr>
            <w:tcW w:w="112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Defeasance and Covenant Defeasance upon Deposit of Moneys or U.S. Government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Company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Indemnity for U.S. Government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 to Be Held in Escrow</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 of Non-U</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XIII</w:t>
            </w:r>
          </w:p>
        </w:tc>
        <w:tc>
          <w:tcPr>
            <w:tcW w:w="112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IMMUNITY OF CERTAIN PERSONS</w:t>
            </w:r>
          </w:p>
        </w:tc>
        <w:tc>
          <w:tcPr>
            <w:tcW w:w="112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Personal Liability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65"/>
        </w:trPr>
        <w:tc>
          <w:tcPr>
            <w:tcW w:w="1080" w:type="dxa"/>
            <w:vAlign w:val="bottom"/>
          </w:tcPr>
          <w:p>
            <w:pPr>
              <w:spacing w:after="0"/>
              <w:rPr>
                <w:sz w:val="24"/>
                <w:szCs w:val="24"/>
                <w:color w:val="auto"/>
              </w:rPr>
            </w:pPr>
          </w:p>
        </w:tc>
        <w:tc>
          <w:tcPr>
            <w:tcW w:w="876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iii</w:t>
            </w: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 w:name="page38"/>
    <w:bookmarkEnd w:id="37"/>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0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ARTICLE XIV</w:t>
            </w:r>
          </w:p>
        </w:tc>
        <w:tc>
          <w:tcPr>
            <w:tcW w:w="184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80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SUPPLEMENTAL INDENTURES</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14.01  Without Consent of Securityholders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  With Consent of Securityholders; Limitations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14.03</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Protected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14.04  Effect of Execution of Supplemental Indenture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14.05  Notation on or Exchange of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14.06  Conformity with TIA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080" w:type="dxa"/>
            <w:vAlign w:val="bottom"/>
          </w:tcPr>
          <w:p>
            <w:pPr>
              <w:spacing w:after="0"/>
              <w:rPr>
                <w:sz w:val="24"/>
                <w:szCs w:val="24"/>
                <w:color w:val="auto"/>
              </w:rPr>
            </w:pPr>
          </w:p>
        </w:tc>
        <w:tc>
          <w:tcPr>
            <w:tcW w:w="80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ARTICLE XV</w:t>
            </w:r>
          </w:p>
        </w:tc>
        <w:tc>
          <w:tcPr>
            <w:tcW w:w="18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SUBORDINATION OF SECURITIES</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15.01  Agreement to Subordinate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15.02  Distribution on Dissolution, Liquidation and Reorganization; Subrogation of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15.03  No Payment on Securities in Event of Default on Senior Indebtedness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15.04  Payments on Securities Permitted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15.05  Authorization of Securityholders to Trustee to Effect Subordination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15.06  Notices to Trustee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15.07  Trustee as Holder of Senior Indebtedness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15.08  Modifications of Terms of Senior Indebtedness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15.09  Reliance on Judicial Order or Certificate of Liquidating Agent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15.10  Satisfaction and Discharge; Defeasance and Covenant Defeasance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15.11  Trustee Not Fiduciary for Holders of Senior Indebtedness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080" w:type="dxa"/>
            <w:vAlign w:val="bottom"/>
          </w:tcPr>
          <w:p>
            <w:pPr>
              <w:spacing w:after="0"/>
              <w:rPr>
                <w:sz w:val="24"/>
                <w:szCs w:val="24"/>
                <w:color w:val="auto"/>
              </w:rPr>
            </w:pPr>
          </w:p>
        </w:tc>
        <w:tc>
          <w:tcPr>
            <w:tcW w:w="80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ARTICLE XVI</w:t>
            </w:r>
          </w:p>
        </w:tc>
        <w:tc>
          <w:tcPr>
            <w:tcW w:w="184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0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16.01  Certificates and Opinions as to Conditions Precedent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16.02  Trust Indenture Act Controls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16.03  Notices to the Company and Trustee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16.04  Notices to Securityholders; Waiver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16.05</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Holiday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16.06  Effects of Headings and Table of Contents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16.07  Successors and Assigns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16.08</w:t>
            </w:r>
          </w:p>
        </w:tc>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Separability Clause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16.09  Benefits of Indenture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16.10  Electronic Signatures and Counterparts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378" w:right="499" w:bottom="1440" w:gutter="0" w:footer="0" w:header="0"/>
        </w:sectPr>
      </w:pPr>
    </w:p>
    <w:bookmarkStart w:id="38" w:name="page39"/>
    <w:bookmarkEnd w:id="38"/>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 20[•], among Navient Holdings, Inc., a Delaware corporation (the “Company”), and [•], a [•], as trustee (the “Trustee”).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 WHEREAS, all things necessary to make this Indenture a valid and legally binding agreement of the Company, in accordance with its terms, have been done.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That, in consideration of the premises and the purchase of the Securities by the Holders thereof for the equal and proportionate benefit of all of the present and future Holders of the Securities, each party agrees and covenants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31"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130"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67"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 and</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 or “Section” or other subdivision herein are references to an Article, Section or other subdivision of this Indenture, unless the context otherwise requires.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70" w:right="47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defined in this Section 1.01 shall for all purposes of this Indenture have the meanings hereinafter set forth: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Commercial Bank: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“Approved Commercial Bank” shall mean a commercial bank with a consolidated combined capital and surplus of at least $5.0 billion.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Authenticating Agent: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“Authenticating Agent” shall have the meaning assigned to it in Section 11.09.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term “Board of Directors” shall mean either the board of directors of the Company or the executive or any other committee of that board duly authorized to act in respect 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Resolution:</w:t>
      </w:r>
    </w:p>
    <w:p>
      <w:pPr>
        <w:spacing w:after="0" w:line="121"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obligated by law or executive order to close.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“Capital Stock” shall mean:</w:t>
      </w:r>
    </w:p>
    <w:p>
      <w:pPr>
        <w:spacing w:after="0" w:line="131"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0" w:name="page41"/>
    <w:bookmarkEnd w:id="40"/>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partnership or limited liability company, partnership interests (whether general or limited) or membership interests; and</w:t>
      </w:r>
    </w:p>
    <w:p>
      <w:pPr>
        <w:spacing w:after="0" w:line="130"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“Code” shall mean the Internal Revenue Code of 1986, as amended.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Order: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“Company Order” shall mean a written order signed in the name of the Company by any Officer and delivered to the Trustee.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Trust Office: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term “Corporate Trust Office,” means the office of the Trustee at which at any particular time its corporate trust business shall be principally administered, which office at the date of the execution of this instrument is located at [•], [•] Attention: [•], or such other address as the Trustee may designate from time to time by notice to the Company, or the principal corporate trust office of any successor Trustee (or such other address as such successor Trustee may designate from time to time by notice to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“Currency” shall mean U.S. Dollars or Foreign Currency.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“Default” shall have the meaning assigned to it in Section 11.03.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Defaulted Interest: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“Defaulted Interest” shall have the same meaning assigned to it in Section 3.08(b).</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40" w:top="270"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Depositary:</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term “Derivative Instrument,” with respect to a Person, shall mean any contract, instrument or other right to receive payment or delivery of cash or other assets to which such Person or any Affiliate of such Person that is acting in concert with such Person in connection with such Person’s investment in the applicable series of the Securities (other than a Screened Affiliate) is a party (whether or not requiring further performance by such Person), the value and/or cash flows of which (or any material portion thereof) are materially affected by the value and/or performance of the applicable series of the Securities and/or the creditworthiness of the Company (the “Performance References”).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Currency: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“Designated Currency” shall have the same meaning assigned to it in Section 3.12.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Directing Holder: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“Directing Holder” shall have the meaning assigned to it in Section 7.02(e).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“Discharged” shall have the meaning assigned to it in Section 12.03.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“DTC” shall mean The Depository Trust Company, Inc. and its successors.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“Event of Default” shall have the meaning specified in Section 7.01.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“Exchange Rate” shall have the meaning assigned to it in Section 7.01.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Floating Rate Security:</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term “Floating Rate Security” shall mean a Security that provides for the payment of interest at a variable rate determined periodically by reference to an interest rate index specified pursuant to Section 3.01.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term “GAAP,” with respect to any computations required or permitted hereunder, shall mean generally accepted accounting principles in effect in the United States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 Holder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“Holder” and “Holder of Securities” are defined under “Securityholder; Holder of Securities; Holder.”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“Individual Securities” shall have the meaning specified in Section 3.01(p).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“Initial Default” shall have the meaning specified in Section 7.02(i).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term “Interest Payment Date” shall mean, with respect to any Security, the Stated Maturity of an installment of interest on such Security.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Derivative Instrument:</w:t>
      </w:r>
    </w:p>
    <w:p>
      <w:pPr>
        <w:spacing w:after="0" w:line="121" w:lineRule="exact"/>
        <w:rPr>
          <w:sz w:val="20"/>
          <w:szCs w:val="20"/>
          <w:color w:val="auto"/>
        </w:rPr>
      </w:pPr>
    </w:p>
    <w:p>
      <w:pPr>
        <w:jc w:val="both"/>
        <w:ind w:right="440" w:firstLine="440"/>
        <w:spacing w:after="0" w:line="289" w:lineRule="auto"/>
        <w:rPr>
          <w:sz w:val="20"/>
          <w:szCs w:val="20"/>
          <w:color w:val="auto"/>
        </w:rPr>
      </w:pPr>
      <w:r>
        <w:rPr>
          <w:rFonts w:ascii="Times New Roman" w:cs="Times New Roman" w:eastAsia="Times New Roman" w:hAnsi="Times New Roman"/>
          <w:sz w:val="17"/>
          <w:szCs w:val="17"/>
          <w:color w:val="auto"/>
        </w:rPr>
        <w:t>The term “Long Derivative Instrument” shall mean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Sinking Fund Payment: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“Mandatory Sinking Fund Payment” shall have the meaning assigned to it in Section 5.01(b).</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“Members” shall have the meaning assigned to it in Section 3.03(i).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Short: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term “Net Short” shall mean with respect to a Holder or beneficial owner, as of a date of determination, either (i) the value of its Short Derivative Instruments exceeds the sum of (x) the value of its Securities of the applicable series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Company immediately prior to such date of determination.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Noteholder Direction: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“Noteholder Direction” shall have the meaning assigned to it in Section 7.02(e).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term “Officer” shall mean any of the Chairman of the Board of Directors, Chief Executive Officer, Chief Financial Officer, the President or a Vice President, Treasurer, an Assistant Treasurer, the Controller, the Secretary or an Assistant Secretary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term “Officer’s Certificate” shall mean a certificate signed by any Officer and delivered to the Trustee. Each such certificate shall include the statements provided for in Section 16.01.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Counsel:</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term “Opinion of Counsel” shall mean an opinion in writing signed by one or more legal counsel, who may be an employee of or counsel to the Company, and meets the requirements provided for in Section 16.01.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Sinking Fund Payment: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“Optional Sinking Fund Payment” shall have the meaning assigned to it in Section 5.01(b).</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 Security:</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term “Outstanding,” when used with respect to Securities means, as of the date of determination, all Securities theretofore authenticated and delivered under this Indenture, except:</w:t>
      </w:r>
    </w:p>
    <w:p>
      <w:pPr>
        <w:spacing w:after="0" w:line="67" w:lineRule="exact"/>
        <w:rPr>
          <w:sz w:val="20"/>
          <w:szCs w:val="20"/>
          <w:color w:val="auto"/>
        </w:rPr>
      </w:pPr>
    </w:p>
    <w:p>
      <w:pPr>
        <w:ind w:left="960" w:hanging="53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130"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Securities or portions thereof are to be redeemed, notice of such redemption has been duly given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Indenture or provision therefor satisfactory to the Trustee has been made; and</w:t>
      </w:r>
    </w:p>
    <w:p>
      <w:pPr>
        <w:spacing w:after="0" w:line="88" w:lineRule="exact"/>
        <w:rPr>
          <w:rFonts w:ascii="Times New Roman" w:cs="Times New Roman" w:eastAsia="Times New Roman" w:hAnsi="Times New Roman"/>
          <w:sz w:val="18"/>
          <w:szCs w:val="18"/>
          <w:color w:val="auto"/>
        </w:rPr>
      </w:pPr>
    </w:p>
    <w:p>
      <w:pPr>
        <w:ind w:left="960" w:right="40" w:hanging="532"/>
        <w:spacing w:after="0" w:line="253"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46" w:name="page47"/>
    <w:bookmarkEnd w:id="46"/>
    <w:p>
      <w:pPr>
        <w:jc w:val="both"/>
        <w:ind w:left="98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“Paying Agent” shall have the meaning assigned to it in Section 6.02(a).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“Person” shall mean any individual, a corporation, a limited liability company, a partnership, an association, a joint stock company, a trust, an unincorporated organization or a government or an agency or political subdivision thereof or other entity.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 of Payment:</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 Representation: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“Position Representation” shall have the meaning assigned to it in Section 7.02(e).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Predecessor Security:</w:t>
      </w:r>
    </w:p>
    <w:p>
      <w:pPr>
        <w:spacing w:after="0" w:line="121"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term “Record Date” shall mean, with respect to any interest payable on any Security on any Interest Payment Date, any date specified in such Security or pursuant to Section 3.01 with respect to such Security as the record date for the payment of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Date:</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Price:</w:t>
      </w:r>
    </w:p>
    <w:p>
      <w:pPr>
        <w:spacing w:after="0" w:line="121"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“Register” shall have the meaning assigned to it in Section 3.05(a).</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Registrar: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“Registrar” shall have the meaning assigned to it in Section 3.05(a).</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Regulated Bank:</w:t>
      </w:r>
    </w:p>
    <w:p>
      <w:pPr>
        <w:spacing w:after="0" w:line="121" w:lineRule="exact"/>
        <w:rPr>
          <w:sz w:val="20"/>
          <w:szCs w:val="20"/>
          <w:color w:val="auto"/>
        </w:rPr>
      </w:pPr>
    </w:p>
    <w:p>
      <w:pPr>
        <w:ind w:left="4" w:right="300" w:firstLine="440"/>
        <w:spacing w:after="0" w:line="255" w:lineRule="auto"/>
        <w:rPr>
          <w:sz w:val="20"/>
          <w:szCs w:val="20"/>
          <w:color w:val="auto"/>
        </w:rPr>
      </w:pPr>
      <w:r>
        <w:rPr>
          <w:rFonts w:ascii="Times New Roman" w:cs="Times New Roman" w:eastAsia="Times New Roman" w:hAnsi="Times New Roman"/>
          <w:sz w:val="18"/>
          <w:szCs w:val="18"/>
          <w:color w:val="auto"/>
        </w:rPr>
        <w:t>The term “Regulated Bank” shall mean an (x)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w:t>
      </w:r>
    </w:p>
    <w:p>
      <w:pPr>
        <w:spacing w:after="0" w:line="3" w:lineRule="exact"/>
        <w:rPr>
          <w:sz w:val="20"/>
          <w:szCs w:val="20"/>
          <w:color w:val="auto"/>
        </w:rPr>
      </w:pPr>
    </w:p>
    <w:p>
      <w:pPr>
        <w:ind w:left="4" w:hanging="4"/>
        <w:spacing w:after="0" w:line="273" w:lineRule="auto"/>
        <w:tabs>
          <w:tab w:leader="none" w:pos="25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U.S. or non-U.S. depository institution or any branch, agency or similar office thereof supervised by a bank regulatory authority in any jurisdiction or (y) any Affiliate of a Person set forth in clause (x) above to the extent that (1) all of the capital stock of such Affiliate is directly or indirectly owned by either (I) such Person set forth in clause (x) above or (II) a parent entity that also owns, directly or indirectly, all of the capital stock of such Person set forth in clause (x) and (2) such Affiliate is a securities broker or dealer registered with the SEC under Section 15 of the Exchange Act.</w:t>
      </w:r>
    </w:p>
    <w:p>
      <w:pPr>
        <w:spacing w:after="0" w:line="2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Responsible Officers:</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term “Responsible Officers” means, with respect to the Trustee, any officer assigned to the Corporate Trust Division—Corporate Finance Unit (or any successor division or unit) of the Trustee located at the Corporate Trust Office of the Trustee, who shall have direct responsibility for the administration of this Indenture, and for the purposes of Section 11.02(c)(ii) and the second sentence of Section 11.03 shall also include any other officer of the Trustee to whom any corporate trust matter is referred because of such officer’s knowledge of and familiarity with the particular subject.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48" w:name="page49"/>
    <w:bookmarkEnd w:id="4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Screened Affiliate:</w:t>
      </w:r>
    </w:p>
    <w:p>
      <w:pPr>
        <w:spacing w:after="0" w:line="121"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The term “Screened Affiliate”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Securities, and (iv) whose investment decisions are not influenced by the investment decisions of such Holder or any other Affiliate of such Holder that is acting in concert with such Holder in connection with its investment in the Securities.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 “SEC” shall mean the United States Securities and Exchange Commission, as constituted from time to time.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121"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 Custodian:</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term “Security Custodian” shall mean the custodian with respect to any Global Security appointed by the Depositary, or any successor Person thereto, and shall initially be the Trustee.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Securityholder; Holder of Securities; Holder:</w:t>
      </w:r>
    </w:p>
    <w:p>
      <w:pPr>
        <w:spacing w:after="0" w:line="121"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The term “Securityholder” or “Holder of Securities” or “Holder,” shall mean the Person in whose name Securities shall be registered in the Register kept for that purpose hereunder.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Senior Indebtedness:</w:t>
      </w:r>
    </w:p>
    <w:p>
      <w:pPr>
        <w:spacing w:after="0" w:line="121"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w:t>
      </w:r>
    </w:p>
    <w:p>
      <w:pPr>
        <w:spacing w:after="0" w:line="3" w:lineRule="exact"/>
        <w:rPr>
          <w:sz w:val="20"/>
          <w:szCs w:val="20"/>
          <w:color w:val="auto"/>
        </w:rPr>
      </w:pPr>
    </w:p>
    <w:p>
      <w:pPr>
        <w:ind w:left="4" w:right="340" w:hanging="4"/>
        <w:spacing w:after="0" w:line="265" w:lineRule="auto"/>
        <w:tabs>
          <w:tab w:leader="none" w:pos="24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w:t>
      </w:r>
    </w:p>
    <w:p>
      <w:pPr>
        <w:ind w:left="4" w:hanging="4"/>
        <w:spacing w:after="0" w:line="253"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6"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Short Derivative Instrument:</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term “Short Derivative Instrument”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Record Date: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“Special Record Date” shall have the meaning assigned to it in Section 3.08(b)(i).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Stated Maturity:</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121"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The term “Subsidiary,” when used with respect to any Person, shall mean with respect to any Person, a corporation, partnership association, joint venture, trust, limited liability company or other business entity which is required to be consolidated with such Person in accordance with GAAP.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Company: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“Successor Company” shall have the meaning assigned to it in Section 3.06(h).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Payables:</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Indenture Act; TIA:</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6"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“U.S. Dollars” shall mean such currency of the United States as at the time of payment shall be legal tender for the payment of public and private debts.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“U.S. Government Obligations” shall have the meaning assigned to it in Section 12.03.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term “United States” shall mean the United States of America (including the States and the District of Columbia), its territories and its possessions and other areas subject to its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Verification Covenant: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“Verification Covenant” shall have the meaning assigned to it in Section 7.02(e).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FORMS OF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Terms of the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5" w:lineRule="auto"/>
        <w:tabs>
          <w:tab w:leader="none" w:pos="11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51" w:name="page52"/>
    <w:bookmarkEnd w:id="51"/>
    <w:p>
      <w:pPr>
        <w:ind w:left="440" w:firstLine="419"/>
        <w:spacing w:after="0" w:line="266"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0" w:firstLine="419"/>
        <w:spacing w:after="0" w:line="266" w:lineRule="auto"/>
        <w:tabs>
          <w:tab w:leader="none" w:pos="1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Securities as shall bear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shall be dated the date of its authentication, except that any Global Security shall be dated as of the date specified as contemplated in Section 3.01.</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Trustee’s certificate of authentication to be borne by the Securities shall be substantially as follows: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17145</wp:posOffset>
            </wp:positionV>
            <wp:extent cx="2785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34290</wp:posOffset>
            </wp:positionV>
            <wp:extent cx="25800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0</wp:posOffset>
            </wp:positionV>
            <wp:extent cx="25114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Form of Trustee’s Certificate of Authentication by an Authenticating Agent</w:t>
      </w:r>
      <w:r>
        <w:rPr>
          <w:rFonts w:ascii="Times New Roman" w:cs="Times New Roman" w:eastAsia="Times New Roman" w:hAnsi="Times New Roman"/>
          <w:sz w:val="18"/>
          <w:szCs w:val="18"/>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TRUSTEE’S CERTIFICATE OF AUTHENTICATION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40" w:top="270" w:right="559" w:bottom="1440" w:gutter="0" w:footer="0" w:header="0"/>
        </w:sectPr>
      </w:pPr>
    </w:p>
    <w:bookmarkStart w:id="52" w:name="page53"/>
    <w:bookmarkEnd w:id="52"/>
    <w:p>
      <w:pPr>
        <w:spacing w:after="0"/>
        <w:tabs>
          <w:tab w:leader="none" w:pos="6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authentication:</w:t>
      </w:r>
      <w:r>
        <w:rPr>
          <w:sz w:val="20"/>
          <w:szCs w:val="20"/>
          <w:color w:val="auto"/>
        </w:rPr>
        <w:tab/>
      </w:r>
      <w:r>
        <w:rPr>
          <w:rFonts w:ascii="Times New Roman" w:cs="Times New Roman" w:eastAsia="Times New Roman" w:hAnsi="Times New Roman"/>
          <w:sz w:val="17"/>
          <w:szCs w:val="17"/>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17145</wp:posOffset>
            </wp:positionV>
            <wp:extent cx="2580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0</wp:posOffset>
            </wp:positionV>
            <wp:extent cx="25114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DEBT SECURITIES</w:t>
      </w:r>
    </w:p>
    <w:p>
      <w:pPr>
        <w:spacing w:after="0" w:line="229"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that may be authenticated and delivered under this Indenture is unlimited. The Securities may be issued in one or more series. The title and terms of each series of Securities shall be as set forth in a Board Resolution, Company Order or in one or more indentures supplemental hereto, prior to the issuance of Securities of any series and shall set forth the following:</w:t>
      </w:r>
    </w:p>
    <w:p>
      <w:pPr>
        <w:spacing w:after="0" w:line="72" w:lineRule="exact"/>
        <w:rPr>
          <w:sz w:val="20"/>
          <w:szCs w:val="20"/>
          <w:color w:val="auto"/>
        </w:rPr>
      </w:pPr>
    </w:p>
    <w:p>
      <w:pPr>
        <w:ind w:left="440" w:right="140" w:firstLine="419"/>
        <w:spacing w:after="0" w:line="282"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55"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or the method by which such rate or rates shall be determined, whether such interest shall be payable in cash, additional Securities of the same series or some combination thereof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53" w:name="page54"/>
    <w:bookmarkEnd w:id="53"/>
    <w:p>
      <w:pPr>
        <w:ind w:right="540" w:firstLine="419"/>
        <w:spacing w:after="0" w:line="282" w:lineRule="auto"/>
        <w:tabs>
          <w:tab w:leader="none" w:pos="6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premium, if any, or interest on Securities of the series are to be payable, at the election of the Company,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75" w:lineRule="exact"/>
        <w:rPr>
          <w:rFonts w:ascii="Times New Roman" w:cs="Times New Roman" w:eastAsia="Times New Roman" w:hAnsi="Times New Roman"/>
          <w:sz w:val="18"/>
          <w:szCs w:val="18"/>
          <w:color w:val="auto"/>
        </w:rPr>
      </w:pPr>
    </w:p>
    <w:p>
      <w:pPr>
        <w:jc w:val="both"/>
        <w:ind w:firstLine="419"/>
        <w:spacing w:after="0" w:line="289" w:lineRule="auto"/>
        <w:tabs>
          <w:tab w:leader="none" w:pos="67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49" w:lineRule="exact"/>
        <w:rPr>
          <w:rFonts w:ascii="Times New Roman" w:cs="Times New Roman" w:eastAsia="Times New Roman" w:hAnsi="Times New Roman"/>
          <w:sz w:val="17"/>
          <w:szCs w:val="17"/>
          <w:color w:val="auto"/>
        </w:rPr>
      </w:pPr>
    </w:p>
    <w:p>
      <w:pPr>
        <w:ind w:right="220" w:firstLine="419"/>
        <w:spacing w:after="0" w:line="282"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or right, if any, of the Company to redeem, purchase or repay Securities of the series pursuant to any sinking fund,</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77"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integral multiple of $1,000 in excess thereof, the denominations in which Securities of the series shall be issuable;</w:t>
      </w:r>
    </w:p>
    <w:p>
      <w:pPr>
        <w:spacing w:after="0" w:line="53" w:lineRule="exact"/>
        <w:rPr>
          <w:rFonts w:ascii="Times New Roman" w:cs="Times New Roman" w:eastAsia="Times New Roman" w:hAnsi="Times New Roman"/>
          <w:sz w:val="18"/>
          <w:szCs w:val="18"/>
          <w:color w:val="auto"/>
        </w:rPr>
      </w:pPr>
    </w:p>
    <w:p>
      <w:pPr>
        <w:ind w:right="140" w:firstLine="419"/>
        <w:spacing w:after="0" w:line="282"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which shall be payable upon declaration of acceleration of the Maturity thereof pursuant to Section 7.02;</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54" w:name="page55"/>
    <w:bookmarkEnd w:id="54"/>
    <w:p>
      <w:pPr>
        <w:jc w:val="both"/>
        <w:ind w:right="660" w:firstLine="419"/>
        <w:spacing w:after="0" w:line="312" w:lineRule="auto"/>
        <w:tabs>
          <w:tab w:leader="none" w:pos="72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31" w:lineRule="exact"/>
        <w:rPr>
          <w:rFonts w:ascii="Times New Roman" w:cs="Times New Roman" w:eastAsia="Times New Roman" w:hAnsi="Times New Roman"/>
          <w:sz w:val="17"/>
          <w:szCs w:val="17"/>
          <w:color w:val="auto"/>
        </w:rPr>
      </w:pPr>
    </w:p>
    <w:p>
      <w:pPr>
        <w:ind w:right="280"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as Original Issue Discount Securities and the amount of discount with which such Securities may be issued;</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71"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Global Security of the series shall be dated if other than the original issuance of the first Security of the series to be issued;</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Securities of the series including such legends as may be required by applicable law;</w:t>
      </w:r>
    </w:p>
    <w:p>
      <w:pPr>
        <w:spacing w:after="0" w:line="117" w:lineRule="exact"/>
        <w:rPr>
          <w:rFonts w:ascii="Times New Roman" w:cs="Times New Roman" w:eastAsia="Times New Roman" w:hAnsi="Times New Roman"/>
          <w:sz w:val="18"/>
          <w:szCs w:val="18"/>
          <w:color w:val="auto"/>
        </w:rPr>
      </w:pPr>
    </w:p>
    <w:p>
      <w:pPr>
        <w:ind w:right="220" w:firstLine="419"/>
        <w:spacing w:after="0" w:line="266" w:lineRule="auto"/>
        <w:tabs>
          <w:tab w:leader="none" w:pos="6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are subject to subordination and the terms of such subordination (for avoidance of doubt, Article XV shall not apply to the Securities of any series unless the terms of such series expressly state it applies);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such series are to be secured and the terms of such security;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Securities of such series;</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or change in the provisions related to compensation and reimbursement of the Trustee which applies to Securities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right="80"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or change in the provisions related to supplemental indentures set forth in Sections 14.01, 14.02 and 14.04 which applies to Securities of such series;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55" w:name="page56"/>
    <w:bookmarkEnd w:id="55"/>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if any, granting special rights to Holders upon the occurrence of specified events;</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68" w:lineRule="exact"/>
        <w:rPr>
          <w:sz w:val="20"/>
          <w:szCs w:val="20"/>
          <w:color w:val="auto"/>
        </w:rPr>
      </w:pPr>
    </w:p>
    <w:p>
      <w:pPr>
        <w:jc w:val="both"/>
        <w:ind w:left="440" w:right="120" w:firstLine="419"/>
        <w:spacing w:after="0" w:line="266" w:lineRule="auto"/>
        <w:tabs>
          <w:tab w:leader="none" w:pos="11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 VI which applies to Securities of the series; and (bb) any other terms of the Securities of such series (which terms shall not be inconsistent with the provisions of the TIA, but may modify, amend, supplement or delete any of the terms of this Indenture with respect to such series).</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In the absence of any specification pursuant to Section 3.01 with respect to Securities of any series, the Securities of such series shall be issuable only as Securities in denominations of $2,000 and any integral multiple of $1,000 in excess thereof, and shall be payable only in U.S. Dollars.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20" w:firstLine="419"/>
        <w:spacing w:after="0" w:line="266"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shall be executed in the name and on behalf of the Company by the manual or facsimile signature of any Officer. If the Person whose signature is on a Security no longer holds that office at the time the Security is authenticated and delivered, the Security shall nevertheless be valid.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75"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56" w:name="page57"/>
    <w:bookmarkEnd w:id="56"/>
    <w:p>
      <w:pPr>
        <w:ind w:left="440" w:right="140" w:firstLine="419"/>
        <w:spacing w:after="0" w:line="266" w:lineRule="auto"/>
        <w:tabs>
          <w:tab w:leader="none" w:pos="11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0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shall be dated the date of its authentication, except as otherwise provided pursuant to Section 3.01 with respect to the Securities of such series.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0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67" w:lineRule="exact"/>
        <w:rPr>
          <w:rFonts w:ascii="Times New Roman" w:cs="Times New Roman" w:eastAsia="Times New Roman" w:hAnsi="Times New Roman"/>
          <w:sz w:val="18"/>
          <w:szCs w:val="18"/>
          <w:color w:val="auto"/>
        </w:rPr>
      </w:pPr>
    </w:p>
    <w:p>
      <w:pPr>
        <w:jc w:val="both"/>
        <w:ind w:left="440" w:right="200" w:firstLine="419"/>
        <w:spacing w:after="0" w:line="276" w:lineRule="auto"/>
        <w:tabs>
          <w:tab w:leader="none" w:pos="1118"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w:t>
      </w:r>
    </w:p>
    <w:p>
      <w:pPr>
        <w:ind w:left="440" w:right="40" w:hanging="4"/>
        <w:spacing w:after="0" w:line="25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an aggregate amount equal to the aggregate principal amount of the Outstanding Securities of such series to be represented by such Global Securities, (ii) shall be registered, if in registered form, in the name of the Depositary for such Global Security or Global Securities or the nominee of such Depositary, (iii) shall be delivered by the Trustee to such Depositary or pursuant to such Depositary’s instruction and</w:t>
      </w:r>
    </w:p>
    <w:p>
      <w:pPr>
        <w:spacing w:after="0" w:line="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 legend substantially to the following effect:</w:t>
      </w:r>
    </w:p>
    <w:p>
      <w:pPr>
        <w:spacing w:after="0" w:line="9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INC.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57" w:name="page58"/>
    <w:bookmarkEnd w:id="57"/>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principal amount of each Global Security may from time to time be increased or decreased by adjustments made on the records of the Security Custodian, as provided in this Indenture.</w:t>
      </w:r>
    </w:p>
    <w:p>
      <w:pPr>
        <w:spacing w:after="0" w:line="54" w:lineRule="exact"/>
        <w:rPr>
          <w:sz w:val="20"/>
          <w:szCs w:val="20"/>
          <w:color w:val="auto"/>
        </w:rPr>
      </w:pPr>
    </w:p>
    <w:p>
      <w:pPr>
        <w:ind w:left="440" w:firstLine="419"/>
        <w:spacing w:after="0" w:line="312" w:lineRule="auto"/>
        <w:tabs>
          <w:tab w:leader="none" w:pos="111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31" w:lineRule="exact"/>
        <w:rPr>
          <w:rFonts w:ascii="Times New Roman" w:cs="Times New Roman" w:eastAsia="Times New Roman" w:hAnsi="Times New Roman"/>
          <w:sz w:val="17"/>
          <w:szCs w:val="17"/>
          <w:color w:val="auto"/>
        </w:rPr>
      </w:pPr>
    </w:p>
    <w:p>
      <w:pPr>
        <w:ind w:left="440" w:right="20" w:firstLine="419"/>
        <w:spacing w:after="0" w:line="254" w:lineRule="auto"/>
        <w:tabs>
          <w:tab w:leader="none" w:pos="10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the Depositary (“Members”)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80"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0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19"/>
        <w:spacing w:after="0" w:line="254"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58" w:name="page59"/>
    <w:bookmarkEnd w:id="58"/>
    <w:p>
      <w:pPr>
        <w:ind w:right="80" w:firstLine="419"/>
        <w:spacing w:after="0" w:line="255"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80" w:lineRule="exact"/>
        <w:rPr>
          <w:rFonts w:ascii="Times New Roman" w:cs="Times New Roman" w:eastAsia="Times New Roman" w:hAnsi="Times New Roman"/>
          <w:sz w:val="18"/>
          <w:szCs w:val="18"/>
          <w:color w:val="auto"/>
        </w:rPr>
      </w:pPr>
    </w:p>
    <w:p>
      <w:pPr>
        <w:ind w:right="160" w:firstLine="419"/>
        <w:spacing w:after="0" w:line="261" w:lineRule="auto"/>
        <w:tabs>
          <w:tab w:leader="none" w:pos="6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5" w:lineRule="auto"/>
        <w:tabs>
          <w:tab w:leader="none" w:pos="6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80" w:lineRule="exact"/>
        <w:rPr>
          <w:rFonts w:ascii="Times New Roman" w:cs="Times New Roman" w:eastAsia="Times New Roman" w:hAnsi="Times New Roman"/>
          <w:sz w:val="18"/>
          <w:szCs w:val="18"/>
          <w:color w:val="auto"/>
        </w:rPr>
      </w:pPr>
    </w:p>
    <w:p>
      <w:pPr>
        <w:ind w:right="120" w:firstLine="419"/>
        <w:spacing w:after="0" w:line="258"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59" w:name="page60"/>
    <w:bookmarkEnd w:id="59"/>
    <w:p>
      <w:pPr>
        <w:ind w:right="80" w:firstLine="419"/>
        <w:spacing w:after="0" w:line="282" w:lineRule="auto"/>
        <w:tabs>
          <w:tab w:leader="none" w:pos="6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appoints the Trustee at its Corporate Trust Office as Registrar in connection with the Securities and this Indenture, until such time as another Person is appointed as such.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58" w:lineRule="auto"/>
        <w:tabs>
          <w:tab w:leader="none" w:pos="115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75" w:lineRule="exact"/>
        <w:rPr>
          <w:rFonts w:ascii="Times New Roman" w:cs="Times New Roman" w:eastAsia="Times New Roman" w:hAnsi="Times New Roman"/>
          <w:sz w:val="18"/>
          <w:szCs w:val="18"/>
          <w:color w:val="auto"/>
        </w:rPr>
      </w:pPr>
    </w:p>
    <w:p>
      <w:pPr>
        <w:ind w:left="540" w:right="100" w:firstLine="408"/>
        <w:spacing w:after="0" w:line="258" w:lineRule="auto"/>
        <w:tabs>
          <w:tab w:leader="none" w:pos="120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66" w:lineRule="auto"/>
        <w:tabs>
          <w:tab w:leader="none" w:pos="115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67"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06"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Securities are so surrendered for exchange, the Company shall execute, and the Trustee or Authenticating Agent shall authenticate and deliver, the Securities that the Holder making the exchange is entitled to receive.</w:t>
      </w:r>
    </w:p>
    <w:p>
      <w:pPr>
        <w:spacing w:after="0" w:line="53" w:lineRule="exact"/>
        <w:rPr>
          <w:rFonts w:ascii="Times New Roman" w:cs="Times New Roman" w:eastAsia="Times New Roman" w:hAnsi="Times New Roman"/>
          <w:sz w:val="18"/>
          <w:szCs w:val="18"/>
          <w:color w:val="auto"/>
        </w:rPr>
      </w:pPr>
    </w:p>
    <w:p>
      <w:pPr>
        <w:ind w:right="280" w:firstLine="419"/>
        <w:spacing w:after="0" w:line="282" w:lineRule="auto"/>
        <w:tabs>
          <w:tab w:leader="none" w:pos="6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of Global Securities for Individual Securities</w:t>
      </w:r>
      <w:r>
        <w:rPr>
          <w:rFonts w:ascii="Times New Roman" w:cs="Times New Roman" w:eastAsia="Times New Roman" w:hAnsi="Times New Roman"/>
          <w:sz w:val="18"/>
          <w:szCs w:val="18"/>
          <w:color w:val="auto"/>
        </w:rPr>
        <w:t>. Except as provided below, owners of beneficial interests in Global Securities will not be entitled to receive Individual Securities.</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Securities shall be issued to all owners of beneficial interests in a Global Security in exchange for such interests if:</w:t>
      </w:r>
    </w:p>
    <w:p>
      <w:pPr>
        <w:spacing w:after="0" w:line="27" w:lineRule="exact"/>
        <w:rPr>
          <w:rFonts w:ascii="Times New Roman" w:cs="Times New Roman" w:eastAsia="Times New Roman" w:hAnsi="Times New Roman"/>
          <w:sz w:val="18"/>
          <w:szCs w:val="18"/>
          <w:color w:val="auto"/>
        </w:rPr>
      </w:pPr>
    </w:p>
    <w:p>
      <w:pPr>
        <w:ind w:left="540" w:right="220" w:firstLine="7"/>
        <w:spacing w:after="0" w:line="253" w:lineRule="auto"/>
        <w:tabs>
          <w:tab w:leader="none" w:pos="83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 Company Order stating that such Global Security shall be so exchangeable.</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60" w:name="page61"/>
    <w:bookmarkEnd w:id="60"/>
    <w:p>
      <w:pPr>
        <w:jc w:val="both"/>
        <w:ind w:right="10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56" w:lineRule="exact"/>
        <w:rPr>
          <w:sz w:val="20"/>
          <w:szCs w:val="20"/>
          <w:color w:val="auto"/>
        </w:rPr>
      </w:pPr>
    </w:p>
    <w:p>
      <w:pPr>
        <w:ind w:left="980" w:firstLine="408"/>
        <w:spacing w:after="0" w:line="258" w:lineRule="auto"/>
        <w:tabs>
          <w:tab w:leader="none" w:pos="16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75" w:lineRule="exact"/>
        <w:rPr>
          <w:rFonts w:ascii="Times New Roman" w:cs="Times New Roman" w:eastAsia="Times New Roman" w:hAnsi="Times New Roman"/>
          <w:sz w:val="18"/>
          <w:szCs w:val="18"/>
          <w:color w:val="auto"/>
        </w:rPr>
      </w:pPr>
    </w:p>
    <w:p>
      <w:pPr>
        <w:ind w:left="1420" w:right="140" w:firstLine="391"/>
        <w:spacing w:after="0" w:line="282" w:lineRule="auto"/>
        <w:tabs>
          <w:tab w:leader="none" w:pos="209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Custodian and Registrar shall notify the Company and the Trustee of such instructions, identifying the owner and amount of such beneficial interest in such Global Security;</w:t>
      </w:r>
    </w:p>
    <w:p>
      <w:pPr>
        <w:spacing w:after="0" w:line="53" w:lineRule="exact"/>
        <w:rPr>
          <w:rFonts w:ascii="Times New Roman" w:cs="Times New Roman" w:eastAsia="Times New Roman" w:hAnsi="Times New Roman"/>
          <w:sz w:val="18"/>
          <w:szCs w:val="18"/>
          <w:color w:val="auto"/>
        </w:rPr>
      </w:pPr>
    </w:p>
    <w:p>
      <w:pPr>
        <w:jc w:val="both"/>
        <w:ind w:left="1420" w:right="80" w:firstLine="391"/>
        <w:spacing w:after="0" w:line="266" w:lineRule="auto"/>
        <w:tabs>
          <w:tab w:leader="none" w:pos="20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67" w:lineRule="exact"/>
        <w:rPr>
          <w:rFonts w:ascii="Times New Roman" w:cs="Times New Roman" w:eastAsia="Times New Roman" w:hAnsi="Times New Roman"/>
          <w:sz w:val="18"/>
          <w:szCs w:val="18"/>
          <w:color w:val="auto"/>
        </w:rPr>
      </w:pPr>
    </w:p>
    <w:p>
      <w:pPr>
        <w:ind w:left="1420" w:firstLine="391"/>
        <w:spacing w:after="0" w:line="256" w:lineRule="auto"/>
        <w:tabs>
          <w:tab w:leader="none" w:pos="20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owner of Securities to pursue such remedy with respect to the portion of the Global Security that represents such beneficial owner’s Securities as if such Individual Securities had been issued.</w:t>
      </w:r>
    </w:p>
    <w:p>
      <w:pPr>
        <w:spacing w:after="0" w:line="79"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61" w:name="page62"/>
    <w:bookmarkEnd w:id="61"/>
    <w:p>
      <w:pPr>
        <w:ind w:left="980" w:right="100" w:firstLine="391"/>
        <w:spacing w:after="0" w:line="266" w:lineRule="auto"/>
        <w:tabs>
          <w:tab w:leader="none" w:pos="1658"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67" w:lineRule="exact"/>
        <w:rPr>
          <w:rFonts w:ascii="Times New Roman" w:cs="Times New Roman" w:eastAsia="Times New Roman" w:hAnsi="Times New Roman"/>
          <w:sz w:val="18"/>
          <w:szCs w:val="18"/>
          <w:color w:val="auto"/>
        </w:rPr>
      </w:pPr>
    </w:p>
    <w:p>
      <w:pPr>
        <w:ind w:left="980" w:firstLine="391"/>
        <w:spacing w:after="0" w:line="282" w:lineRule="auto"/>
        <w:tabs>
          <w:tab w:leader="none" w:pos="1648"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Depositary a new Global Security in a denomination equal to the difference, if any, between the principal amount of the surrendered Global Security and the aggregate principal amount of Individual Securities delivered to the Holders thereof.</w:t>
      </w:r>
    </w:p>
    <w:p>
      <w:pPr>
        <w:spacing w:after="0" w:line="53"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4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exchange provided for in clauses (i) through (iii), the Company will execute and the Trustee will authenticate and deliver Individual Securities in registered form in authorized denominations.</w:t>
      </w:r>
    </w:p>
    <w:p>
      <w:pPr>
        <w:spacing w:after="0" w:line="53" w:lineRule="exact"/>
        <w:rPr>
          <w:rFonts w:ascii="Times New Roman" w:cs="Times New Roman" w:eastAsia="Times New Roman" w:hAnsi="Times New Roman"/>
          <w:sz w:val="18"/>
          <w:szCs w:val="18"/>
          <w:color w:val="auto"/>
        </w:rPr>
      </w:pPr>
    </w:p>
    <w:p>
      <w:pPr>
        <w:ind w:left="540" w:right="200" w:firstLine="408"/>
        <w:spacing w:after="0" w:line="258" w:lineRule="auto"/>
        <w:tabs>
          <w:tab w:leader="none" w:pos="11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75"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71"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4.03 and ending at the close of business on the day of such transmission, or (ii) register, transfer or exchange any Security so selected for redemption in whole or in part, except the unredeemed portion of any Security being redeemed in part.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62" w:name="page63"/>
    <w:bookmarkEnd w:id="62"/>
    <w:p>
      <w:pPr>
        <w:ind w:right="80" w:firstLine="419"/>
        <w:spacing w:after="0" w:line="254"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 successor Company (“Successor Company”) has executed an indenture supplemental hereto with the Trustee pursuant to Section 6.04,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83" w:lineRule="exact"/>
        <w:rPr>
          <w:rFonts w:ascii="Times New Roman" w:cs="Times New Roman" w:eastAsia="Times New Roman" w:hAnsi="Times New Roman"/>
          <w:sz w:val="18"/>
          <w:szCs w:val="18"/>
          <w:color w:val="auto"/>
        </w:rPr>
      </w:pPr>
    </w:p>
    <w:p>
      <w:pPr>
        <w:ind w:right="100" w:firstLine="419"/>
        <w:spacing w:after="0" w:line="258" w:lineRule="auto"/>
        <w:tabs>
          <w:tab w:leader="none" w:pos="6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Trustee, the Paying Agent or the Registrar shall have any obligation or duty to monitor, determine or inquire as to compliance with any restrictions on transfer imposed under this Indenture or under applicable law with respect to any transfer of any interest in any Security (including any transfers between or among Members,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of the Trustee shall have any responsibility for any actions taken or not taken by the Depositary.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5" w:lineRule="auto"/>
        <w:tabs>
          <w:tab w:leader="none" w:pos="6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63" w:name="page64"/>
    <w:bookmarkEnd w:id="63"/>
    <w:p>
      <w:pPr>
        <w:ind w:right="80" w:firstLine="419"/>
        <w:spacing w:after="0" w:line="266" w:lineRule="auto"/>
        <w:tabs>
          <w:tab w:leader="none" w:pos="6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67"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67" w:lineRule="exact"/>
        <w:rPr>
          <w:rFonts w:ascii="Times New Roman" w:cs="Times New Roman" w:eastAsia="Times New Roman" w:hAnsi="Times New Roman"/>
          <w:sz w:val="18"/>
          <w:szCs w:val="18"/>
          <w:color w:val="auto"/>
        </w:rPr>
      </w:pPr>
    </w:p>
    <w:p>
      <w:pPr>
        <w:ind w:right="380" w:firstLine="419"/>
        <w:spacing w:after="0" w:line="282" w:lineRule="auto"/>
        <w:tabs>
          <w:tab w:leader="none" w:pos="6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6" w:lineRule="auto"/>
        <w:tabs>
          <w:tab w:leader="none" w:pos="6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79" w:lineRule="exact"/>
        <w:rPr>
          <w:rFonts w:ascii="Times New Roman" w:cs="Times New Roman" w:eastAsia="Times New Roman" w:hAnsi="Times New Roman"/>
          <w:sz w:val="18"/>
          <w:szCs w:val="18"/>
          <w:color w:val="auto"/>
        </w:rPr>
      </w:pPr>
    </w:p>
    <w:p>
      <w:pPr>
        <w:jc w:val="both"/>
        <w:ind w:right="160" w:firstLine="419"/>
        <w:spacing w:after="0" w:line="266" w:lineRule="auto"/>
        <w:tabs>
          <w:tab w:leader="none" w:pos="6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67" w:lineRule="exact"/>
        <w:rPr>
          <w:rFonts w:ascii="Times New Roman" w:cs="Times New Roman" w:eastAsia="Times New Roman" w:hAnsi="Times New Roman"/>
          <w:sz w:val="18"/>
          <w:szCs w:val="18"/>
          <w:color w:val="auto"/>
        </w:rPr>
      </w:pPr>
    </w:p>
    <w:p>
      <w:pPr>
        <w:ind w:left="540" w:firstLine="408"/>
        <w:spacing w:after="0" w:line="254" w:lineRule="auto"/>
        <w:tabs>
          <w:tab w:leader="none" w:pos="11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64" w:name="page65"/>
    <w:bookmarkEnd w:id="64"/>
    <w:p>
      <w:pPr>
        <w:ind w:left="980"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delivered or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delivered or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84" w:lineRule="exact"/>
        <w:rPr>
          <w:sz w:val="20"/>
          <w:szCs w:val="20"/>
          <w:color w:val="auto"/>
        </w:rPr>
      </w:pPr>
    </w:p>
    <w:p>
      <w:pPr>
        <w:ind w:left="980" w:right="180" w:firstLine="408"/>
        <w:spacing w:after="0" w:line="261" w:lineRule="auto"/>
        <w:tabs>
          <w:tab w:leader="none" w:pos="164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18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pursuant to Section 3.01 for Securities of any series, interest on the Securities of each series shall be computed on the basis of a 360-day year of twelve 30-day months.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Currency of Payments in Respect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19"/>
        <w:spacing w:after="0" w:line="282"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pursuant to Section 3.01 for Securities of any series, payment of the principal of and premium, if any, and interest on Securities of each series will be made in U.S. Dollars.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78"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decision or determination to be made regarding exchange rates shall be made by an agent appointed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66" w:name="page67"/>
    <w:bookmarkEnd w:id="66"/>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any Securities may use CUSIP, ISIN or other similar numbers, if then generally in use, and thereafter with respect to such series, the Trustee may use such numbers in any notice of redemption or exchange with respect to such series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notice may state that no representation is made as to the correctness of such numbers either as printed on the Securities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The Company shall file with the Trustee promptly at the end of each calendar year (i) a written notice specifying the amount of original issue discount (including daily rates and accrual periods) accrued on Outstanding Securities as of the end of such year and (ii) such other specific information relating to such original issue discount as may be required to be provided to the Trustee or to the holders of the Securities pursuant to the Code, as amended, and the regulations issued thereunder.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OF SECURITIES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Applicability of Right of Redemption</w:t>
      </w:r>
      <w:r>
        <w:rPr>
          <w:rFonts w:ascii="Times New Roman" w:cs="Times New Roman" w:eastAsia="Times New Roman" w:hAnsi="Times New Roman"/>
          <w:sz w:val="18"/>
          <w:szCs w:val="18"/>
          <w:color w:val="auto"/>
        </w:rPr>
        <w:t xml:space="preserve">.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terms of a series of Securities shall conflict with any provision of this Article, the terms of such series shall govern.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3"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at any time elect to redeem all or any portion of the Securities of a series then Outstanding, it shall, at least 10 days prior to the Redemption Date fixed by the Company (unless a shorter period shall be satisfactory to the Trustee), notify the Trustee of such Redemption Date and of the principal amount of Securities to be redeemed, and thereupon the Trustee shall select,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by lot or in such other manner as the Trustee shall deem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Global Securities, the Depositary may select beneficial interests in Global Securities for redemption pursuant to its applicable procedures) and which may provide for the selection for redemption of a portion of the principal amount of any Security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86"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6" w:lineRule="auto"/>
        <w:tabs>
          <w:tab w:leader="none" w:pos="6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shall be given by the Company or, at the Company’s request, by the Trustee in the name and at the expense of the Company, not less than 10 nor more than 60 days prior to the Redemption Date (unless a shorter period shall be satisfactory to the Trustee),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79" w:lineRule="exact"/>
        <w:rPr>
          <w:rFonts w:ascii="Times New Roman" w:cs="Times New Roman" w:eastAsia="Times New Roman" w:hAnsi="Times New Roman"/>
          <w:sz w:val="18"/>
          <w:szCs w:val="18"/>
          <w:color w:val="auto"/>
        </w:rPr>
      </w:pPr>
    </w:p>
    <w:p>
      <w:pPr>
        <w:ind w:right="420" w:firstLine="419"/>
        <w:spacing w:after="0" w:line="282" w:lineRule="auto"/>
        <w:tabs>
          <w:tab w:leader="none" w:pos="67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of redemption shall identify the Securities to be redeemed (including CUSIP, ISIN or other similar numbers, if available along with the statement in Section 3.13) and shall state:</w:t>
      </w:r>
    </w:p>
    <w:p>
      <w:pPr>
        <w:spacing w:after="0" w:line="53"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15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53"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7"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2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53"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19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such Security to be redeemed, and that, if applicable, interest thereon shall cease to accrue on and after said date;</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are to be surrendered for payment of the Redemption Price; and</w:t>
      </w:r>
    </w:p>
    <w:p>
      <w:pPr>
        <w:spacing w:after="0" w:line="11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117" w:lineRule="exact"/>
        <w:rPr>
          <w:rFonts w:ascii="Times New Roman" w:cs="Times New Roman" w:eastAsia="Times New Roman" w:hAnsi="Times New Roman"/>
          <w:sz w:val="18"/>
          <w:szCs w:val="18"/>
          <w:color w:val="auto"/>
        </w:rPr>
      </w:pPr>
    </w:p>
    <w:p>
      <w:pPr>
        <w:ind w:right="140" w:firstLine="419"/>
        <w:spacing w:after="0" w:line="266" w:lineRule="auto"/>
        <w:tabs>
          <w:tab w:leader="none" w:pos="6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redemption may provide that it is subject to the occurrence of any event before the date fixed for such redemption as described in such notice (“Conditional Redemption”), and such notice of Conditional Redemption shall be of no effect unless all such conditions to the redemption have occurred on or before such date or have been waived by the Company in its sole discretion.</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68" w:name="page69"/>
    <w:bookmarkEnd w:id="68"/>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Security that is to be redeemed only in part shall be surrendered at the Corporate Trust Office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SINKING FUNDS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Applicability of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61"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terms of a series of Securities shall conflict with any provision of this Article, the terms of such series shall govern.</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Mandatory Sinking Fund Obligation</w:t>
      </w:r>
      <w:r>
        <w:rPr>
          <w:rFonts w:ascii="Times New Roman" w:cs="Times New Roman" w:eastAsia="Times New Roman" w:hAnsi="Times New Roman"/>
          <w:sz w:val="18"/>
          <w:szCs w:val="18"/>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Optional Redemption at Sinking Fund Redemption Price</w:t>
      </w:r>
      <w:r>
        <w:rPr>
          <w:rFonts w:ascii="Times New Roman" w:cs="Times New Roman" w:eastAsia="Times New Roman" w:hAnsi="Times New Roman"/>
          <w:sz w:val="18"/>
          <w:szCs w:val="18"/>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6"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5.04 </w:t>
      </w:r>
      <w:r>
        <w:rPr>
          <w:rFonts w:ascii="Times New Roman" w:cs="Times New Roman" w:eastAsia="Times New Roman" w:hAnsi="Times New Roman"/>
          <w:sz w:val="18"/>
          <w:szCs w:val="18"/>
          <w:u w:val="single" w:color="auto"/>
          <w:color w:val="auto"/>
        </w:rPr>
        <w:t>Application of Sinking Fund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19"/>
        <w:spacing w:after="0" w:line="252"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89" w:lineRule="exact"/>
        <w:rPr>
          <w:rFonts w:ascii="Times New Roman" w:cs="Times New Roman" w:eastAsia="Times New Roman" w:hAnsi="Times New Roman"/>
          <w:sz w:val="18"/>
          <w:szCs w:val="18"/>
          <w:color w:val="auto"/>
        </w:rPr>
      </w:pPr>
    </w:p>
    <w:p>
      <w:pPr>
        <w:ind w:right="540" w:firstLine="419"/>
        <w:spacing w:after="0" w:line="282"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or delivered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880" w:top="270" w:right="47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PARTICULAR COVENANTS OF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covenants and agrees as follows:</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Payments of Securities</w:t>
      </w:r>
      <w:r>
        <w:rPr>
          <w:rFonts w:ascii="Times New Roman" w:cs="Times New Roman" w:eastAsia="Times New Roman" w:hAnsi="Times New Roman"/>
          <w:sz w:val="18"/>
          <w:szCs w:val="18"/>
          <w:color w:val="auto"/>
        </w:rPr>
        <w:t>. The Company will duly and punctually pay the principal of and premium, if any, on each series of Securities, and the interest which shall have accrued thereon, including any interest on overdue principal or interest, at the dates and place and in the manner provided in the Securities and in this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19"/>
        <w:spacing w:after="0" w:line="255" w:lineRule="auto"/>
        <w:tabs>
          <w:tab w:leader="none" w:pos="11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To Hold Payment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5" w:lineRule="auto"/>
        <w:tabs>
          <w:tab w:leader="none" w:pos="11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72" w:name="page73"/>
    <w:bookmarkEnd w:id="72"/>
    <w:p>
      <w:pPr>
        <w:ind w:firstLine="419"/>
        <w:spacing w:after="0" w:line="256"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79" w:lineRule="exact"/>
        <w:rPr>
          <w:rFonts w:ascii="Times New Roman" w:cs="Times New Roman" w:eastAsia="Times New Roman" w:hAnsi="Times New Roman"/>
          <w:sz w:val="18"/>
          <w:szCs w:val="18"/>
          <w:color w:val="auto"/>
        </w:rPr>
      </w:pPr>
    </w:p>
    <w:p>
      <w:pPr>
        <w:jc w:val="both"/>
        <w:ind w:right="180" w:firstLine="419"/>
        <w:spacing w:after="0" w:line="312" w:lineRule="auto"/>
        <w:tabs>
          <w:tab w:leader="none" w:pos="66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31" w:lineRule="exact"/>
        <w:rPr>
          <w:rFonts w:ascii="Times New Roman" w:cs="Times New Roman" w:eastAsia="Times New Roman" w:hAnsi="Times New Roman"/>
          <w:sz w:val="17"/>
          <w:szCs w:val="17"/>
          <w:color w:val="auto"/>
        </w:rPr>
      </w:pPr>
    </w:p>
    <w:p>
      <w:pPr>
        <w:ind w:left="540" w:right="300" w:firstLine="408"/>
        <w:spacing w:after="0" w:line="266" w:lineRule="auto"/>
        <w:tabs>
          <w:tab w:leader="none" w:pos="11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67" w:lineRule="exact"/>
        <w:rPr>
          <w:rFonts w:ascii="Times New Roman" w:cs="Times New Roman" w:eastAsia="Times New Roman" w:hAnsi="Times New Roman"/>
          <w:sz w:val="18"/>
          <w:szCs w:val="18"/>
          <w:color w:val="auto"/>
        </w:rPr>
      </w:pPr>
    </w:p>
    <w:p>
      <w:pPr>
        <w:ind w:left="540" w:right="20" w:firstLine="408"/>
        <w:spacing w:after="0" w:line="289" w:lineRule="auto"/>
        <w:tabs>
          <w:tab w:leader="none" w:pos="1206"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to the Trustee notice of any Default by the Company or any other obligor upon the Securities of that series in the making of any payment of the principal of and premium, if any, or interest on the Securities of that series; and (iii) at any time during the continuance of any such Default, upon the written request of the Trustee, pay to the Trustee all sums so held in trust by such Paying Agent.</w:t>
      </w:r>
    </w:p>
    <w:p>
      <w:pPr>
        <w:spacing w:after="0" w:line="49" w:lineRule="exact"/>
        <w:rPr>
          <w:rFonts w:ascii="Times New Roman" w:cs="Times New Roman" w:eastAsia="Times New Roman" w:hAnsi="Times New Roman"/>
          <w:sz w:val="17"/>
          <w:szCs w:val="17"/>
          <w:color w:val="auto"/>
        </w:rPr>
      </w:pPr>
    </w:p>
    <w:p>
      <w:pPr>
        <w:ind w:right="160" w:firstLine="419"/>
        <w:spacing w:after="0" w:line="261"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66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73" w:name="page74"/>
    <w:bookmarkEnd w:id="73"/>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Merger, Consolidation and Sale of Assets</w:t>
      </w:r>
      <w:r>
        <w:rPr>
          <w:rFonts w:ascii="Times New Roman" w:cs="Times New Roman" w:eastAsia="Times New Roman" w:hAnsi="Times New Roman"/>
          <w:sz w:val="18"/>
          <w:szCs w:val="18"/>
          <w:color w:val="auto"/>
        </w:rPr>
        <w:t>. Except as otherwise provided as contemplated by Section 3.01 with respect to any series of Securities:</w:t>
      </w:r>
    </w:p>
    <w:p>
      <w:pPr>
        <w:spacing w:after="0" w:line="54" w:lineRule="exact"/>
        <w:rPr>
          <w:sz w:val="20"/>
          <w:szCs w:val="20"/>
          <w:color w:val="auto"/>
        </w:rPr>
      </w:pPr>
    </w:p>
    <w:p>
      <w:pPr>
        <w:ind w:left="440" w:firstLine="419"/>
        <w:spacing w:after="0" w:line="253" w:lineRule="auto"/>
        <w:tabs>
          <w:tab w:leader="none" w:pos="11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be organized and existing under the laws of the United States or any State thereof and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w:t>
      </w:r>
    </w:p>
    <w:p>
      <w:pPr>
        <w:spacing w:after="0" w:line="2" w:lineRule="exact"/>
        <w:rPr>
          <w:rFonts w:ascii="Times New Roman" w:cs="Times New Roman" w:eastAsia="Times New Roman" w:hAnsi="Times New Roman"/>
          <w:sz w:val="18"/>
          <w:szCs w:val="18"/>
          <w:color w:val="auto"/>
        </w:rPr>
      </w:pPr>
    </w:p>
    <w:p>
      <w:pPr>
        <w:ind w:left="440" w:right="100" w:hanging="4"/>
        <w:spacing w:after="0" w:line="253" w:lineRule="auto"/>
        <w:tabs>
          <w:tab w:leader="none" w:pos="7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consolidation, merger, sale, conveyance, transfer or lease, the Company or the successor, transferee or lessee entity (if other than the Company) would not be in Default in the performance of any covenant or condition of this Indenture and (iii) the Company shall have delivered to the Trustee an Officer’s Certificate and an Opinion of Counsel, each stating that such consolidation, merger, conveyance or transfer and such supplemental indenture comply with this Article VI and that all conditions precedent herein provided for relating to such transaction have been complied with.</w:t>
      </w:r>
    </w:p>
    <w:p>
      <w:pPr>
        <w:spacing w:after="0" w:line="78"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consolidation with or merger into any other entity, or any sale, conveyance or transfer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and assumes all obligations and covenants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74" w:name="page75"/>
    <w:bookmarkEnd w:id="74"/>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Conditional Waiver by Holders of Securities</w:t>
      </w:r>
      <w:r>
        <w:rPr>
          <w:rFonts w:ascii="Times New Roman" w:cs="Times New Roman" w:eastAsia="Times New Roman" w:hAnsi="Times New Roman"/>
          <w:sz w:val="18"/>
          <w:szCs w:val="18"/>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88"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Statement by Officers as to Default</w:t>
      </w:r>
      <w:r>
        <w:rPr>
          <w:rFonts w:ascii="Times New Roman" w:cs="Times New Roman" w:eastAsia="Times New Roman" w:hAnsi="Times New Roman"/>
          <w:sz w:val="18"/>
          <w:szCs w:val="18"/>
          <w:color w:val="auto"/>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REMEDIES OF TRUSTEE AND SECURITYHOLDERS</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68" w:lineRule="exact"/>
        <w:rPr>
          <w:sz w:val="20"/>
          <w:szCs w:val="20"/>
          <w:color w:val="auto"/>
        </w:rPr>
      </w:pPr>
    </w:p>
    <w:p>
      <w:pPr>
        <w:ind w:left="440" w:right="100" w:firstLine="419"/>
        <w:spacing w:after="0" w:line="282"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any installment of interest on any Security of such series when and as the same shall become payable, which failure shall have continued unremedied for a period of 30 days;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the principal of (and premium, if any, on) any Security of such series, when and as the same shall become payable, whether at Maturity as therein expressed, by call for redemption (other than pursuant to a sinking fund), upon acceleration under this Indenture or otherwise;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75" w:name="page76"/>
    <w:bookmarkEnd w:id="75"/>
    <w:p>
      <w:pPr>
        <w:ind w:right="540" w:firstLine="419"/>
        <w:spacing w:after="0" w:line="282" w:lineRule="auto"/>
        <w:tabs>
          <w:tab w:leader="none" w:pos="6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failure of the Company to pay a sinking fund installment, if any, when and as the same shall become payable by the terms of a Security of such series, which failure shall have continued unremedied for a period of 30 days;</w:t>
      </w:r>
    </w:p>
    <w:p>
      <w:pPr>
        <w:spacing w:after="0" w:line="53" w:lineRule="exact"/>
        <w:rPr>
          <w:rFonts w:ascii="Times New Roman" w:cs="Times New Roman" w:eastAsia="Times New Roman" w:hAnsi="Times New Roman"/>
          <w:sz w:val="18"/>
          <w:szCs w:val="18"/>
          <w:color w:val="auto"/>
        </w:rPr>
      </w:pPr>
    </w:p>
    <w:p>
      <w:pPr>
        <w:ind w:firstLine="419"/>
        <w:spacing w:after="0" w:line="269" w:lineRule="auto"/>
        <w:tabs>
          <w:tab w:leader="none" w:pos="67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failure of the Company, subject to the provisions of Section 6.06,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33% or more in aggregate principal amount of the Securities of such series then Outstanding, specifying such failure, requiring the Company to remedy the same and stating that such notice is a “Notice of Default”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Trustee, or the Trustee and the Holders of such aggregate principal amount of Securities of such series then Outstanding, as the case may be, will be deemed to have agreed to an extension of such period if corrective action is initiated by the Company within such period and is being diligently pursued and (ii) such notice may not be given with respect to any action taken, and reported publicly or to holders of such series then Outstanding, more than two years prior to such notice;</w:t>
      </w:r>
    </w:p>
    <w:p>
      <w:pPr>
        <w:spacing w:after="0" w:line="73" w:lineRule="exact"/>
        <w:rPr>
          <w:rFonts w:ascii="Times New Roman" w:cs="Times New Roman" w:eastAsia="Times New Roman" w:hAnsi="Times New Roman"/>
          <w:sz w:val="17"/>
          <w:szCs w:val="17"/>
          <w:color w:val="auto"/>
        </w:rPr>
      </w:pPr>
    </w:p>
    <w:p>
      <w:pPr>
        <w:ind w:right="80" w:firstLine="419"/>
        <w:spacing w:after="0" w:line="258" w:lineRule="auto"/>
        <w:tabs>
          <w:tab w:leader="none" w:pos="6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75" w:lineRule="exact"/>
        <w:rPr>
          <w:rFonts w:ascii="Times New Roman" w:cs="Times New Roman" w:eastAsia="Times New Roman" w:hAnsi="Times New Roman"/>
          <w:sz w:val="18"/>
          <w:szCs w:val="18"/>
          <w:color w:val="auto"/>
        </w:rPr>
      </w:pPr>
    </w:p>
    <w:p>
      <w:pPr>
        <w:ind w:firstLine="419"/>
        <w:spacing w:after="0" w:line="256" w:lineRule="auto"/>
        <w:tabs>
          <w:tab w:leader="none" w:pos="6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70" w:right="459" w:bottom="1440" w:gutter="0" w:footer="0" w:header="0"/>
        </w:sectPr>
      </w:pPr>
    </w:p>
    <w:bookmarkStart w:id="76" w:name="page77"/>
    <w:bookmarkEnd w:id="76"/>
    <w:p>
      <w:pPr>
        <w:ind w:left="440" w:firstLine="419"/>
        <w:spacing w:after="0" w:line="258" w:lineRule="auto"/>
        <w:tabs>
          <w:tab w:leader="none" w:pos="11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occurrence of any other Event of Default with respect to Securities of such series as provided in Section 3.01;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event described in clause (d) or (other than with respect to a payment default) (g) above shall constitute an Event of Default hereunder until the Trustee or the Holders of 33% or more in aggregate principal amount of the Securities of such series Outstanding, notify the Company (and the Trustee in case of notice by the Holders) of the Default, specifying the Default, requiring the Company to remedy the same and stating that such notice is a “Notice of Default” hereunder.</w:t>
      </w:r>
    </w:p>
    <w:p>
      <w:pPr>
        <w:spacing w:after="0" w:line="18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9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failure to redeem any Security subject to a Conditional Redemption is not an Event of Default if any event on which such redemption is so conditioned does not occur and is not waived before the scheduled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Acceleration; Rescission and Annulment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3" w:lineRule="auto"/>
        <w:tabs>
          <w:tab w:leader="none" w:pos="11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33%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and unpaid premium, if any, on all the Securities of such series then Outstanding to be due and payable immediately by a notice in writing to the Company (and to the Trustee if given by Holders), and upon any such acceleration such principal amount (or specified amount) and accrued and unpaid interest, and unpaid premium, if any,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8" w:right="45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that series) of and accrued and unpaid interest, and unpaid premium, if any,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and unpaid premium, if any, on the Securities of such series shall terminate.</w:t>
      </w:r>
    </w:p>
    <w:p>
      <w:pPr>
        <w:spacing w:after="0" w:line="75" w:lineRule="exact"/>
        <w:rPr>
          <w:sz w:val="20"/>
          <w:szCs w:val="20"/>
          <w:color w:val="auto"/>
        </w:rPr>
      </w:pPr>
    </w:p>
    <w:p>
      <w:pPr>
        <w:ind w:right="40" w:firstLine="419"/>
        <w:spacing w:after="0" w:line="258"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7.02(a), however, are subject to the condition that, at any time after the principal and accrued and unpaid interest, and unpaid premium, if any,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annul such acceleration if:</w:t>
      </w:r>
    </w:p>
    <w:p>
      <w:pPr>
        <w:spacing w:after="0" w:line="75" w:lineRule="exact"/>
        <w:rPr>
          <w:rFonts w:ascii="Times New Roman" w:cs="Times New Roman" w:eastAsia="Times New Roman" w:hAnsi="Times New Roman"/>
          <w:sz w:val="18"/>
          <w:szCs w:val="18"/>
          <w:color w:val="auto"/>
        </w:rPr>
      </w:pPr>
    </w:p>
    <w:p>
      <w:pPr>
        <w:ind w:left="540" w:right="260" w:firstLine="408"/>
        <w:spacing w:after="0" w:line="282" w:lineRule="auto"/>
        <w:tabs>
          <w:tab w:leader="none" w:pos="11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or Paying Agent a sum in the Currency in which such Securities are denominated (subject to the last paragraph of Section 7.01 and except as otherwise provided pursuant to Section 3.01) sufficient to pay:</w:t>
      </w:r>
    </w:p>
    <w:p>
      <w:pPr>
        <w:spacing w:after="0" w:line="51" w:lineRule="exact"/>
        <w:rPr>
          <w:rFonts w:ascii="Times New Roman" w:cs="Times New Roman" w:eastAsia="Times New Roman" w:hAnsi="Times New Roman"/>
          <w:sz w:val="18"/>
          <w:szCs w:val="18"/>
          <w:color w:val="auto"/>
        </w:rPr>
      </w:pPr>
    </w:p>
    <w:p>
      <w:pPr>
        <w:ind w:left="980" w:right="220" w:firstLine="391"/>
        <w:spacing w:after="0" w:line="284" w:lineRule="auto"/>
        <w:tabs>
          <w:tab w:leader="none" w:pos="1658"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owing the Trustee and any predecessor trustee hereunder under Section 11.01(a)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sums payable under this clause (A) shall be paid in U.S. Dollars);</w:t>
      </w:r>
    </w:p>
    <w:p>
      <w:pPr>
        <w:spacing w:after="0" w:line="52" w:lineRule="exact"/>
        <w:rPr>
          <w:rFonts w:ascii="Times New Roman" w:cs="Times New Roman" w:eastAsia="Times New Roman" w:hAnsi="Times New Roman"/>
          <w:sz w:val="18"/>
          <w:szCs w:val="18"/>
          <w:color w:val="auto"/>
        </w:rPr>
      </w:pPr>
    </w:p>
    <w:p>
      <w:pPr>
        <w:jc w:val="both"/>
        <w:ind w:left="980" w:right="100" w:firstLine="391"/>
        <w:spacing w:after="0" w:line="282" w:lineRule="auto"/>
        <w:tabs>
          <w:tab w:leader="none" w:pos="1648"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53" w:lineRule="exact"/>
        <w:rPr>
          <w:rFonts w:ascii="Times New Roman" w:cs="Times New Roman" w:eastAsia="Times New Roman" w:hAnsi="Times New Roman"/>
          <w:sz w:val="18"/>
          <w:szCs w:val="18"/>
          <w:color w:val="auto"/>
        </w:rPr>
      </w:pPr>
    </w:p>
    <w:p>
      <w:pPr>
        <w:ind w:left="980" w:right="160" w:firstLine="391"/>
        <w:spacing w:after="0" w:line="258" w:lineRule="auto"/>
        <w:tabs>
          <w:tab w:leader="none" w:pos="1648"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 (ii) every other Default and Event of Default with respect to Securities of that series, other than the non-payment of the principal of Securities of that series which have become due solely by such acceleration, have been cured or waived as provided in Section 7.06.</w:t>
      </w:r>
    </w:p>
    <w:p>
      <w:pPr>
        <w:spacing w:after="0" w:line="75"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60"/>
          </w:cols>
          <w:pgMar w:left="880" w:top="270" w:right="459" w:bottom="1440" w:gutter="0" w:footer="0" w:header="0"/>
        </w:sectPr>
      </w:pPr>
    </w:p>
    <w:bookmarkStart w:id="78" w:name="page79"/>
    <w:bookmarkEnd w:id="78"/>
    <w:p>
      <w:pPr>
        <w:ind w:right="40" w:firstLine="419"/>
        <w:spacing w:after="0" w:line="256" w:lineRule="auto"/>
        <w:tabs>
          <w:tab w:leader="none" w:pos="6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Default (other than an Event of Default specified in Section 7.01(e) or 7.01(f)), notice of acceleration or instruction to the Trustee to provide a notice of Default, notice of acceleration or take any other action (a “Noteholder Direction”) provided by any one or more Holders (other than a Regulated Bank or any Affiliates thereof) (each, a “Directing Holder”) must be accompanied by a written representation from each such Holder delivered to the Company and the Trustee that such Holder is not (or, in the case such Holder is DTC or its nominee, that such Holder is being instructed solely by beneficial owners that are not) Net Short (a “Position Representation”), which representation, in the case of a Noteholder Direction relating to the delivery of a notice of Default shall be deemed a continuing representation until the resulting Event of Default is cured or otherwise ceases to exist or the applicable series of Securities are accelerated. In addition, each Directing Holder is deemed, at the time of providing a Noteholder Direction, to covenant to provide the Company with such other information as the Company may reasonably request from time to time in order to verify the accuracy of such Directing Holder’s Position Representation within five Business Days of request therefor (a “Verification Covenant”). In any case in which the Holder is DTC or its nominee, any Position Representation or Verification Covenant required hereunder shall be provided by the beneficial owner of the Securities in lieu of DTC or its nominee, and DTC shall be entitled to conclusively rely on such Position Representation and Verification Covenant in delivering its direction to the Trustee.</w:t>
      </w:r>
    </w:p>
    <w:p>
      <w:pPr>
        <w:spacing w:after="0" w:line="81"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delivery of a Noteholder Direction, but prior to acceleration of the Securities of the applicable series,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or Event of Default shall be automatically stayed and the cure period with respect to such Default or Event of Default shall be automatically reinstituted and any remedy stayed pending a final and non-appealable determination of a court of competent jurisdiction on such matter. If, following the delivery of a Noteholder Direction, but prior to acceleration of the Securities of the applicable series, the Company provides to the Trustee an Officer’s Certificate stating that a Directing Holder failed to satisfy its Verification Covenant, the cure period with respect to such Default or Event of Default shall be automatically stayed and the cure period with respect to any Default or Event of Default that resulted from the applicable Noteholder Direction shall be automatically reinstituted and any remedy stayed pending satisfaction of such Verification Covenant.</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60"/>
          </w:cols>
          <w:pgMar w:left="880" w:top="270" w:right="459" w:bottom="1440" w:gutter="0" w:footer="0" w:header="0"/>
        </w:sectPr>
      </w:pPr>
    </w:p>
    <w:bookmarkStart w:id="79" w:name="page80"/>
    <w:bookmarkEnd w:id="79"/>
    <w:p>
      <w:pPr>
        <w:ind w:left="4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breach of the Position Representation shall result in such Holder’s participation in such Noteholder Direction being disregarded; and if, without the participation of such Holder, the percentage of Securities of the applicable series held by the remaining Holders that provided such Noteholder Direction would have been insufficient to validly provide such Noteholder Direction, such Noteholder Direction shall be void ab initio (other than any indemnity such Directing Holder may have offered the Trustee), with the effect that such Default or Event of Default shall be deemed never to have occurred, acceleration voided and the Trustee shall be deemed not to have received such Noteholder Direction or any notice of such Default or Event of Default.</w:t>
      </w:r>
    </w:p>
    <w:p>
      <w:pPr>
        <w:spacing w:after="0" w:line="79" w:lineRule="exact"/>
        <w:rPr>
          <w:sz w:val="20"/>
          <w:szCs w:val="20"/>
          <w:color w:val="auto"/>
        </w:rPr>
      </w:pPr>
    </w:p>
    <w:p>
      <w:pPr>
        <w:ind w:left="440" w:right="120" w:firstLine="419"/>
        <w:spacing w:after="0" w:line="312" w:lineRule="auto"/>
        <w:tabs>
          <w:tab w:leader="none" w:pos="111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foregoing paragraphs.</w:t>
      </w:r>
    </w:p>
    <w:p>
      <w:pPr>
        <w:spacing w:after="0" w:line="31" w:lineRule="exact"/>
        <w:rPr>
          <w:rFonts w:ascii="Times New Roman" w:cs="Times New Roman" w:eastAsia="Times New Roman" w:hAnsi="Times New Roman"/>
          <w:sz w:val="17"/>
          <w:szCs w:val="17"/>
          <w:color w:val="auto"/>
        </w:rPr>
      </w:pPr>
    </w:p>
    <w:p>
      <w:pPr>
        <w:ind w:left="440" w:right="180" w:firstLine="419"/>
        <w:spacing w:after="0" w:line="258"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not have any liability to the Company, any Holder or any other Person in acting in good faith on a Noteholder Direction.</w:t>
      </w:r>
    </w:p>
    <w:p>
      <w:pPr>
        <w:spacing w:after="0" w:line="75"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0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for a failure to report or failure to deliver a required certificate in connection with another default (the “Initial Default”) occurs, then at the time such Initial Default is cured, such Default for a failure to report or failure to deliver a required certificate in connection with another default that resulted solely because of that Initial Default shall also be cured without any further action.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0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for the failure to comply with the time periods prescribed in Section 10.02 hereof or otherwise to deliver any notice or certificate pursuant to any other provision of this Indenture shall be deemed to be cured upon the delivery of any such report required by such provision or such notice or certificate, as applicable, even though such delivery is not within the prescribed period specified in this Indenture. Any time period specified in this Indenture to cure any actual or alleged Default or Event of Default may be extended or stayed by a court of competent jurisdiction.</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80" w:name="page81"/>
    <w:bookmarkEnd w:id="80"/>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Trustee as Attorney-in-Fact</w:t>
      </w:r>
      <w:r>
        <w:rPr>
          <w:rFonts w:ascii="Times New Roman" w:cs="Times New Roman" w:eastAsia="Times New Roman" w:hAnsi="Times New Roman"/>
          <w:sz w:val="18"/>
          <w:szCs w:val="18"/>
          <w:color w:val="auto"/>
        </w:rPr>
        <w:t xml:space="preserve">.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81" w:name="page82"/>
    <w:bookmarkEnd w:id="8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 Any moneys or properties collected by the Trustee with respect to a series of Securities under this Article VII or, after an Event of Default, any money or other property distributable in respect of the Company’s obligations under this Indenture,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To the payment of all amounts due to the Trustee and any predecessor trustee hereunder under Section 11.01(a).</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surplus then remaining shall be paid to the Company or as directed by a court of competent jurisdiction.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Control by Securityholders; Waiver of Past Defaults</w:t>
      </w:r>
      <w:r>
        <w:rPr>
          <w:rFonts w:ascii="Times New Roman" w:cs="Times New Roman" w:eastAsia="Times New Roman" w:hAnsi="Times New Roman"/>
          <w:sz w:val="18"/>
          <w:szCs w:val="18"/>
          <w:color w:val="auto"/>
        </w:rPr>
        <w:t xml:space="preserve">.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82" w:name="page83"/>
    <w:bookmarkEnd w:id="8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xml:space="preserve">.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33% or more in principal amount of the Securities of such series then Outstanding shall have requested the Trustee in writing to take action in respect of the matter complained of, and unless also there shall have been offered to the Trustee security and indemnity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9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xml:space="preserve">.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9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83" w:name="page84"/>
    <w:bookmarkEnd w:id="8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7"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of Securityholders</w:t>
      </w:r>
      <w:r>
        <w:rPr>
          <w:rFonts w:ascii="Times New Roman" w:cs="Times New Roman" w:eastAsia="Times New Roman" w:hAnsi="Times New Roman"/>
          <w:sz w:val="18"/>
          <w:szCs w:val="18"/>
          <w:color w:val="auto"/>
        </w:rPr>
        <w:t xml:space="preserve">. Whenever in this Indenture it 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Proof of Execution or Holding of Securities</w:t>
      </w:r>
      <w:r>
        <w:rPr>
          <w:rFonts w:ascii="Times New Roman" w:cs="Times New Roman" w:eastAsia="Times New Roman" w:hAnsi="Times New Roman"/>
          <w:sz w:val="18"/>
          <w:szCs w:val="18"/>
          <w:color w:val="auto"/>
        </w:rPr>
        <w:t>. Proof of the execution of any instrument by a Securityholder or his, her or its agent or proxy and proof of the holding by any Person of any of the Securities shall be sufficient if made in the following manner: 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81" w:lineRule="exact"/>
        <w:rPr>
          <w:sz w:val="20"/>
          <w:szCs w:val="20"/>
          <w:color w:val="auto"/>
        </w:rPr>
      </w:pPr>
    </w:p>
    <w:p>
      <w:pPr>
        <w:ind w:left="1100" w:hanging="241"/>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of any series shall be proved by the Register of such Securities or by a certificate of the Registrar for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of any Holders’ meeting shall be proved in the manner provided in Section 9.06.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84" w:name="page85"/>
    <w:bookmarkEnd w:id="84"/>
    <w:p>
      <w:pPr>
        <w:ind w:right="40" w:firstLine="419"/>
        <w:spacing w:after="0" w:line="282" w:lineRule="auto"/>
        <w:tabs>
          <w:tab w:leader="none" w:pos="6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require such additional proof of any matter referred to in this Section 8.02 as it shall deem appropriate or necessary, so long as the request is a reasonable one.</w:t>
      </w:r>
    </w:p>
    <w:p>
      <w:pPr>
        <w:spacing w:after="0" w:line="53" w:lineRule="exact"/>
        <w:rPr>
          <w:rFonts w:ascii="Times New Roman" w:cs="Times New Roman" w:eastAsia="Times New Roman" w:hAnsi="Times New Roman"/>
          <w:sz w:val="18"/>
          <w:szCs w:val="18"/>
          <w:color w:val="auto"/>
        </w:rPr>
      </w:pPr>
    </w:p>
    <w:p>
      <w:pPr>
        <w:jc w:val="both"/>
        <w:ind w:right="120" w:firstLine="419"/>
        <w:spacing w:after="0" w:line="256" w:lineRule="auto"/>
        <w:tabs>
          <w:tab w:leader="none" w:pos="6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19"/>
        <w:spacing w:after="0" w:line="256" w:lineRule="auto"/>
        <w:tabs>
          <w:tab w:leader="none" w:pos="6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Trustee, the Paying Agent, the Registrar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the Paying Agent, the Registrar nor any of their agents shall be affected by notice to the contrary and shall have no obligations to the beneficial owners thereof. All payments made to any Holder, or upon his, her or its order, shall be valid, and, to the extent of the sum or sums paid, effectual to satisfy and discharge the liability for moneys payable upon such Security.</w:t>
      </w:r>
    </w:p>
    <w:p>
      <w:pPr>
        <w:spacing w:after="0" w:line="79"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Trustee, the Paying Agent, the Registrar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 All notices and communications to be given to the Holders and all payments to be made to Holders under the Securities and this Indenture shall be given or made only to or upon the order of the registered Holders (which shall be the Depositary or its nominee in the case of the Global Security). The rights of beneficial owners in the Global Securities shall be exercised only through the Depositary subject to the applicable procedures.</w:t>
      </w:r>
    </w:p>
    <w:p>
      <w:pPr>
        <w:spacing w:after="0" w:line="79" w:lineRule="exact"/>
        <w:rPr>
          <w:rFonts w:ascii="Times New Roman" w:cs="Times New Roman" w:eastAsia="Times New Roman" w:hAnsi="Times New Roman"/>
          <w:sz w:val="18"/>
          <w:szCs w:val="18"/>
          <w:color w:val="auto"/>
        </w:rPr>
      </w:pPr>
    </w:p>
    <w:p>
      <w:pPr>
        <w:ind w:firstLine="419"/>
        <w:spacing w:after="0" w:line="255" w:lineRule="auto"/>
        <w:tabs>
          <w:tab w:leader="none" w:pos="6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Trustee, the Paying Agent, the Registrar and any of their agents shall be entitled to rely and shall be fully protected in relying upon information furnished by the Depositary with respect to its members, participants and any beneficial owners. None of the Company, the Trustee, the Paying Agent, the Registrar nor any of their agents shall have any responsibility or liability for any acts or omissions of the Depositary with respect to any such Global Security, for the records of any such depositary, including records in respect of beneficial ownership interests in respect of any such Global Security, for any transactions between the Depositary and any Member or between or among the Depositary, any such Member and/or any holder or owner of a beneficial interest in such Global Security, or for any transfers of beneficial interests in any such Global Security.</w:t>
      </w:r>
    </w:p>
    <w:p>
      <w:pPr>
        <w:spacing w:after="0" w:line="1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480"/>
          </w:cols>
          <w:pgMar w:left="880" w:top="270" w:right="539" w:bottom="1440" w:gutter="0" w:footer="0" w:header="0"/>
        </w:sectPr>
      </w:pPr>
    </w:p>
    <w:bookmarkStart w:id="85" w:name="page86"/>
    <w:bookmarkEnd w:id="85"/>
    <w:p>
      <w:pPr>
        <w:ind w:left="440" w:right="80" w:firstLine="419"/>
        <w:spacing w:after="0" w:line="258"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with respect to any Global Security, nothing herein shall prevent the Company, the Trustee, or any agent of the Company or the Trustee from giving effect to any written certification, proxy or other authorization furnished by any Depositary (or its nominee), as a Holder, with respect to such Global Security or shall impair, as between such Depositary and owners of beneficial interests in such Global Security, the operation of customary practices governing the exercise of the rights of such Depositary (or its nominee) as Holder of such Global Security.</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Effect of Consents</w:t>
      </w:r>
      <w:r>
        <w:rPr>
          <w:rFonts w:ascii="Times New Roman" w:cs="Times New Roman" w:eastAsia="Times New Roman" w:hAnsi="Times New Roman"/>
          <w:sz w:val="18"/>
          <w:szCs w:val="18"/>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SECURITYHOLDERS’ MEETINGS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Purposes of Meetings</w:t>
      </w:r>
      <w:r>
        <w:rPr>
          <w:rFonts w:ascii="Times New Roman" w:cs="Times New Roman" w:eastAsia="Times New Roman" w:hAnsi="Times New Roman"/>
          <w:sz w:val="18"/>
          <w:szCs w:val="18"/>
          <w:color w:val="auto"/>
        </w:rPr>
        <w:t>. A meeting of Securityholders of any or all series may be called at any time and from time to time pursuant to the provisions of this Article IX for any of the following purposes:</w:t>
      </w:r>
    </w:p>
    <w:p>
      <w:pPr>
        <w:spacing w:after="0" w:line="54" w:lineRule="exact"/>
        <w:rPr>
          <w:sz w:val="20"/>
          <w:szCs w:val="20"/>
          <w:color w:val="auto"/>
        </w:rPr>
      </w:pPr>
    </w:p>
    <w:p>
      <w:pPr>
        <w:ind w:left="440" w:right="140" w:firstLine="419"/>
        <w:spacing w:after="0" w:line="266" w:lineRule="auto"/>
        <w:tabs>
          <w:tab w:leader="none" w:pos="11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XI;</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of indentures supplemental hereto pursuant to the provisions of Section 14.02; or</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Call of Meetings by Trustee</w:t>
      </w:r>
      <w:r>
        <w:rPr>
          <w:rFonts w:ascii="Times New Roman" w:cs="Times New Roman" w:eastAsia="Times New Roman" w:hAnsi="Times New Roman"/>
          <w:sz w:val="18"/>
          <w:szCs w:val="18"/>
          <w:color w:val="auto"/>
        </w:rPr>
        <w:t>. The Trustee may at any time call a meeting of all Securityholders of any or all series that may be affected by the action proposed to be taken, or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or delivered at the expense of the Company to Holders of Securities of such series at their addresses as they shall appear on the Register of the Company. Such notice shall be mailed or delivered not less than 20 nor more than 90 days prior to the date fixed for the meeting.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86" w:name="page87"/>
    <w:bookmarkEnd w:id="86"/>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Call of Meetings by Company or Securityholders</w:t>
      </w:r>
      <w:r>
        <w:rPr>
          <w:rFonts w:ascii="Times New Roman" w:cs="Times New Roman" w:eastAsia="Times New Roman" w:hAnsi="Times New Roman"/>
          <w:sz w:val="18"/>
          <w:szCs w:val="18"/>
          <w:color w:val="auto"/>
        </w:rPr>
        <w:t>. In case at any time the Company or the Holders of at least 33%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mailed or delivered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Qualifications for Voting</w:t>
      </w:r>
      <w:r>
        <w:rPr>
          <w:rFonts w:ascii="Times New Roman" w:cs="Times New Roman" w:eastAsia="Times New Roman" w:hAnsi="Times New Roman"/>
          <w:sz w:val="18"/>
          <w:szCs w:val="18"/>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Regulation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40" w:firstLine="419"/>
        <w:spacing w:after="0" w:line="261" w:lineRule="auto"/>
        <w:tabs>
          <w:tab w:leader="none" w:pos="11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of Securityholders of a series, each Securityholder of such series or such Securityholder’s proxy shall be entitled to one vote for each $1,000 principal amount of Securities of such series Outstanding held or represented by each Securityholder;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less than $1,000 shall be entitled to a fraction of one vote which is equal to the fraction that the principal amount of such Security bears to</w:t>
      </w:r>
    </w:p>
    <w:p>
      <w:pPr>
        <w:spacing w:after="0" w:line="27"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$1,000. The chairman of the meeting shall have no right to vote other than by virtue of Securities of such series held by his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90"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or delivered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 Delay of Rights by Meeting</w:t>
      </w:r>
      <w:r>
        <w:rPr>
          <w:rFonts w:ascii="Times New Roman" w:cs="Times New Roman" w:eastAsia="Times New Roman" w:hAnsi="Times New Roman"/>
          <w:sz w:val="18"/>
          <w:szCs w:val="18"/>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REPORTS BY THE COMPANY AND THE TRUSTEE AND SECURITYHOLDERS’ LISTS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80" w:firstLine="419"/>
        <w:spacing w:after="0" w:line="261"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w:t>
      </w:r>
    </w:p>
    <w:p>
      <w:pPr>
        <w:ind w:left="4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313(a) of the Trust Indenture Act, the Trustee shall, within 60 days after each anniversary following the date of this Indenture deliver to Holders a brief report which complies with the provisions of such Section 313(a).</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at the time of the transmission to the Holders of Securities of any report pursuant to the provisions of this</w:t>
      </w:r>
    </w:p>
    <w:p>
      <w:pPr>
        <w:spacing w:after="0" w:line="27" w:lineRule="exact"/>
        <w:rPr>
          <w:sz w:val="20"/>
          <w:szCs w:val="20"/>
          <w:color w:val="auto"/>
        </w:rPr>
      </w:pPr>
    </w:p>
    <w:p>
      <w:pPr>
        <w:jc w:val="both"/>
        <w:ind w:left="440" w:right="40"/>
        <w:spacing w:after="0" w:line="255" w:lineRule="auto"/>
        <w:rPr>
          <w:sz w:val="20"/>
          <w:szCs w:val="20"/>
          <w:color w:val="auto"/>
        </w:rPr>
      </w:pPr>
      <w:r>
        <w:rPr>
          <w:rFonts w:ascii="Times New Roman" w:cs="Times New Roman" w:eastAsia="Times New Roman" w:hAnsi="Times New Roman"/>
          <w:sz w:val="18"/>
          <w:szCs w:val="18"/>
          <w:color w:val="auto"/>
        </w:rPr>
        <w:t>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78" w:lineRule="exact"/>
        <w:rPr>
          <w:sz w:val="20"/>
          <w:szCs w:val="20"/>
          <w:color w:val="auto"/>
        </w:rPr>
      </w:pPr>
    </w:p>
    <w:p>
      <w:pPr>
        <w:ind w:left="440" w:right="440" w:firstLine="419"/>
        <w:spacing w:after="0" w:line="282" w:lineRule="auto"/>
        <w:tabs>
          <w:tab w:leader="none" w:pos="11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the Trustee for all expenses incurred in the preparation and transmission of any report pursuant to the provisions of this Section 10.01 and of Section 10.02 as described in the fee schedule between the Trustee and the Company.</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 xml:space="preserve">. The Company shall file with the Trustee and the SEC, and transmit to Holders, such information, documents and other reports, and such summaries thereof, as may be required pursuant to the Trust Indenture Act at the times and in the manner provided in the Trust Indenture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available on EDGAR, any such information, documents or reports required to be filed with the SEC pursuant to Section 13 or 15(d) of the Exchange Act shall be filed with the Trustee within 30 days after the same is filed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failure of the Company to comply with this provision shall not constitute a Default or an Event of Default and (ii) only the Trustee, acting at the written direction of Holders of a majority of the aggregate principal amount of the Securities of such series then Outstanding, may institute a legal proceeding against the Company to enforce such delivery obligation.</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duty to examine any of such reports, information and documents or to determine their compliance with any of the provisions hereof, the sole duty of the Trustee in respect thereof to place them in its files and make them available for inspection by Holders.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Securityholders’ Lists</w:t>
      </w:r>
      <w:r>
        <w:rPr>
          <w:rFonts w:ascii="Times New Roman" w:cs="Times New Roman" w:eastAsia="Times New Roman" w:hAnsi="Times New Roman"/>
          <w:sz w:val="18"/>
          <w:szCs w:val="18"/>
          <w:color w:val="auto"/>
        </w:rPr>
        <w:t>. The Company covenants and agrees that it will furnish or cause to be furnished to the Trustee:</w:t>
      </w:r>
    </w:p>
    <w:p>
      <w:pPr>
        <w:spacing w:after="0" w:line="117" w:lineRule="exact"/>
        <w:rPr>
          <w:sz w:val="20"/>
          <w:szCs w:val="20"/>
          <w:color w:val="auto"/>
        </w:rPr>
      </w:pPr>
    </w:p>
    <w:p>
      <w:pPr>
        <w:ind w:left="440" w:right="140" w:firstLine="419"/>
        <w:spacing w:after="0" w:line="266"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6" w:right="479" w:bottom="1440" w:gutter="0" w:footer="0" w:header="0"/>
        </w:sectPr>
      </w:pPr>
    </w:p>
    <w:bookmarkStart w:id="89" w:name="page90"/>
    <w:bookmarkEnd w:id="89"/>
    <w:p>
      <w:pPr>
        <w:ind w:left="440" w:right="160" w:firstLine="419"/>
        <w:spacing w:after="0" w:line="266"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such other times as the Trustee may request in writing, within 30 days after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 long as the Trustee shall be the Registrar, such lists shall not be required to be furnished.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CONCERNING THE TRUSTEE</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Rights of Trustees; Compensation and Indemnity</w:t>
      </w:r>
      <w:r>
        <w:rPr>
          <w:rFonts w:ascii="Times New Roman" w:cs="Times New Roman" w:eastAsia="Times New Roman" w:hAnsi="Times New Roman"/>
          <w:sz w:val="18"/>
          <w:szCs w:val="18"/>
          <w:color w:val="auto"/>
        </w:rPr>
        <w:t>. The Trustee accepts the trusts created by this Indenture upon the terms and conditions hereof, including the following, to all of which the parties hereto and the Holders from time to time of the Securities agree:</w:t>
      </w:r>
    </w:p>
    <w:p>
      <w:pPr>
        <w:spacing w:after="0" w:line="54" w:lineRule="exact"/>
        <w:rPr>
          <w:sz w:val="20"/>
          <w:szCs w:val="20"/>
          <w:color w:val="auto"/>
        </w:rPr>
      </w:pPr>
    </w:p>
    <w:p>
      <w:pPr>
        <w:ind w:left="440" w:firstLine="419"/>
        <w:spacing w:after="0" w:line="256" w:lineRule="auto"/>
        <w:tabs>
          <w:tab w:leader="none" w:pos="11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as described in the fee schedule between the Trustee and the Company (including the reasonable expenses and disbursements of its agents and counsel), except any such expense, disbursement or advance as may be attributable to its own gross negligence or willful misconduct.</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also agrees to indemnify each of the Trustee and any predecessor Trustee, and their officers, agents, directors and employees, hereunder for, and to hold them harmless against, any and all loss, liability, damage, claim, or expense, including fees and expenses of counsel, including taxes (other than taxes based upon, measured by or determined by the income of the Trustee), incurred without its own gross negligence or willful misconduct, arising out of or in connection with the acceptance or administration of the trust or trusts hereunder and the performance of its duties (including in any agent capacity in which it acts), as well as the costs and expenses of defending itself against any claim (whether asserted by the Company, or any Holder or any other Person) or liability in connection with the exercise or performance of any of its powers or duties hereunder, or in connection with enforcing the provisions of this Section 11.01(a), except those attributable to its gross negligence or willful misconduct.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11.01(a), the Trustee shall have a lien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Section 11.01(a) shall survive the resignation or removal of the Trustee, the termination for any reason of this Indenture and any satisfaction and discharge of the Indenture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90" w:name="page91"/>
    <w:bookmarkEnd w:id="90"/>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“Trustee” for purposes of this Section shall include any predecessor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negligence, willful misconduct or bad faith of any Trustee hereunder shall not affect the rights of any other Trustee hereunder.</w:t>
      </w:r>
    </w:p>
    <w:p>
      <w:pPr>
        <w:spacing w:after="0" w:line="160" w:lineRule="exact"/>
        <w:rPr>
          <w:sz w:val="20"/>
          <w:szCs w:val="20"/>
          <w:color w:val="auto"/>
        </w:rPr>
      </w:pPr>
    </w:p>
    <w:p>
      <w:pPr>
        <w:ind w:left="440" w:right="60" w:firstLine="419"/>
        <w:spacing w:after="0" w:line="312" w:lineRule="auto"/>
        <w:tabs>
          <w:tab w:leader="none" w:pos="111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31" w:lineRule="exact"/>
        <w:rPr>
          <w:rFonts w:ascii="Times New Roman" w:cs="Times New Roman" w:eastAsia="Times New Roman" w:hAnsi="Times New Roman"/>
          <w:sz w:val="17"/>
          <w:szCs w:val="17"/>
          <w:color w:val="auto"/>
        </w:rPr>
      </w:pPr>
    </w:p>
    <w:p>
      <w:pPr>
        <w:ind w:left="440" w:right="20" w:firstLine="419"/>
        <w:spacing w:after="0" w:line="253" w:lineRule="auto"/>
        <w:tabs>
          <w:tab w:leader="none" w:pos="11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in any manner whatsoever for the correctness of the recitals herein or in the Securities (except its certificates of authentication thereon) contained, all of which are made solely by the Company, and the Trustee or any Authenticating Agent assumes no responsibility for their correctness.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The Trustee shall not be accountable for the use or application by the Company of any Securities, or the proceeds of any Securities, authenticated and delivered by the Trustee in conformity with the provisions of this Indenture. The Trustee shall not be responsible to make any calculation with respect to any matter under this Indenture. The Trustee shall have no duty to monitor or investigate the Company’s compliance with or the breach of, or cause to be performed or observed, any representation, warranty, or covenant, or agreement of any Person, other than the Trustee, made in this Indenture.</w:t>
      </w:r>
    </w:p>
    <w:p>
      <w:pPr>
        <w:spacing w:after="0" w:line="86"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advice of counsel shall be full and complete authorization and protection in respect of any action taken or suffered by the Trustee hereunder in good faith and in accordance with such advice of counsel.</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and/or an Opinion of Counsel (unless other evidence in respect thereof be herein specifically prescribed).</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08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8" w:right="459" w:bottom="1440" w:gutter="0" w:footer="0" w:header="0"/>
        </w:sectPr>
      </w:pPr>
    </w:p>
    <w:bookmarkStart w:id="91" w:name="page92"/>
    <w:bookmarkEnd w:id="91"/>
    <w:p>
      <w:pPr>
        <w:ind w:right="140" w:firstLine="419"/>
        <w:spacing w:after="0" w:line="282" w:lineRule="auto"/>
        <w:tabs>
          <w:tab w:leader="none" w:pos="6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53"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71" w:lineRule="exact"/>
        <w:rPr>
          <w:rFonts w:ascii="Times New Roman" w:cs="Times New Roman" w:eastAsia="Times New Roman" w:hAnsi="Times New Roman"/>
          <w:sz w:val="18"/>
          <w:szCs w:val="18"/>
          <w:color w:val="auto"/>
        </w:rPr>
      </w:pPr>
    </w:p>
    <w:p>
      <w:pPr>
        <w:ind w:right="200" w:firstLine="419"/>
        <w:spacing w:after="0" w:line="289" w:lineRule="auto"/>
        <w:tabs>
          <w:tab w:leader="none" w:pos="63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conclusively rely and shall be protected in acting or refraining from acting upon any resolution, certificate, statement, instrument, opinion, report, notice, request, direction, consent, order, approval, bond, debenture, note, other evidence of indebtedness or other paper or document reasonably believed by it to be genuine and to have been signed or presented by the proper party or parties.</w:t>
      </w:r>
    </w:p>
    <w:p>
      <w:pPr>
        <w:spacing w:after="0" w:line="49" w:lineRule="exact"/>
        <w:rPr>
          <w:rFonts w:ascii="Times New Roman" w:cs="Times New Roman" w:eastAsia="Times New Roman" w:hAnsi="Times New Roman"/>
          <w:sz w:val="17"/>
          <w:szCs w:val="17"/>
          <w:color w:val="auto"/>
        </w:rPr>
      </w:pPr>
    </w:p>
    <w:p>
      <w:pPr>
        <w:ind w:right="100" w:firstLine="419"/>
        <w:spacing w:after="0" w:line="261" w:lineRule="auto"/>
        <w:tabs>
          <w:tab w:leader="none" w:pos="63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satisfactory to it against the costs, expenses and liabilities which may be incurred by it therein or thereby.</w:t>
      </w:r>
    </w:p>
    <w:p>
      <w:pPr>
        <w:spacing w:after="0" w:line="71" w:lineRule="exact"/>
        <w:rPr>
          <w:rFonts w:ascii="Times New Roman" w:cs="Times New Roman" w:eastAsia="Times New Roman" w:hAnsi="Times New Roman"/>
          <w:sz w:val="18"/>
          <w:szCs w:val="18"/>
          <w:color w:val="auto"/>
        </w:rPr>
      </w:pPr>
    </w:p>
    <w:p>
      <w:pPr>
        <w:ind w:right="200" w:firstLine="419"/>
        <w:spacing w:after="0" w:line="282" w:lineRule="auto"/>
        <w:tabs>
          <w:tab w:leader="none" w:pos="6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believed by it to be authorized or within its discretion or within the rights or powers conferred upon it by this Indenture.</w:t>
      </w:r>
    </w:p>
    <w:p>
      <w:pPr>
        <w:spacing w:after="0" w:line="53" w:lineRule="exact"/>
        <w:rPr>
          <w:rFonts w:ascii="Times New Roman" w:cs="Times New Roman" w:eastAsia="Times New Roman" w:hAnsi="Times New Roman"/>
          <w:sz w:val="18"/>
          <w:szCs w:val="18"/>
          <w:color w:val="auto"/>
        </w:rPr>
      </w:pPr>
    </w:p>
    <w:p>
      <w:pPr>
        <w:ind w:right="100" w:firstLine="419"/>
        <w:spacing w:after="0" w:line="261" w:lineRule="auto"/>
        <w:tabs>
          <w:tab w:leader="none" w:pos="63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or notice of any Default or Event of Default unless written notice of such Default or Event of Default from the Company or the Holders of 33% or more in aggregate principal amount of Securities of the applicable series Outstanding is received by a Responsible Officer of the Trustee at the Corporate Trust Office of the Trustee, and such notice references the Securities and this Indenture.</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approval, bond, debenture, note, other evidence of indebtedness or other paper or document, but the Trustee may, but shall not be required to, make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0"/>
          </w:cols>
          <w:pgMar w:left="880" w:top="270" w:right="459" w:bottom="1440" w:gutter="0" w:footer="0" w:header="0"/>
        </w:sectPr>
      </w:pPr>
    </w:p>
    <w:bookmarkStart w:id="92" w:name="page93"/>
    <w:bookmarkEnd w:id="92"/>
    <w:p>
      <w:pPr>
        <w:ind w:right="20" w:firstLine="419"/>
        <w:spacing w:after="0" w:line="282" w:lineRule="auto"/>
        <w:tabs>
          <w:tab w:leader="none" w:pos="67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53"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which certificate may be signed by any person authorized to sign an Officer’s Certificate, including any person specified as so authorized in any such certificate previously delivered and not superseded.</w:t>
      </w:r>
    </w:p>
    <w:p>
      <w:pPr>
        <w:spacing w:after="0" w:line="67"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67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right="20" w:firstLine="419"/>
        <w:spacing w:after="0" w:line="258" w:lineRule="auto"/>
        <w:tabs>
          <w:tab w:leader="none" w:pos="6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or liable for any failure or delay in the performance of its obligations under this Indenture arising out of or caused, directly or indirectly, by circumstances beyond its control, including, without limitation, any provision of any law or regulation or any act of any governmental authority,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5"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to do things enumerated in this Indenture shall not be construed as a duty to take such 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19"/>
        <w:spacing w:after="0" w:line="261" w:lineRule="auto"/>
        <w:tabs>
          <w:tab w:leader="none" w:pos="66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71" w:lineRule="exact"/>
        <w:rPr>
          <w:rFonts w:ascii="Times New Roman" w:cs="Times New Roman" w:eastAsia="Times New Roman" w:hAnsi="Times New Roman"/>
          <w:sz w:val="18"/>
          <w:szCs w:val="18"/>
          <w:color w:val="auto"/>
        </w:rPr>
      </w:pPr>
    </w:p>
    <w:p>
      <w:pPr>
        <w:ind w:right="200" w:firstLine="419"/>
        <w:spacing w:after="0" w:line="282" w:lineRule="auto"/>
        <w:tabs>
          <w:tab w:leader="none" w:pos="6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an Event of Default specified in Section 7.01 with respect to the Securities of any series shall have happened which at the time is continuing,</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60"/>
          </w:cols>
          <w:pgMar w:left="880" w:top="270" w:right="459" w:bottom="1440" w:gutter="0" w:footer="0" w:header="0"/>
        </w:sectPr>
      </w:pPr>
    </w:p>
    <w:bookmarkStart w:id="93" w:name="page94"/>
    <w:bookmarkEnd w:id="93"/>
    <w:p>
      <w:pPr>
        <w:ind w:left="980" w:firstLine="408"/>
        <w:spacing w:after="0" w:line="254" w:lineRule="auto"/>
        <w:tabs>
          <w:tab w:leader="none" w:pos="159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 (ii) 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8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53" w:lineRule="exact"/>
        <w:rPr>
          <w:rFonts w:ascii="Times New Roman" w:cs="Times New Roman" w:eastAsia="Times New Roman" w:hAnsi="Times New Roman"/>
          <w:sz w:val="18"/>
          <w:szCs w:val="18"/>
          <w:color w:val="auto"/>
        </w:rPr>
      </w:pPr>
    </w:p>
    <w:p>
      <w:pPr>
        <w:ind w:left="980" w:right="40" w:firstLine="408"/>
        <w:spacing w:after="0" w:line="256" w:lineRule="auto"/>
        <w:tabs>
          <w:tab w:leader="none" w:pos="15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(c) shall not be construed to limit the effect of Subsections (a) or (d) of this Section; (ii) the Trustee shall not be liable to any Holder of Securities or to any other Person for any error of judgment made in good faith by a Responsible Officer or Officers of the Trustee, unless it shall be proved that the Trustee was negligent in ascertaining the pertinent facts; and (iii) 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79"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94" w:name="page95"/>
    <w:bookmarkEnd w:id="9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80" w:firstLine="419"/>
        <w:spacing w:after="0" w:line="261" w:lineRule="auto"/>
        <w:tabs>
          <w:tab w:leader="none" w:pos="11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6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comply with TIA Section 310(b);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excluded from the operation of TIA</w:t>
      </w:r>
    </w:p>
    <w:p>
      <w:pPr>
        <w:spacing w:after="0" w:line="29"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8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Resignation and Notice; Removal</w:t>
      </w:r>
      <w:r>
        <w:rPr>
          <w:rFonts w:ascii="Times New Roman" w:cs="Times New Roman" w:eastAsia="Times New Roman" w:hAnsi="Times New Roman"/>
          <w:sz w:val="18"/>
          <w:szCs w:val="18"/>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at any time:</w:t>
      </w:r>
    </w:p>
    <w:p>
      <w:pPr>
        <w:spacing w:after="0" w:line="131" w:lineRule="exact"/>
        <w:rPr>
          <w:sz w:val="20"/>
          <w:szCs w:val="20"/>
          <w:color w:val="auto"/>
        </w:rPr>
      </w:pPr>
    </w:p>
    <w:p>
      <w:pPr>
        <w:jc w:val="both"/>
        <w:ind w:left="960" w:right="80" w:hanging="532"/>
        <w:spacing w:after="0" w:line="266"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81"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95" w:name="page96"/>
    <w:bookmarkEnd w:id="95"/>
    <w:p>
      <w:pPr>
        <w:ind w:left="960" w:hanging="532"/>
        <w:spacing w:after="0" w:line="255"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themselves and all others similarly situated, petition any court of competent jurisdiction for the removal of the Trustee with respect to all Securities and the appointment of a successor Trustee or Trustees.</w:t>
      </w:r>
    </w:p>
    <w:p>
      <w:pPr>
        <w:spacing w:after="0" w:line="18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any time there shall be only one Trustee with respect to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Successor Trustee by 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60" w:firstLine="419"/>
        <w:spacing w:after="0" w:line="253" w:lineRule="auto"/>
        <w:tabs>
          <w:tab w:leader="none" w:pos="11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or delivered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96" w:name="page97"/>
    <w:bookmarkEnd w:id="96"/>
    <w:p>
      <w:pPr>
        <w:ind w:left="440" w:right="80" w:firstLine="419"/>
        <w:spacing w:after="0" w:line="255"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Trustee with respect to the Securities of any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80" w:lineRule="exact"/>
        <w:rPr>
          <w:rFonts w:ascii="Times New Roman" w:cs="Times New Roman" w:eastAsia="Times New Roman" w:hAnsi="Times New Roman"/>
          <w:sz w:val="18"/>
          <w:szCs w:val="18"/>
          <w:color w:val="auto"/>
        </w:rPr>
      </w:pPr>
    </w:p>
    <w:p>
      <w:pPr>
        <w:ind w:left="440" w:firstLine="419"/>
        <w:spacing w:after="0" w:line="253" w:lineRule="auto"/>
        <w:tabs>
          <w:tab w:leader="none" w:pos="11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w:t>
      </w:r>
    </w:p>
    <w:p>
      <w:pPr>
        <w:spacing w:after="0" w:line="2" w:lineRule="exact"/>
        <w:rPr>
          <w:rFonts w:ascii="Times New Roman" w:cs="Times New Roman" w:eastAsia="Times New Roman" w:hAnsi="Times New Roman"/>
          <w:sz w:val="18"/>
          <w:szCs w:val="18"/>
          <w:color w:val="auto"/>
        </w:rPr>
      </w:pPr>
    </w:p>
    <w:p>
      <w:pPr>
        <w:ind w:left="44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w:t>
      </w:r>
    </w:p>
    <w:p>
      <w:pPr>
        <w:spacing w:after="0" w:line="1" w:lineRule="exact"/>
        <w:rPr>
          <w:rFonts w:ascii="Times New Roman" w:cs="Times New Roman" w:eastAsia="Times New Roman" w:hAnsi="Times New Roman"/>
          <w:sz w:val="18"/>
          <w:szCs w:val="18"/>
          <w:color w:val="auto"/>
        </w:rPr>
      </w:pPr>
    </w:p>
    <w:p>
      <w:pPr>
        <w:ind w:left="44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8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Successor Trustee by Merger</w:t>
      </w:r>
      <w:r>
        <w:rPr>
          <w:rFonts w:ascii="Times New Roman" w:cs="Times New Roman" w:eastAsia="Times New Roman" w:hAnsi="Times New Roman"/>
          <w:sz w:val="18"/>
          <w:szCs w:val="18"/>
          <w:color w:val="auto"/>
        </w:rPr>
        <w:t xml:space="preserve">.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shall be otherwise qualified and eligible under this Article. In case at the time such successor to the Trustee shall succeed to the trusts created by this Indenture with respect to one or more series of Securities, any of such Securities shall have been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97" w:name="page98"/>
    <w:bookmarkEnd w:id="9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right to adopt the certificate of authentication of any predecessor Trustee or authenticate Securities in the name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Trustee shall apply only to its successor or successors by merger, conversion or consolidation.</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Right to Rely on Officer’s Certificate</w:t>
      </w:r>
      <w:r>
        <w:rPr>
          <w:rFonts w:ascii="Times New Roman" w:cs="Times New Roman" w:eastAsia="Times New Roman" w:hAnsi="Times New Roman"/>
          <w:sz w:val="18"/>
          <w:szCs w:val="18"/>
          <w:color w:val="auto"/>
        </w:rPr>
        <w:t>.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gross negligence or willful misconduct on the part of the Trustee, be deemed to be conclusively proved and established by an Officer’s Certificate with respect thereto delivered to the Trustee, and such Officer’s Certificate, in the absence of gross negligence or willful misconduct on the part of the Trustee, shall be full warrant to the Trustee for any action taken, suffered or omitted by it under the provisions of this Indenture upon the faith thereof.</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Each Authenticating Agent shall at all times be a Person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Person publishes reports of condition at least annually, pursuant to law or to the requirements of said supervising or examining authority, then for the purposes of this Article XI, the combined capital and surplus of such Person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8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Person into which an Authenticating Agent may be merged or converted or with which it may be consolidated, or any Person resulting from any merger, conversion or consolidation to which such Authenticating Agent shall be a party, or any Person succeeding to the corporate agency or corporate trust business of an Authenticating Agent, shall continue to be an Authenticating Agent, provided such Person shall be otherwise eligible under this Article XI, without the execution or filing of any paper or any further act on the part of the Trustee or the Authenticating Agent.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98" w:name="page99"/>
    <w:bookmarkEnd w:id="98"/>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for its services under this Section 11.09.</w:t>
      </w:r>
    </w:p>
    <w:p>
      <w:pPr>
        <w:spacing w:after="0" w:line="225"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Communications by Securityholders with Other Securityholders</w:t>
      </w:r>
      <w:r>
        <w:rPr>
          <w:rFonts w:ascii="Times New Roman" w:cs="Times New Roman" w:eastAsia="Times New Roman" w:hAnsi="Times New Roman"/>
          <w:sz w:val="18"/>
          <w:szCs w:val="18"/>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Notwithstanding any other provision of this Indenture, the Trustee shall be entitled to make a deduction or withholding from any payment which it makes under this Indenture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failing to satisfy any certification or other requirements in respect of the Securities, in which event the Trustee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hereby covenants with the Trustee that it will provide the Trustee with sufficient information so as to enable the Trustee to determine whether or not the Trustee is obliged, in respect of any payments to be made by it pursuant to the Indenture, to make any withholding or deduction pursuant to an agreement described in Section 1471(b) of the Code, or otherwise imposed pursuant to Sections 1471 through 1474 of the Code and any regulations, or agreements thereunder or official interpretations thereof or any intergovernmental agreement between the United States and another jurisdiction facilitating the implementation thereof (or any law implementing such an intergovernmental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SATISFACTION AND DISCHARGE; DEFEASANCE</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the Securities of all series issued pursuant to this Indenture, except as otherwise specified pursuant to Section 3.01.</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request and at the expense of the Company, shall execute proper instruments acknowledging satisfaction and discharge of this Indenture with respect to the Securities of such series, when,</w:t>
      </w:r>
    </w:p>
    <w:p>
      <w:pPr>
        <w:spacing w:after="0" w:line="187" w:lineRule="exact"/>
        <w:rPr>
          <w:sz w:val="20"/>
          <w:szCs w:val="20"/>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58" w:lineRule="auto"/>
        <w:tabs>
          <w:tab w:leader="none" w:pos="159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6.03(e)) have been delivered to the Trustee for cancellation; or (ii) all Securities of such series not theretofore delivered to the Trustee for cancellation,</w:t>
      </w:r>
    </w:p>
    <w:p>
      <w:pPr>
        <w:spacing w:after="0" w:line="75"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1420" w:firstLine="391"/>
        <w:spacing w:after="0" w:line="254" w:lineRule="auto"/>
        <w:tabs>
          <w:tab w:leader="none" w:pos="208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 and the Company, in the case of (A), (B) or (C) above, has irrevocably deposited or caused to be deposited with the Trustee funds in trust for the purpose an amount in cash in the Currency in which such Securities are payable (subject to Section 12.08) sufficient, without consideration of any reinvestment,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66" w:right="499" w:bottom="1440" w:gutter="0" w:footer="0" w:header="0"/>
        </w:sectPr>
      </w:pPr>
    </w:p>
    <w:bookmarkStart w:id="100" w:name="page101"/>
    <w:bookmarkEnd w:id="100"/>
    <w:p>
      <w:pPr>
        <w:ind w:left="14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contemplated by (C) above, the applicable Redemption Date, as the case may be, and including any mandatory sinking fund payments as and when the same shall become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Default of the nature described in clauses (e) or (f) of Section 7.01 shall have occurred at any time during the period ending on and including the 91st day after the date of such deposit or if the Trustee or any Paying Agent is required to return the monies then on deposit with or held by the Trustee or such Paying Agent to the Company or to a trustee in bankruptcy, receiver, conservator or other similar Person, or the Trustee or any Paying Agent is not permitted to apply any such funds to pay the principal of and premium, if any, and interest on the Securities of such series (including to make sinking fund payments) as and when the same shall become due and payable, the obligations of the Company under this Indenture with respect to such Securities shall not be deemed terminated or discharged;</w:t>
      </w:r>
    </w:p>
    <w:p>
      <w:pPr>
        <w:spacing w:after="0" w:line="84" w:lineRule="exact"/>
        <w:rPr>
          <w:sz w:val="20"/>
          <w:szCs w:val="20"/>
          <w:color w:val="auto"/>
        </w:rPr>
      </w:pPr>
    </w:p>
    <w:p>
      <w:pPr>
        <w:ind w:left="444" w:right="460" w:firstLine="419"/>
        <w:spacing w:after="0" w:line="282" w:lineRule="auto"/>
        <w:tabs>
          <w:tab w:leader="none" w:pos="112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with respect to the Securities of such series; and</w:t>
      </w:r>
    </w:p>
    <w:p>
      <w:pPr>
        <w:spacing w:after="0" w:line="53" w:lineRule="exact"/>
        <w:rPr>
          <w:rFonts w:ascii="Times New Roman" w:cs="Times New Roman" w:eastAsia="Times New Roman" w:hAnsi="Times New Roman"/>
          <w:sz w:val="18"/>
          <w:szCs w:val="18"/>
          <w:color w:val="auto"/>
        </w:rPr>
      </w:pPr>
    </w:p>
    <w:p>
      <w:pPr>
        <w:ind w:left="444" w:right="260" w:firstLine="419"/>
        <w:spacing w:after="0" w:line="282" w:lineRule="auto"/>
        <w:tabs>
          <w:tab w:leader="none" w:pos="11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162"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the Securities of any series, the obligations of the Company to the Trustee under Section 11.01, the provisions of Sections 3.04, 3.05, 3.06, 3.07, 3.10, 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Defeasance and Covenant Defeasance upon Deposit of Moneys or U.S. Government Obligations</w:t>
      </w:r>
      <w:r>
        <w:rPr>
          <w:rFonts w:ascii="Times New Roman" w:cs="Times New Roman" w:eastAsia="Times New Roman" w:hAnsi="Times New Roman"/>
          <w:sz w:val="18"/>
          <w:szCs w:val="18"/>
          <w:color w:val="auto"/>
        </w:rPr>
        <w:t>. At the Company’s option, either</w:t>
      </w:r>
    </w:p>
    <w:p>
      <w:pPr>
        <w:spacing w:after="0" w:line="27" w:lineRule="exact"/>
        <w:rPr>
          <w:sz w:val="20"/>
          <w:szCs w:val="20"/>
          <w:color w:val="auto"/>
        </w:rPr>
      </w:pPr>
    </w:p>
    <w:p>
      <w:pPr>
        <w:ind w:left="4" w:right="140" w:hanging="4"/>
        <w:spacing w:after="0" w:line="253"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(“covenant defeasance”) upon the satisfaction of the applicable conditions set forth below:</w:t>
      </w:r>
    </w:p>
    <w:p>
      <w:pPr>
        <w:spacing w:after="0" w:line="78"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1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deposited or caused to be deposited irrevocably with the Trustee as trust funds in trust, specifically pledged as security for, and dedicated solely to, the benefit of the Holders of the Securities of such series (i) money in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70" w:right="439" w:bottom="1440" w:gutter="0" w:footer="0" w:header="0"/>
        </w:sectPr>
      </w:pPr>
    </w:p>
    <w:bookmarkStart w:id="101" w:name="page102"/>
    <w:bookmarkEnd w:id="101"/>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to pay and 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spacing w:after="0" w:line="81" w:lineRule="exact"/>
        <w:rPr>
          <w:sz w:val="20"/>
          <w:szCs w:val="20"/>
          <w:color w:val="auto"/>
        </w:rPr>
      </w:pPr>
    </w:p>
    <w:p>
      <w:pPr>
        <w:ind w:left="4" w:right="80" w:firstLine="419"/>
        <w:spacing w:after="0" w:line="272" w:lineRule="auto"/>
        <w:tabs>
          <w:tab w:leader="none" w:pos="681"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with respect to the Securities of such series shall have occurred and be continuing on the date of such deposit (other than a Default resulting from the borrowing of funds and the grant of any related liens to be applied to such deposit) and, solely in the case of Discharge pursuant to clause (x) of the first paragraph of this Section 12.03, no Default with respect to the Securities of such series under either clause (e) or</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7.01 shall have occurred at any time during the period ending on and including the 91st day after the date of such deposit;</w:t>
      </w:r>
    </w:p>
    <w:p>
      <w:pPr>
        <w:spacing w:after="0" w:line="98"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67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spacing w:after="0" w:line="79"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79"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67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such action under this Indenture have been complied with.</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4"/>
          </w:cols>
          <w:pgMar w:left="876" w:top="270" w:right="459" w:bottom="1440" w:gutter="0" w:footer="0" w:header="0"/>
        </w:sectPr>
      </w:pPr>
    </w:p>
    <w:bookmarkStart w:id="102" w:name="page103"/>
    <w:bookmarkEnd w:id="10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and immunities of the Trustee hereunder.</w:t>
      </w:r>
    </w:p>
    <w:p>
      <w:pPr>
        <w:spacing w:after="0" w:line="19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Indemnity for U.S. Government Obligations</w:t>
      </w:r>
      <w:r>
        <w:rPr>
          <w:rFonts w:ascii="Times New Roman" w:cs="Times New Roman" w:eastAsia="Times New Roman" w:hAnsi="Times New Roman"/>
          <w:sz w:val="18"/>
          <w:szCs w:val="18"/>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Deposits to Be Held in Escrow</w:t>
      </w:r>
      <w:r>
        <w:rPr>
          <w:rFonts w:ascii="Times New Roman" w:cs="Times New Roman" w:eastAsia="Times New Roman" w:hAnsi="Times New Roman"/>
          <w:sz w:val="18"/>
          <w:szCs w:val="18"/>
          <w:color w:val="auto"/>
        </w:rPr>
        <w:t>. Any deposits with the Trustee referred to in Section 12.03 above shall be irrevocable (except to the extent provided in Sections 12.04 and 6.03(e)) and shall be made under the terms of an escrow trust agreement.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12.07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60" w:firstLine="419"/>
        <w:spacing w:after="0" w:line="282" w:lineRule="auto"/>
        <w:tabs>
          <w:tab w:leader="none" w:pos="11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other Paying Agent shall be required to pay interest on any moneys deposited pursuant to the provisions of this Indenture, except such as it shall agree with the Company in writing to pay thereon.</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spacing w:after="0" w:line="188" w:lineRule="exact"/>
        <w:rPr>
          <w:sz w:val="20"/>
          <w:szCs w:val="20"/>
          <w:color w:val="auto"/>
        </w:rPr>
      </w:pPr>
    </w:p>
    <w:p>
      <w:pPr>
        <w:ind w:right="3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12.08 </w:t>
      </w:r>
      <w:r>
        <w:rPr>
          <w:rFonts w:ascii="Times New Roman" w:cs="Times New Roman" w:eastAsia="Times New Roman" w:hAnsi="Times New Roman"/>
          <w:sz w:val="17"/>
          <w:szCs w:val="17"/>
          <w:u w:val="single" w:color="auto"/>
          <w:color w:val="auto"/>
        </w:rPr>
        <w:t>Deposits of Non-U.S. Currencies</w:t>
      </w:r>
      <w:r>
        <w:rPr>
          <w:rFonts w:ascii="Times New Roman" w:cs="Times New Roman" w:eastAsia="Times New Roman" w:hAnsi="Times New Roman"/>
          <w:sz w:val="17"/>
          <w:szCs w:val="17"/>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IMMUNITY OF CERTAIN PERSONS</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 Personal Liability</w:t>
      </w:r>
      <w:r>
        <w:rPr>
          <w:rFonts w:ascii="Times New Roman" w:cs="Times New Roman" w:eastAsia="Times New Roman" w:hAnsi="Times New Roman"/>
          <w:sz w:val="18"/>
          <w:szCs w:val="18"/>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70" w:right="499" w:bottom="1440" w:gutter="0" w:footer="0" w:header="0"/>
        </w:sectPr>
      </w:pPr>
    </w:p>
    <w:bookmarkStart w:id="104" w:name="page105"/>
    <w:bookmarkEnd w:id="10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INDENTURES</w:t>
      </w:r>
    </w:p>
    <w:p>
      <w:pPr>
        <w:spacing w:after="0" w:line="22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Without Consent of Securityholders</w:t>
      </w:r>
      <w:r>
        <w:rPr>
          <w:rFonts w:ascii="Times New Roman" w:cs="Times New Roman" w:eastAsia="Times New Roman" w:hAnsi="Times New Roman"/>
          <w:sz w:val="18"/>
          <w:szCs w:val="18"/>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68" w:lineRule="exact"/>
        <w:rPr>
          <w:sz w:val="20"/>
          <w:szCs w:val="20"/>
          <w:color w:val="auto"/>
        </w:rPr>
      </w:pPr>
    </w:p>
    <w:p>
      <w:pPr>
        <w:ind w:left="440" w:firstLine="419"/>
        <w:spacing w:after="0" w:line="258"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75"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71"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change or eliminate any restrictions on the payment of principal of or premium, if any, on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in any material respect;</w:t>
      </w:r>
    </w:p>
    <w:p>
      <w:pPr>
        <w:spacing w:after="0" w:line="65" w:lineRule="exact"/>
        <w:rPr>
          <w:rFonts w:ascii="Times New Roman" w:cs="Times New Roman" w:eastAsia="Times New Roman" w:hAnsi="Times New Roman"/>
          <w:sz w:val="18"/>
          <w:szCs w:val="18"/>
          <w:color w:val="auto"/>
        </w:rPr>
      </w:pPr>
    </w:p>
    <w:p>
      <w:pPr>
        <w:jc w:val="both"/>
        <w:ind w:left="440" w:right="80" w:firstLine="419"/>
        <w:spacing w:after="0" w:line="267"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67" w:lineRule="exact"/>
        <w:rPr>
          <w:rFonts w:ascii="Times New Roman" w:cs="Times New Roman" w:eastAsia="Times New Roman" w:hAnsi="Times New Roman"/>
          <w:sz w:val="18"/>
          <w:szCs w:val="18"/>
          <w:color w:val="auto"/>
        </w:rPr>
      </w:pPr>
    </w:p>
    <w:p>
      <w:pPr>
        <w:ind w:left="440" w:right="140" w:firstLine="419"/>
        <w:spacing w:after="0" w:line="312" w:lineRule="auto"/>
        <w:tabs>
          <w:tab w:leader="none" w:pos="110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70" w:right="499" w:bottom="1440" w:gutter="0" w:footer="0" w:header="0"/>
        </w:sectPr>
      </w:pPr>
    </w:p>
    <w:bookmarkStart w:id="105" w:name="page106"/>
    <w:bookmarkEnd w:id="105"/>
    <w:p>
      <w:pPr>
        <w:ind w:left="440" w:right="400" w:firstLine="419"/>
        <w:spacing w:after="0" w:line="266" w:lineRule="auto"/>
        <w:tabs>
          <w:tab w:leader="none" w:pos="10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series of Securities;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any changes to this Indenture pursuant to Sections 11.05, 11.06 or 11.07 hereof as permitted by the terms thereof;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or eliminate any provision of this Indenture as shall be necessary or desirable in accordance with any amendments to the Trust Indenture Act;</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guarantors or co-obligors with respect to any series of Securities or to release guarantors from their guarantees of Securities in accordance with the terms of the applicable series of Securities;</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any series of Securities that does not adversely affect in any material respect the rights of the Holders of such Securities;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certificated securities;</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or any other series of Securities;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the authentication and delivery of additional series of Securities;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106" w:name="page107"/>
    <w:bookmarkEnd w:id="106"/>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supplemental indenture authorized by the provisions of this Section 14.01 may be executed by the Company and the Trustee without the consent of the Holders of any of the Securities at the time Outstanding.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With Consent of Securityholders; Limitations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6"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such supplemental indenture shall, without the consent of the Holder of each Outstanding Security of each such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thereby,</w:t>
      </w:r>
    </w:p>
    <w:p>
      <w:pPr>
        <w:spacing w:after="0" w:line="79" w:lineRule="exact"/>
        <w:rPr>
          <w:rFonts w:ascii="Times New Roman" w:cs="Times New Roman" w:eastAsia="Times New Roman" w:hAnsi="Times New Roman"/>
          <w:sz w:val="18"/>
          <w:szCs w:val="18"/>
          <w:color w:val="auto"/>
        </w:rPr>
      </w:pPr>
    </w:p>
    <w:p>
      <w:pPr>
        <w:ind w:left="980" w:firstLine="408"/>
        <w:spacing w:after="0" w:line="252" w:lineRule="auto"/>
        <w:tabs>
          <w:tab w:leader="none" w:pos="15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the Stated Maturity of the principal of, or any installment of interest on, any Security, or reduce the principal amount thereof or the interest thereon or any premium payable thereon,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 (ii) 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 (iii) 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 (iv) modify, without the written consent of the Trustee, the rights, duties or immunities of the Trustee.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07" w:name="page108"/>
    <w:bookmarkEnd w:id="107"/>
    <w:p>
      <w:pPr>
        <w:ind w:left="440" w:right="220" w:firstLine="419"/>
        <w:spacing w:after="0" w:line="266"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53"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w:t>
      </w:r>
    </w:p>
    <w:p>
      <w:pPr>
        <w:spacing w:after="0" w:line="27" w:lineRule="exact"/>
        <w:rPr>
          <w:sz w:val="20"/>
          <w:szCs w:val="20"/>
          <w:color w:val="auto"/>
        </w:rPr>
      </w:pPr>
    </w:p>
    <w:p>
      <w:pPr>
        <w:ind w:left="440" w:right="80"/>
        <w:spacing w:after="0" w:line="255" w:lineRule="auto"/>
        <w:rPr>
          <w:sz w:val="20"/>
          <w:szCs w:val="20"/>
          <w:color w:val="auto"/>
        </w:rPr>
      </w:pPr>
      <w:r>
        <w:rPr>
          <w:rFonts w:ascii="Times New Roman" w:cs="Times New Roman" w:eastAsia="Times New Roman" w:hAnsi="Times New Roman"/>
          <w:sz w:val="18"/>
          <w:szCs w:val="18"/>
          <w:color w:val="auto"/>
        </w:rPr>
        <w:t>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186"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 Upon the request of the Company, accompanied by the Officer’s Certificate and Opinion of Counsel required by Section 16.01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Officer’s Certificate or Opinion of Counsel need not be provided in connection with the execution of a supplemental indenture that establishes the terms of a series of Securities pursuant to Section 2.01 hereof) and evidence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Effect of Execution of Supplemental Indenture</w:t>
      </w:r>
      <w:r>
        <w:rPr>
          <w:rFonts w:ascii="Times New Roman" w:cs="Times New Roman" w:eastAsia="Times New Roman" w:hAnsi="Times New Roman"/>
          <w:sz w:val="18"/>
          <w:szCs w:val="18"/>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108" w:name="page109"/>
    <w:bookmarkEnd w:id="108"/>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14.05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8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u w:val="single" w:color="auto"/>
          <w:color w:val="auto"/>
        </w:rPr>
        <w:t>Conformity with TIA</w:t>
      </w:r>
      <w:r>
        <w:rPr>
          <w:rFonts w:ascii="Times New Roman" w:cs="Times New Roman" w:eastAsia="Times New Roman" w:hAnsi="Times New Roman"/>
          <w:sz w:val="18"/>
          <w:szCs w:val="18"/>
          <w:color w:val="auto"/>
        </w:rPr>
        <w:t>. Every supplemental indenture executed pursuant to the provisions of this Article shall conform to the requirements of the Trust Indenture Act as then in effect.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OF SECURITIES</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Agreement to Subordinate</w:t>
      </w:r>
      <w:r>
        <w:rPr>
          <w:rFonts w:ascii="Times New Roman" w:cs="Times New Roman" w:eastAsia="Times New Roman" w:hAnsi="Times New Roman"/>
          <w:sz w:val="18"/>
          <w:szCs w:val="18"/>
          <w:color w:val="auto"/>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3.01(t), this Article XV shall have no effect upon the Securities.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Distribution on Dissolution, Liquidation and Reorganization; Subrogation of Securities</w:t>
      </w:r>
      <w:r>
        <w:rPr>
          <w:rFonts w:ascii="Times New Roman" w:cs="Times New Roman" w:eastAsia="Times New Roman" w:hAnsi="Times New Roman"/>
          <w:sz w:val="18"/>
          <w:szCs w:val="18"/>
          <w:color w:val="auto"/>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79" w:lineRule="exact"/>
        <w:rPr>
          <w:sz w:val="20"/>
          <w:szCs w:val="20"/>
          <w:color w:val="auto"/>
        </w:rPr>
      </w:pPr>
    </w:p>
    <w:p>
      <w:pPr>
        <w:ind w:left="440" w:right="140" w:firstLine="419"/>
        <w:spacing w:after="0" w:line="266"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09" w:name="page110"/>
    <w:bookmarkEnd w:id="109"/>
    <w:p>
      <w:pPr>
        <w:ind w:right="80" w:firstLine="419"/>
        <w:spacing w:after="0" w:line="254" w:lineRule="auto"/>
        <w:tabs>
          <w:tab w:leader="none" w:pos="6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83" w:lineRule="exact"/>
        <w:rPr>
          <w:rFonts w:ascii="Times New Roman" w:cs="Times New Roman" w:eastAsia="Times New Roman" w:hAnsi="Times New Roman"/>
          <w:sz w:val="18"/>
          <w:szCs w:val="18"/>
          <w:color w:val="auto"/>
        </w:rPr>
      </w:pPr>
    </w:p>
    <w:p>
      <w:pPr>
        <w:ind w:right="100" w:firstLine="419"/>
        <w:spacing w:after="0" w:line="255" w:lineRule="auto"/>
        <w:tabs>
          <w:tab w:leader="none" w:pos="66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60"/>
          </w:cols>
          <w:pgMar w:left="880" w:top="270" w:right="459" w:bottom="1440" w:gutter="0" w:footer="0" w:header="0"/>
        </w:sectPr>
      </w:pPr>
    </w:p>
    <w:bookmarkStart w:id="110" w:name="page111"/>
    <w:bookmarkEnd w:id="110"/>
    <w:p>
      <w:pPr>
        <w:ind w:left="4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180"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No Payment on Securities in Event of Default on Senior Indebtedness</w:t>
      </w:r>
      <w:r>
        <w:rPr>
          <w:rFonts w:ascii="Times New Roman" w:cs="Times New Roman" w:eastAsia="Times New Roman" w:hAnsi="Times New Roman"/>
          <w:sz w:val="18"/>
          <w:szCs w:val="18"/>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 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Payments on Securities Permitted</w:t>
      </w:r>
      <w:r>
        <w:rPr>
          <w:rFonts w:ascii="Times New Roman" w:cs="Times New Roman" w:eastAsia="Times New Roman" w:hAnsi="Times New Roman"/>
          <w:sz w:val="18"/>
          <w:szCs w:val="18"/>
          <w:color w:val="auto"/>
        </w:rPr>
        <w:t>. Subject to Section 15.01, nothing contained in this Indenture or in any of the Securities shall</w:t>
      </w:r>
    </w:p>
    <w:p>
      <w:pPr>
        <w:spacing w:after="0" w:line="27" w:lineRule="exact"/>
        <w:rPr>
          <w:sz w:val="20"/>
          <w:szCs w:val="20"/>
          <w:color w:val="auto"/>
        </w:rPr>
      </w:pPr>
    </w:p>
    <w:p>
      <w:pPr>
        <w:ind w:left="4" w:right="80" w:hanging="4"/>
        <w:spacing w:after="0" w:line="270" w:lineRule="auto"/>
        <w:tabs>
          <w:tab w:leader="none" w:pos="24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74"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Authorization of Securityholders to Trustee to Effect Subordination</w:t>
      </w:r>
      <w:r>
        <w:rPr>
          <w:rFonts w:ascii="Times New Roman" w:cs="Times New Roman" w:eastAsia="Times New Roman" w:hAnsi="Times New Roman"/>
          <w:sz w:val="18"/>
          <w:szCs w:val="18"/>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4"/>
          </w:cols>
          <w:pgMar w:left="436" w:top="270" w:right="479" w:bottom="1440" w:gutter="0" w:footer="0" w:header="0"/>
        </w:sectPr>
      </w:pPr>
    </w:p>
    <w:bookmarkStart w:id="111" w:name="page112"/>
    <w:bookmarkEnd w:id="111"/>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15.06 </w:t>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of the Securities of any series pursuant to the provisions of this Article XV, unless and until a Responsible Officer of the Trustee or such Paying Agent shall have received (in the case of a</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or purposes for which they were received, and shall not be affected by any notice to the contrary which may be received by it within two Business Days prior to such date. The Trustee shall be entitled to rely on the delivery to it of a written notice by a Person representing himself, herself or itself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19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15.07 </w:t>
      </w:r>
      <w:r>
        <w:rPr>
          <w:rFonts w:ascii="Times New Roman" w:cs="Times New Roman" w:eastAsia="Times New Roman" w:hAnsi="Times New Roman"/>
          <w:sz w:val="18"/>
          <w:szCs w:val="18"/>
          <w:u w:val="single" w:color="auto"/>
          <w:color w:val="auto"/>
        </w:rPr>
        <w:t>Trustee as Holder of Senior Indebtedness</w:t>
      </w:r>
      <w:r>
        <w:rPr>
          <w:rFonts w:ascii="Times New Roman" w:cs="Times New Roman" w:eastAsia="Times New Roman" w:hAnsi="Times New Roman"/>
          <w:sz w:val="18"/>
          <w:szCs w:val="18"/>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15.08 </w:t>
      </w:r>
      <w:r>
        <w:rPr>
          <w:rFonts w:ascii="Times New Roman" w:cs="Times New Roman" w:eastAsia="Times New Roman" w:hAnsi="Times New Roman"/>
          <w:sz w:val="18"/>
          <w:szCs w:val="18"/>
          <w:u w:val="single" w:color="auto"/>
          <w:color w:val="auto"/>
        </w:rPr>
        <w:t>Modifications of Terms of Senior Indebtedness</w:t>
      </w:r>
      <w:r>
        <w:rPr>
          <w:rFonts w:ascii="Times New Roman" w:cs="Times New Roman" w:eastAsia="Times New Roman" w:hAnsi="Times New Roman"/>
          <w:sz w:val="18"/>
          <w:szCs w:val="18"/>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112" w:name="page113"/>
    <w:bookmarkEnd w:id="112"/>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15.09 </w:t>
      </w:r>
      <w:r>
        <w:rPr>
          <w:rFonts w:ascii="Times New Roman" w:cs="Times New Roman" w:eastAsia="Times New Roman" w:hAnsi="Times New Roman"/>
          <w:sz w:val="18"/>
          <w:szCs w:val="18"/>
          <w:u w:val="single" w:color="auto"/>
          <w:color w:val="auto"/>
        </w:rPr>
        <w:t>Reliance on Judicial Order or Certificate of Liquidating Agent</w:t>
      </w:r>
      <w:r>
        <w:rPr>
          <w:rFonts w:ascii="Times New Roman" w:cs="Times New Roman" w:eastAsia="Times New Roman" w:hAnsi="Times New Roman"/>
          <w:sz w:val="18"/>
          <w:szCs w:val="18"/>
          <w:color w:val="auto"/>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92"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15.10 </w:t>
      </w:r>
      <w:r>
        <w:rPr>
          <w:rFonts w:ascii="Times New Roman" w:cs="Times New Roman" w:eastAsia="Times New Roman" w:hAnsi="Times New Roman"/>
          <w:sz w:val="18"/>
          <w:szCs w:val="18"/>
          <w:u w:val="single" w:color="auto"/>
          <w:color w:val="auto"/>
        </w:rPr>
        <w:t>Satisfaction and Discharge; Defeasance and Covenant Defeasance</w:t>
      </w:r>
      <w:r>
        <w:rPr>
          <w:rFonts w:ascii="Times New Roman" w:cs="Times New Roman" w:eastAsia="Times New Roman" w:hAnsi="Times New Roman"/>
          <w:sz w:val="18"/>
          <w:szCs w:val="18"/>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15.11 </w:t>
      </w:r>
      <w:r>
        <w:rPr>
          <w:rFonts w:ascii="Times New Roman" w:cs="Times New Roman" w:eastAsia="Times New Roman" w:hAnsi="Times New Roman"/>
          <w:sz w:val="18"/>
          <w:szCs w:val="18"/>
          <w:u w:val="single" w:color="auto"/>
          <w:color w:val="auto"/>
        </w:rPr>
        <w:t>Trustee Not Fiduciary for Holders of Senior Indebtedness</w:t>
      </w:r>
      <w:r>
        <w:rPr>
          <w:rFonts w:ascii="Times New Roman" w:cs="Times New Roman" w:eastAsia="Times New Roman" w:hAnsi="Times New Roman"/>
          <w:sz w:val="18"/>
          <w:szCs w:val="18"/>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419"/>
        <w:spacing w:after="0" w:line="256"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113" w:name="page114"/>
    <w:bookmarkEnd w:id="113"/>
    <w:p>
      <w:pPr>
        <w:ind w:firstLine="419"/>
        <w:spacing w:after="0" w:line="255"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6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80"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75" w:lineRule="exact"/>
        <w:rPr>
          <w:rFonts w:ascii="Times New Roman" w:cs="Times New Roman" w:eastAsia="Times New Roman" w:hAnsi="Times New Roman"/>
          <w:sz w:val="18"/>
          <w:szCs w:val="18"/>
          <w:color w:val="auto"/>
        </w:rPr>
      </w:pPr>
    </w:p>
    <w:p>
      <w:pPr>
        <w:ind w:right="240" w:firstLine="419"/>
        <w:spacing w:after="0" w:line="261" w:lineRule="auto"/>
        <w:tabs>
          <w:tab w:leader="none" w:pos="6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40"/>
          </w:cols>
          <w:pgMar w:left="880" w:top="270" w:right="479" w:bottom="1440" w:gutter="0" w:footer="0" w:header="0"/>
        </w:sectPr>
      </w:pPr>
    </w:p>
    <w:bookmarkStart w:id="114" w:name="page115"/>
    <w:bookmarkEnd w:id="114"/>
    <w:p>
      <w:pPr>
        <w:ind w:left="440" w:right="120" w:firstLine="419"/>
        <w:spacing w:after="0" w:line="282" w:lineRule="auto"/>
        <w:tabs>
          <w:tab w:leader="none" w:pos="108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 This Indenture is hereby made subject to, and shall be governed by, the provisions of the Trust Indenture Act required or deemed to be part of and to govern indentures qualified under the Trust Indenture Act. If any provision hereof limits, qualifies or conflicts with another provision hereof which is required or deemed to be included in an indenture qualified under the Trust Indenture Act, such required or deemed to be included provision shall control.</w:t>
      </w:r>
    </w:p>
    <w:p>
      <w:pPr>
        <w:spacing w:after="0" w:line="180"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16.03 </w:t>
      </w:r>
      <w:r>
        <w:rPr>
          <w:rFonts w:ascii="Times New Roman" w:cs="Times New Roman" w:eastAsia="Times New Roman" w:hAnsi="Times New Roman"/>
          <w:sz w:val="17"/>
          <w:szCs w:val="17"/>
          <w:u w:val="single" w:color="auto"/>
          <w:color w:val="auto"/>
        </w:rPr>
        <w:t>Notices to the Company and Trustee</w:t>
      </w:r>
      <w:r>
        <w:rPr>
          <w:rFonts w:ascii="Times New Roman" w:cs="Times New Roman" w:eastAsia="Times New Roman" w:hAnsi="Times New Roman"/>
          <w:sz w:val="17"/>
          <w:szCs w:val="17"/>
          <w:color w:val="auto"/>
        </w:rPr>
        <w:t>. 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32" w:lineRule="exact"/>
        <w:rPr>
          <w:sz w:val="20"/>
          <w:szCs w:val="20"/>
          <w:color w:val="auto"/>
        </w:rPr>
      </w:pPr>
    </w:p>
    <w:p>
      <w:pPr>
        <w:ind w:left="440" w:right="160" w:firstLine="419"/>
        <w:spacing w:after="0" w:line="282" w:lineRule="auto"/>
        <w:tabs>
          <w:tab w:leader="none" w:pos="11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13865 Sunrise Valley Drive, Herndon, Virginia 20171, Attention: General Counsel, email: [•]; or at such other address or email as may have been furnished in writing to the Trustee by the Company.</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 email: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such notice, demand or other document shall be in the English language.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Trustee shall have the right, but shall not be required, to rely upon and comply with notices, instructions, directions or other communications sent by e-mail, facsimile and other similar unsecured electronic methods by persons believed by the Trustee to be authorized to give instructions and directions on behalf of the Company. The Trustee shall have no duty or obligation to verify or confirm that the person who sent such instructions or directions is, in fact, a person authorized to give instructions or directions on behalf of the Company; and the Trustee shall have no liability for any losses, liabilities, costs or expenses incurred or sustained by the Company as a result of such reliance upon or compliance with such notices, instructions, directions or other communications. The Company agrees to assume all risks arising out of the use of such electronic methods to submit notices, instructions, directions or other communications to the Trustee, including without limitation the risk of the Trustee acting on unauthorized instructions, and the risk of interception and misuse by third parties. The Company shall use all reasonable endeavors to ensure that any such notices, instructions, directions or other communications transmitted to the Trustee pursuant to this Indenture are complete and correct. Any such notices, instructions, directions or other communications shall be conclusively deemed to be valid instructions from the Company to the Trustee for the purposes of this Indenture.</w:t>
      </w:r>
    </w:p>
    <w:p>
      <w:pPr>
        <w:spacing w:after="0" w:line="19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Notices to Securityholders; Waiver</w:t>
      </w:r>
      <w:r>
        <w:rPr>
          <w:rFonts w:ascii="Times New Roman" w:cs="Times New Roman" w:eastAsia="Times New Roman" w:hAnsi="Times New Roman"/>
          <w:sz w:val="18"/>
          <w:szCs w:val="18"/>
          <w:color w:val="auto"/>
        </w:rPr>
        <w:t>. Any notice required or permitted to be given to Securityholders shall be sufficiently given (unless otherwise herein expressly provided),</w:t>
      </w:r>
    </w:p>
    <w:p>
      <w:pPr>
        <w:spacing w:after="0" w:line="54" w:lineRule="exact"/>
        <w:rPr>
          <w:sz w:val="20"/>
          <w:szCs w:val="20"/>
          <w:color w:val="auto"/>
        </w:rPr>
      </w:pPr>
    </w:p>
    <w:p>
      <w:pPr>
        <w:ind w:left="440" w:right="20" w:firstLine="419"/>
        <w:spacing w:after="0" w:line="261" w:lineRule="auto"/>
        <w:tabs>
          <w:tab w:leader="none" w:pos="11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Holders, if given in writing by first class mail, postage prepaid, to such Holders at their addresses as the same shall appear on the Register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15" w:name="page116"/>
    <w:bookmarkEnd w:id="115"/>
    <w:p>
      <w:pPr>
        <w:ind w:left="440" w:right="20" w:firstLine="419"/>
        <w:spacing w:after="0" w:line="266"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or delivered to any particular Holder shall affect the sufficiency of such notice with respect to other Holders, and any notice that is mailed or delivered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9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Effects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116" w:name="page117"/>
    <w:bookmarkEnd w:id="116"/>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16.10 </w:t>
      </w:r>
      <w:r>
        <w:rPr>
          <w:rFonts w:ascii="Times New Roman" w:cs="Times New Roman" w:eastAsia="Times New Roman" w:hAnsi="Times New Roman"/>
          <w:sz w:val="18"/>
          <w:szCs w:val="18"/>
          <w:u w:val="single" w:color="auto"/>
          <w:color w:val="auto"/>
        </w:rPr>
        <w:t>Electronic Signatures and Counterparts</w:t>
      </w:r>
      <w:r>
        <w:rPr>
          <w:rFonts w:ascii="Times New Roman" w:cs="Times New Roman" w:eastAsia="Times New Roman" w:hAnsi="Times New Roman"/>
          <w:sz w:val="18"/>
          <w:szCs w:val="18"/>
          <w:color w:val="auto"/>
        </w:rPr>
        <w:t xml:space="preserve">. This Indenture may be executed in any number of counterparts, each of which so executed shall be deemed to be an original, but all such counterparts shall together constitute but one and the same instrument. This Indenture may be executed by way of electronic signatures, and any such electronic signature shall have the same binding effect as a physical signature. For the avoidance of doubt, the words “execution,” “signed,” “signature,” “delivery” and words of like import in or relating to this Indenture or any document to be signed in connection with this Indenture shall be deemed to include images of manually executed signatures transmitted by electronic format (including, without limitation, “pdf,” “tif” or “jpg”) and electronic signatures (including, without limitation, DocuSign and AdobeSign), deliveries or the keeping of records in electronic form, each of which shall be of the same legal effect, validity or enforceability as a manually executed signature, physical delivery thereof or the use of a paper based recordkeeping system, as the case may be, and the parties hereto consent to conduct the transactions contemplated hereunder by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the Trustee is not under any obligation to agree to accept electronic signatures in any form or in any format unless expressly agreed to by the Trustee, pursuant to reasonable procedures approved by the Trustee.</w:t>
      </w:r>
    </w:p>
    <w:p>
      <w:pPr>
        <w:spacing w:after="0" w:line="194"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16.11 </w:t>
      </w:r>
      <w:r>
        <w:rPr>
          <w:rFonts w:ascii="Times New Roman" w:cs="Times New Roman" w:eastAsia="Times New Roman" w:hAnsi="Times New Roman"/>
          <w:sz w:val="17"/>
          <w:szCs w:val="17"/>
          <w:u w:val="single" w:color="auto"/>
          <w:color w:val="auto"/>
        </w:rPr>
        <w:t>Governing Law; Waiver of Trial by Jury; Submission to Jurisdiction</w:t>
      </w:r>
      <w:r>
        <w:rPr>
          <w:rFonts w:ascii="Times New Roman" w:cs="Times New Roman" w:eastAsia="Times New Roman" w:hAnsi="Times New Roman"/>
          <w:sz w:val="17"/>
          <w:szCs w:val="17"/>
          <w:color w:val="auto"/>
        </w:rPr>
        <w:t>. This Indenture and the Securities shall be deemed to be contracts made under the law of the State of New York, and for all purposes shall be governed by and construed in accordance with the law of said State.</w:t>
      </w:r>
    </w:p>
    <w:p>
      <w:pPr>
        <w:spacing w:after="0" w:line="14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irrevocably consents and submits, for itself and in respect of any of its assets or property, to the nonexclusive jurisdiction of any court of the State of New York or any United States Federal court sitting, in each case, in the Borough of Manhattan, The City of New York, New York, United States of America, and any appellate court from any thereof in any suit, action or proceeding that may be brought in connection with this Indenture or the Securities, and waives any immunity from the jurisdiction of such courts. The Company irrevocably waives, to the fullest extent permitted by law, any objection to any such suit, action or proceeding that may be brought in such courts whether on the grounds of venue, residence or domicile or on the ground that any such suit, action or proceeding has been brought in an inconvenient forum. The Company agrees, to the fullest extent that it lawfully may do so, that final judgment in any such suit, action or proceeding brought in such a court shall be conclusive and binding upon the Company, and waives, to the fullest extent permitted by law, any objection to the enforcement by any competent court in the Company’s jurisdiction of organization of judgments validly obtained in any such court in New York on the basis of such suit, action or proceeding.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Company</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9579"/>
          </w:cols>
          <w:pgMar w:left="880" w:top="270"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380365</wp:posOffset>
            </wp:positionV>
            <wp:extent cx="1988820" cy="196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9888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7"/>
          <w:szCs w:val="17"/>
          <w:color w:val="auto"/>
        </w:rPr>
        <w:t>333 West Wolf Point Plaza</w:t>
      </w:r>
    </w:p>
    <w:p>
      <w:pPr>
        <w:spacing w:after="0" w:line="39"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color w:val="auto"/>
        </w:rPr>
        <w:t>United States</w:t>
      </w:r>
    </w:p>
    <w:p>
      <w:pPr>
        <w:spacing w:after="0" w:line="112"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color w:val="auto"/>
        </w:rPr>
        <w:t>+1 312 862 2000</w:t>
      </w:r>
    </w:p>
    <w:p>
      <w:pPr>
        <w:spacing w:after="0" w:line="131"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color w:val="auto"/>
        </w:rPr>
        <w:t>www.kirkland.com</w:t>
      </w: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October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Facsimile: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+1 312 862 2200</w:t>
      </w:r>
    </w:p>
    <w:p>
      <w:pPr>
        <w:spacing w:after="0" w:line="2717" w:lineRule="exact"/>
        <w:rPr>
          <w:sz w:val="20"/>
          <w:szCs w:val="20"/>
          <w:color w:val="auto"/>
        </w:rPr>
      </w:pPr>
    </w:p>
    <w:p>
      <w:pPr>
        <w:sectPr>
          <w:pgSz w:w="11900" w:h="16838" w:orient="portrait"/>
          <w:cols w:equalWidth="0" w:num="2">
            <w:col w:w="8900" w:space="720"/>
            <w:col w:w="1400"/>
          </w:cols>
          <w:pgMar w:left="440" w:top="117" w:right="43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We are acting as special counsel to Navient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S-3ASR (such Registration Statement, as amended or supplemented, is hereinafter referred to as the “</w:t>
      </w:r>
      <w:r>
        <w:rPr>
          <w:rFonts w:ascii="Times New Roman" w:cs="Times New Roman" w:eastAsia="Times New Roman" w:hAnsi="Times New Roman"/>
          <w:sz w:val="18"/>
          <w:szCs w:val="18"/>
          <w:u w:val="single" w:color="auto"/>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or about October 29, 2026 under the Securities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by the Company. The Registration Statement relates to the issuance and sale from time to time,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415 of the General Rules and Regulations promulgated under the Securities Act, of an unspecified amount of the following securities: (i)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issued by the Company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(ii) warrants to purchase Debt Securities (the “</w:t>
      </w:r>
      <w:r>
        <w:rPr>
          <w:rFonts w:ascii="Times New Roman" w:cs="Times New Roman" w:eastAsia="Times New Roman" w:hAnsi="Times New Roman"/>
          <w:sz w:val="18"/>
          <w:szCs w:val="18"/>
          <w:u w:val="single" w:color="auto"/>
          <w:color w:val="auto"/>
        </w:rPr>
        <w:t>Debt Warrants</w:t>
      </w:r>
      <w:r>
        <w:rPr>
          <w:rFonts w:ascii="Times New Roman" w:cs="Times New Roman" w:eastAsia="Times New Roman" w:hAnsi="Times New Roman"/>
          <w:sz w:val="18"/>
          <w:szCs w:val="18"/>
          <w:color w:val="auto"/>
        </w:rPr>
        <w:t>”), (iii) common stock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(iv) warrants to purchase Common Stock (the “</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(v) preferred stock of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(vi) warrants to purchase Preferred Stock (the “</w:t>
      </w:r>
      <w:r>
        <w:rPr>
          <w:rFonts w:ascii="Times New Roman" w:cs="Times New Roman" w:eastAsia="Times New Roman" w:hAnsi="Times New Roman"/>
          <w:sz w:val="18"/>
          <w:szCs w:val="18"/>
          <w:u w:val="single" w:color="auto"/>
          <w:color w:val="auto"/>
        </w:rPr>
        <w:t>Preferred Warrants</w:t>
      </w:r>
      <w:r>
        <w:rPr>
          <w:rFonts w:ascii="Times New Roman" w:cs="Times New Roman" w:eastAsia="Times New Roman" w:hAnsi="Times New Roman"/>
          <w:sz w:val="18"/>
          <w:szCs w:val="18"/>
          <w:color w:val="auto"/>
        </w:rPr>
        <w:t>”), (vii) warrants to purchase units (as defined below) (the “</w:t>
      </w:r>
      <w:r>
        <w:rPr>
          <w:rFonts w:ascii="Times New Roman" w:cs="Times New Roman" w:eastAsia="Times New Roman" w:hAnsi="Times New Roman"/>
          <w:sz w:val="18"/>
          <w:szCs w:val="18"/>
          <w:u w:val="single" w:color="auto"/>
          <w:color w:val="auto"/>
        </w:rPr>
        <w:t>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(viii) units consisting of two or more securities of the Company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The Debt Warrants, Common Warrants,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and Unit Warrants are collectively referred to as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Warrants, together with the Debt Securities, the Common Stock,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and the Units are collectively referred to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may be offered in one or more offerings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delayed or continuous basis. Any Debt Securities and Preferred Stock may be convertible into or exchangeable for other Securities.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You have advised us that: (i) the Debt Securities will be issued under an indenture substantially similar to the form of indenture filed as an exhibit to the Registration Statement (as amended or supplemented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a trustee to be named later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(ii) the Debt Warrants will be issued under one or more debt warrant agreements (each, a “</w:t>
      </w:r>
      <w:r>
        <w:rPr>
          <w:rFonts w:ascii="Times New Roman" w:cs="Times New Roman" w:eastAsia="Times New Roman" w:hAnsi="Times New Roman"/>
          <w:sz w:val="18"/>
          <w:szCs w:val="18"/>
          <w:u w:val="single" w:color="auto"/>
          <w:color w:val="auto"/>
        </w:rPr>
        <w:t>Debt Warrant Agreement</w:t>
      </w:r>
      <w:r>
        <w:rPr>
          <w:rFonts w:ascii="Times New Roman" w:cs="Times New Roman" w:eastAsia="Times New Roman" w:hAnsi="Times New Roman"/>
          <w:sz w:val="18"/>
          <w:szCs w:val="18"/>
          <w:color w:val="auto"/>
        </w:rPr>
        <w:t>”); (iii) the Common Warrants will be issued under one or more common warrant agreements (each, a “</w:t>
      </w:r>
      <w:r>
        <w:rPr>
          <w:rFonts w:ascii="Times New Roman" w:cs="Times New Roman" w:eastAsia="Times New Roman" w:hAnsi="Times New Roman"/>
          <w:sz w:val="18"/>
          <w:szCs w:val="18"/>
          <w:u w:val="single" w:color="auto"/>
          <w:color w:val="auto"/>
        </w:rPr>
        <w:t>Common Warrant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type w:val="continuous"/>
        </w:sectPr>
      </w:pPr>
    </w:p>
    <w:bookmarkStart w:id="119" w:name="page120"/>
    <w:bookmarkEnd w:id="1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182880</wp:posOffset>
            </wp:positionV>
            <wp:extent cx="161988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79705"/>
                    </a:xfrm>
                    <a:prstGeom prst="rect">
                      <a:avLst/>
                    </a:prstGeom>
                    <a:noFill/>
                  </pic:spPr>
                </pic:pic>
              </a:graphicData>
            </a:graphic>
          </wp:anchor>
        </w:drawing>
        <w:t>Navient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29,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hanging="4"/>
        <w:spacing w:after="0" w:line="256" w:lineRule="auto"/>
        <w:tabs>
          <w:tab w:leader="none" w:pos="3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Warrants will be issued under one or more preferred warrant agreements (each, a “</w:t>
      </w:r>
      <w:r>
        <w:rPr>
          <w:rFonts w:ascii="Times New Roman" w:cs="Times New Roman" w:eastAsia="Times New Roman" w:hAnsi="Times New Roman"/>
          <w:sz w:val="18"/>
          <w:szCs w:val="18"/>
          <w:u w:val="single" w:color="auto"/>
          <w:color w:val="auto"/>
        </w:rPr>
        <w:t>Preferred Warrant Agreement</w:t>
      </w:r>
      <w:r>
        <w:rPr>
          <w:rFonts w:ascii="Times New Roman" w:cs="Times New Roman" w:eastAsia="Times New Roman" w:hAnsi="Times New Roman"/>
          <w:sz w:val="18"/>
          <w:szCs w:val="18"/>
          <w:color w:val="auto"/>
        </w:rPr>
        <w:t>”); (v) the Unit Warrants will be issued under one or more unit warrant agreements (each, a “</w:t>
      </w:r>
      <w:r>
        <w:rPr>
          <w:rFonts w:ascii="Times New Roman" w:cs="Times New Roman" w:eastAsia="Times New Roman" w:hAnsi="Times New Roman"/>
          <w:sz w:val="18"/>
          <w:szCs w:val="18"/>
          <w:u w:val="single" w:color="auto"/>
          <w:color w:val="auto"/>
        </w:rPr>
        <w:t>Unit Warrant Agreement</w:t>
      </w:r>
      <w:r>
        <w:rPr>
          <w:rFonts w:ascii="Times New Roman" w:cs="Times New Roman" w:eastAsia="Times New Roman" w:hAnsi="Times New Roman"/>
          <w:sz w:val="18"/>
          <w:szCs w:val="18"/>
          <w:color w:val="auto"/>
        </w:rPr>
        <w:t>” and, together with the Debt Warrant Agreements, the Common Warrant Agreements and the Preferred Warrants Agreements, the “</w:t>
      </w:r>
      <w:r>
        <w:rPr>
          <w:rFonts w:ascii="Times New Roman" w:cs="Times New Roman" w:eastAsia="Times New Roman" w:hAnsi="Times New Roman"/>
          <w:sz w:val="18"/>
          <w:szCs w:val="18"/>
          <w:u w:val="single" w:color="auto"/>
          <w:color w:val="auto"/>
        </w:rPr>
        <w:t>Warrant Agreements</w:t>
      </w:r>
      <w:r>
        <w:rPr>
          <w:rFonts w:ascii="Times New Roman" w:cs="Times New Roman" w:eastAsia="Times New Roman" w:hAnsi="Times New Roman"/>
          <w:sz w:val="18"/>
          <w:szCs w:val="18"/>
          <w:color w:val="auto"/>
        </w:rPr>
        <w:t>”); and (vi) the Units will be issued under one or more unit agreements (each, a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Each Warrant Agreement will be between the Company and a financial institution identified therein as warrant agent (each, a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Indenture, each Warrant Agreement and each Unit Agreement shall be referred to herein as a “</w:t>
      </w:r>
      <w:r>
        <w:rPr>
          <w:rFonts w:ascii="Times New Roman" w:cs="Times New Roman" w:eastAsia="Times New Roman" w:hAnsi="Times New Roman"/>
          <w:sz w:val="18"/>
          <w:szCs w:val="18"/>
          <w:u w:val="single" w:color="auto"/>
          <w:color w:val="auto"/>
        </w:rPr>
        <w:t>Governing Document</w:t>
      </w:r>
      <w:r>
        <w:rPr>
          <w:rFonts w:ascii="Times New Roman" w:cs="Times New Roman" w:eastAsia="Times New Roman" w:hAnsi="Times New Roman"/>
          <w:sz w:val="18"/>
          <w:szCs w:val="18"/>
          <w:color w:val="auto"/>
        </w:rPr>
        <w:t>.” The Trustee and each Warrant Agent shall be referred to herein as a “</w:t>
      </w:r>
      <w:r>
        <w:rPr>
          <w:rFonts w:ascii="Times New Roman" w:cs="Times New Roman" w:eastAsia="Times New Roman" w:hAnsi="Times New Roman"/>
          <w:sz w:val="18"/>
          <w:szCs w:val="18"/>
          <w:u w:val="single" w:color="auto"/>
          <w:color w:val="auto"/>
        </w:rPr>
        <w:t>Governing Document Counterparty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of the Securities, we have examined originals, or copies certified or otherwise identified to our satisfaction, of such documents, corporate records and other instruments as we have deemed necessary for the purposes of this opinion, including: (i) the organizational documents of the Company, (ii) minutes and records of the corporate proceedings of the Company and (iii) the Registration Statement and the exhibits thereto.</w:t>
      </w:r>
    </w:p>
    <w:p>
      <w:pPr>
        <w:spacing w:after="0" w:line="18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have also assumed that:</w:t>
      </w:r>
    </w:p>
    <w:p>
      <w:pPr>
        <w:spacing w:after="0" w:line="117" w:lineRule="exact"/>
        <w:rPr>
          <w:sz w:val="20"/>
          <w:szCs w:val="20"/>
          <w:color w:val="auto"/>
        </w:rPr>
      </w:pPr>
    </w:p>
    <w:p>
      <w:pPr>
        <w:ind w:left="664" w:hanging="224"/>
        <w:spacing w:after="0"/>
        <w:tabs>
          <w:tab w:leader="none" w:pos="66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have become effective and comply with all applicable laws;</w:t>
      </w:r>
    </w:p>
    <w:p>
      <w:pPr>
        <w:spacing w:after="0" w:line="225"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70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be effective and will comply with all applicable laws at the time the Securities are offered or issued as contemplated by the Registration Statement;</w:t>
      </w:r>
    </w:p>
    <w:p>
      <w:pPr>
        <w:spacing w:after="0" w:line="161"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75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or term sheet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will have been prepared and filed with the Commission describing the Securities offered thereby and will comply with all applicable laws;</w:t>
      </w:r>
    </w:p>
    <w:p>
      <w:pPr>
        <w:sectPr>
          <w:pgSz w:w="11900" w:h="16838" w:orient="portrait"/>
          <w:cols w:equalWidth="0" w:num="1">
            <w:col w:w="11004"/>
          </w:cols>
          <w:pgMar w:left="436" w:top="661"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182880</wp:posOffset>
            </wp:positionV>
            <wp:extent cx="1619885"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79705"/>
                    </a:xfrm>
                    <a:prstGeom prst="rect">
                      <a:avLst/>
                    </a:prstGeom>
                    <a:noFill/>
                  </pic:spPr>
                </pic:pic>
              </a:graphicData>
            </a:graphic>
          </wp:anchor>
        </w:drawing>
        <w:t>Navient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860" w:firstLine="436"/>
        <w:spacing w:after="0" w:line="282" w:lineRule="auto"/>
        <w:tabs>
          <w:tab w:leader="none" w:pos="7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will be issued and sold in the form and containing the terms set forth in the Registration Statement, the appropriate Prospectus Supplement and the relevant Governing Document;</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offered as well as the terms of the applicable Governing Document, as executed and delivered, do not violate any law applicable to the Company or result in a default under or breach of any agreement or instrument binding upon the Company;</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7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obtained any legally required consents, approvals, authorizations and other orders of the Commission and any other regulatory authorities necessary to issue and sell the Securities being offered and to execute and deliver the applicable Governing Document;</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8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offered as well as the terms of the applicable Governing Document, as executed and delivered, will comply with all requirements and restrictions, if any, applicable to the Company, whether imposed by any court or governmental or regulatory body having jurisdiction over the Company;</w:t>
      </w:r>
    </w:p>
    <w:p>
      <w:pPr>
        <w:spacing w:after="0" w:line="175" w:lineRule="exact"/>
        <w:rPr>
          <w:rFonts w:ascii="Times New Roman" w:cs="Times New Roman" w:eastAsia="Times New Roman" w:hAnsi="Times New Roman"/>
          <w:sz w:val="18"/>
          <w:szCs w:val="18"/>
          <w:color w:val="auto"/>
        </w:rPr>
      </w:pPr>
    </w:p>
    <w:p>
      <w:pPr>
        <w:ind w:right="640" w:firstLine="436"/>
        <w:spacing w:after="0" w:line="312" w:lineRule="auto"/>
        <w:tabs>
          <w:tab w:leader="none" w:pos="74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definitive distribution, purchase, underwriting, sales agent or similar agreement (each, a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with respect to any Securities offered or issued will have been duly authorized and validly executed and delivered by the Company and the other parties thereto;</w:t>
      </w:r>
    </w:p>
    <w:p>
      <w:pPr>
        <w:spacing w:after="0" w:line="13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indenture and indenture trustee will have been qualified under the Trust Indenture Act of 1939, as amended; and</w:t>
      </w:r>
    </w:p>
    <w:p>
      <w:pPr>
        <w:spacing w:after="0" w:line="225" w:lineRule="exact"/>
        <w:rPr>
          <w:rFonts w:ascii="Times New Roman" w:cs="Times New Roman" w:eastAsia="Times New Roman" w:hAnsi="Times New Roman"/>
          <w:sz w:val="18"/>
          <w:szCs w:val="18"/>
          <w:color w:val="auto"/>
        </w:rPr>
      </w:pPr>
    </w:p>
    <w:p>
      <w:pPr>
        <w:ind w:right="20" w:firstLine="436"/>
        <w:spacing w:after="0" w:line="282" w:lineRule="auto"/>
        <w:tabs>
          <w:tab w:leader="none" w:pos="7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issuable upon conversion, exchange, or exercise of any Security being offered or issued will be duly authorized, created, and, if appropriate, reserved for issuance upon such conversion, exchange, or exercise.</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qualifications, assumptions and limitations and the further limitations set forth below, we are of the opinion that:</w:t>
      </w:r>
    </w:p>
    <w:p>
      <w:pPr>
        <w:spacing w:after="0" w:line="54" w:lineRule="exact"/>
        <w:rPr>
          <w:sz w:val="20"/>
          <w:szCs w:val="20"/>
          <w:color w:val="auto"/>
        </w:rPr>
      </w:pPr>
    </w:p>
    <w:p>
      <w:pPr>
        <w:ind w:firstLine="436"/>
        <w:spacing w:after="0" w:line="256" w:lineRule="auto"/>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specific terms of any offering or offerings of Common Stock have been duly established by the Board of Directors of the Company or a committee thereof and in accordance with provisions of any applicable Purchase Agreement so as not to violate any applicable law or agreement or instrument then binding on the Company, and when certificates representing the shares of Common Stock have been duly executed, countersigned, registered and delivered against payment therefor in accordance with the applicable Purchase Agreement (which shall be in an amount at least equal to the par value of the shares being issued and sold) or upon exchange in accordance with the terms of any other Security that has been duly authorized, issued, paid for and delivered, such shares will be validly issued, fully paid and non-assessable.</w:t>
      </w:r>
    </w:p>
    <w:p>
      <w:pPr>
        <w:sectPr>
          <w:pgSz w:w="11900" w:h="16838" w:orient="portrait"/>
          <w:cols w:equalWidth="0" w:num="1">
            <w:col w:w="11000"/>
          </w:cols>
          <w:pgMar w:left="440" w:top="661" w:right="459" w:bottom="1440" w:gutter="0" w:footer="0" w:header="0"/>
        </w:sectPr>
      </w:pPr>
    </w:p>
    <w:bookmarkStart w:id="121" w:name="page122"/>
    <w:bookmarkEnd w:id="1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182880</wp:posOffset>
            </wp:positionV>
            <wp:extent cx="1619885"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79705"/>
                    </a:xfrm>
                    <a:prstGeom prst="rect">
                      <a:avLst/>
                    </a:prstGeom>
                    <a:noFill/>
                  </pic:spPr>
                </pic:pic>
              </a:graphicData>
            </a:graphic>
          </wp:anchor>
        </w:drawing>
        <w:t>Navient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29,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 w:right="20" w:firstLine="436"/>
        <w:spacing w:after="0" w:line="254" w:lineRule="auto"/>
        <w:tabs>
          <w:tab w:leader="none" w:pos="62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designation of the preferences and relative, participating, optional and other special rights, and qualifications, limitations or restrictions, of any series of Preferred Stock by the Board of Directors of the Company or a committee thereof and proper filing with the Secretary of State of the State of Delaware of a certificate of designations relating to such series of Preferred Stock, all necessary corporate action on the part of the Company will have been taken to authorize the issuance and sale of such series of Preferred Stock proposed to be sold by the Company, and when certificates representing the shares of Preferred Stock have been duly executed, countersigned, registered and delivered against payment therefor in accordance with the applicable Purchase Agreement (which shall be in an amount at least equal to the par value of the shares being issued and sold) or upon exchange in accordance with the terms of any other Security that has been duly authorized, issued, paid for and delivered, such shares will be validly issued, fully paid and non-assessable.</w:t>
      </w:r>
    </w:p>
    <w:p>
      <w:pPr>
        <w:spacing w:after="0" w:line="191" w:lineRule="exact"/>
        <w:rPr>
          <w:rFonts w:ascii="Times New Roman" w:cs="Times New Roman" w:eastAsia="Times New Roman" w:hAnsi="Times New Roman"/>
          <w:sz w:val="18"/>
          <w:szCs w:val="18"/>
          <w:color w:val="auto"/>
        </w:rPr>
      </w:pPr>
    </w:p>
    <w:p>
      <w:pPr>
        <w:ind w:left="4" w:right="80" w:firstLine="436"/>
        <w:spacing w:after="0" w:line="269" w:lineRule="auto"/>
        <w:tabs>
          <w:tab w:leader="none" w:pos="624"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as and if (a) the terms of any particular series of Debt Securities have been duly authorized and duly established in accordance with the Indenture and applicable law, (b) the appropriate corporate or organizational action has been taken to authorize the form, terms, execution and delivery of such Debt Securities (and any required amendment or supplement to the Indenture), and (c) the applicable Debt Securities have been duly executed, attested, issued and delivered by duly authorized officers against payment in accordance with such authorization, the Indenture, the applicable Purchase Agreement and applicable law and authenticated by the Trustee, such Debt Securities (including any Debt Securities duly executed and delivered</w:t>
      </w:r>
    </w:p>
    <w:p>
      <w:pPr>
        <w:spacing w:after="0" w:line="2" w:lineRule="exact"/>
        <w:rPr>
          <w:rFonts w:ascii="Times New Roman" w:cs="Times New Roman" w:eastAsia="Times New Roman" w:hAnsi="Times New Roman"/>
          <w:sz w:val="17"/>
          <w:szCs w:val="17"/>
          <w:color w:val="auto"/>
        </w:rPr>
      </w:pPr>
    </w:p>
    <w:p>
      <w:pPr>
        <w:ind w:left="4" w:right="160" w:hanging="4"/>
        <w:spacing w:after="0" w:line="255" w:lineRule="auto"/>
        <w:tabs>
          <w:tab w:leader="none" w:pos="2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exchange or conversion of Debt Securities that are exchangeable or convertible into another series of Debt Securities or (ii) upon the exercise of Warrants pursuant to the terms thereof that are exercisable for the purchase of Debt Securities) will constitute valid and binding obligations of the Company enforceable against the Company in accordance with their terms.</w:t>
      </w:r>
    </w:p>
    <w:p>
      <w:pPr>
        <w:spacing w:after="0" w:line="185" w:lineRule="exact"/>
        <w:rPr>
          <w:rFonts w:ascii="Times New Roman" w:cs="Times New Roman" w:eastAsia="Times New Roman" w:hAnsi="Times New Roman"/>
          <w:sz w:val="18"/>
          <w:szCs w:val="18"/>
          <w:color w:val="auto"/>
        </w:rPr>
      </w:pPr>
    </w:p>
    <w:p>
      <w:pPr>
        <w:ind w:left="4" w:firstLine="436"/>
        <w:spacing w:after="0" w:line="255" w:lineRule="auto"/>
        <w:tabs>
          <w:tab w:leader="none" w:pos="62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as and if (a) the appropriate corporate action has been taken by the Company to authorize the form, terms, execution and delivery of the Warrant Agreement (including a form of certificate evidencing the Warrants), (b) Warrants with such terms have been duly executed, attested, issued and delivered by duly authorized officers of the Company against payment in accordance with such authorization, the applicable Purchase Agreement and applicable law, and (c) the Securities issuable upon exercise of such Warrants have been duly authorized and reserved for issuance by all necessary corporate or organizational action and, in the case of Warrants to purchase Debt Securities, when the terms of such Debt Securities have been duly authorized and duly established in accordance with the terms of the applicable indenture, applicable law and the appropriate corporate or organizational action, such Warrants will constitute valid and binding obligations of the Company, enforceable against the Company in accordance with their terms.</w:t>
      </w:r>
    </w:p>
    <w:p>
      <w:pPr>
        <w:sectPr>
          <w:pgSz w:w="11900" w:h="16838" w:orient="portrait"/>
          <w:cols w:equalWidth="0" w:num="1">
            <w:col w:w="11004"/>
          </w:cols>
          <w:pgMar w:left="436" w:top="661" w:right="459" w:bottom="1440" w:gutter="0" w:footer="0" w:header="0"/>
        </w:sectPr>
      </w:pPr>
    </w:p>
    <w:bookmarkStart w:id="122" w:name="page123"/>
    <w:bookmarkEnd w:id="1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182880</wp:posOffset>
            </wp:positionV>
            <wp:extent cx="161988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79705"/>
                    </a:xfrm>
                    <a:prstGeom prst="rect">
                      <a:avLst/>
                    </a:prstGeom>
                    <a:noFill/>
                  </pic:spPr>
                </pic:pic>
              </a:graphicData>
            </a:graphic>
          </wp:anchor>
        </w:drawing>
        <w:t>Navient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29,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4" w:firstLine="436"/>
        <w:spacing w:after="0" w:line="254" w:lineRule="auto"/>
        <w:tabs>
          <w:tab w:leader="none" w:pos="6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as and if (a) any Units have been duly authorized and duly established in accordance with applicable law, (b) the appropriate corporate action has been taken by the Company to authorize the form, terms, execution and delivery of the Units (including a form of certificate evidencing the Units) and the related Unit Agreement, (c) the Unit Agreement has been duly executed and delivered by the Company in accordance with such Company authorization, (d) the Units with such terms have been duly executed, attested, issued and delivered by any applicable Governing Document Counterparty and/or duly authorized officers of the Company against payment in accordance with such Company authorization, the applicable Purchase Agreement, applicable Unit Agreement and applicable law, and (e) the Securities issuable upon exercise of such Units and Unit Agreement have been duly authorized and reserved for issuance by all necessary corporate or organizational action, such Units and Unit Agreement will constitute valid and binding obligations of the Company, enforceable against the Company in accordance with their terms.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opinions expressed above are subject to the qualifications that we express no opinion as to the applicability of, compliance with, or effect of</w:t>
      </w:r>
    </w:p>
    <w:p>
      <w:pPr>
        <w:spacing w:after="0" w:line="27" w:lineRule="exact"/>
        <w:rPr>
          <w:sz w:val="20"/>
          <w:szCs w:val="20"/>
          <w:color w:val="auto"/>
        </w:rPr>
      </w:pPr>
    </w:p>
    <w:p>
      <w:pPr>
        <w:ind w:left="4" w:right="80" w:hanging="4"/>
        <w:spacing w:after="0" w:line="253" w:lineRule="auto"/>
        <w:tabs>
          <w:tab w:leader="none" w:pos="2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(iii) public policy considerations which may limit the rights of parties to obtain certain remedies, and (iv) any laws except the federal securities laws of the United States, the laws of the State of New York and the General Corporation Law of the State of Delaware, including the applicable provisions of the Delaware constitution and reported judicial decisions interpreting these laws.</w:t>
      </w:r>
    </w:p>
    <w:p>
      <w:pPr>
        <w:spacing w:after="0" w:line="187"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We express no opinion with respect to the enforceability of (i) consents to, or restrictions upon, judicial relief or jurisdiction or venue; (ii) waivers of rights or defenses with respect to stay, extension or usury laws; (iii) advance waivers of claims, defenses, rights granted by law, or notice, opportunity for hearing, evidentiary requirements, statutes of limitation, trial by jury or at law, or other procedural rights; (iv) waivers of broadly or vaguely stated rights; (v) provisions for exclusivity, election or cumulation of rights or remedies; (vi) provisions authorizing or validating conclusive or discretionary determinations; (vii) grants of setoff rights; (viii) provisions for the payment of attorneys’ fees where such payment is contrary to law or public policy;</w:t>
      </w:r>
    </w:p>
    <w:p>
      <w:pPr>
        <w:spacing w:after="0" w:line="3" w:lineRule="exact"/>
        <w:rPr>
          <w:sz w:val="20"/>
          <w:szCs w:val="20"/>
          <w:color w:val="auto"/>
        </w:rPr>
      </w:pPr>
    </w:p>
    <w:p>
      <w:pPr>
        <w:ind w:left="4" w:right="80" w:hanging="4"/>
        <w:spacing w:after="0" w:line="265" w:lineRule="auto"/>
        <w:tabs>
          <w:tab w:leader="none" w:pos="309"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proxies, powers and trusts; (x) restrictions upon non-written modifications and waivers; (xi) provisions prohibiting, restricting, or requiring consent to assignment or transfer of any right or property; (xii) any provision to the extent it requires any party to indemnify any other person against loss in obtaining the currency due following a court judgment in another currency; and (xiii) provisions for liquidated damages, default interest, late charges, monetary penalties, make-whole premiums or other economic remedies to the extent such provisions are deemed to constitute a penalty. In addition, we express no opinion with respect to (i) whether acceleration of the Debt Securities may affect the collectibility of that portion of the stated principal amount thereof that might be determined to constitute unearned interest thereon, (ii) compliance with laws relating to permissible rates of interest or</w:t>
      </w:r>
    </w:p>
    <w:p>
      <w:pPr>
        <w:ind w:left="324" w:hanging="324"/>
        <w:spacing w:after="0"/>
        <w:tabs>
          <w:tab w:leader="none" w:pos="3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validity, perfection or priority of any security interest or lien.</w:t>
      </w:r>
    </w:p>
    <w:p>
      <w:pPr>
        <w:sectPr>
          <w:pgSz w:w="11900" w:h="16838" w:orient="portrait"/>
          <w:cols w:equalWidth="0" w:num="1">
            <w:col w:w="11004"/>
          </w:cols>
          <w:pgMar w:left="436" w:top="661"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182880</wp:posOffset>
            </wp:positionV>
            <wp:extent cx="1619885"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79705"/>
                    </a:xfrm>
                    <a:prstGeom prst="rect">
                      <a:avLst/>
                    </a:prstGeom>
                    <a:noFill/>
                  </pic:spPr>
                </pic:pic>
              </a:graphicData>
            </a:graphic>
          </wp:anchor>
        </w:drawing>
        <w:t>Navient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the obligations of the Company under any Governing Document may be dependent on such matters, we assume for purposes of this opinion that the applicable Governing Document Counterparty is duly organized, validly existing and in good standing under the laws of its jurisdiction of organization; that the applicable Governing Document Counterparty is duly qualified to engage in the activities contemplated by the applicable Governing Document; that the applicable Governing Document has been duly authorized, executed and delivered by the applicable Governing Document Counterparty and constitutes the legally valid and binding obligations of such Governing Document Counterparty, enforceable against such Governing Document Counterparty in accordance with its terms; that the applicable Governing Document Counterparty is in compliance, generally and with respect to acting as trustee, warrant agent or other counterparty, as the case may be, under the applicable Governing Document, with all applicable laws and regulations; and that the applicable Governing Document Counterparty has the requisite organizational and legal power and authority to perform its obligations under the applicable Governing Document.</w:t>
      </w:r>
    </w:p>
    <w:p>
      <w:pPr>
        <w:spacing w:after="0" w:line="188"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do not find it necessary for the purposes of this opinion, and accordingly we do not purport to cover herein, the application of the securities or “Blue Sky” laws of the various states to the sale of the Securities.</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 We assume no obligation to revise or supplement this opinion should the present federal securities laws of the United States, laws of the State of New York or the General Corporation Law of the State of Delaware be changed by legislative action, judicial decision or otherwise.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Registration Statement, and is not to be used, circulated, quoted or otherwise relied upon for any other purpose.</w:t>
      </w:r>
    </w:p>
    <w:p>
      <w:pPr>
        <w:sectPr>
          <w:pgSz w:w="11900" w:h="16838" w:orient="portrait"/>
          <w:cols w:equalWidth="0" w:num="1">
            <w:col w:w="10960"/>
          </w:cols>
          <w:pgMar w:left="440" w:top="661"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2968625</wp:posOffset>
            </wp:positionH>
            <wp:positionV relativeFrom="page">
              <wp:posOffset>182880</wp:posOffset>
            </wp:positionV>
            <wp:extent cx="161988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619885" cy="179705"/>
                    </a:xfrm>
                    <a:prstGeom prst="rect">
                      <a:avLst/>
                    </a:prstGeom>
                    <a:noFill/>
                  </pic:spPr>
                </pic:pic>
              </a:graphicData>
            </a:graphic>
          </wp:anchor>
        </w:drawing>
        <w:t>Navient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Kirkland &amp; Ellis LLP</w:t>
      </w:r>
    </w:p>
    <w:p>
      <w:pPr>
        <w:spacing w:after="0" w:line="239"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8"/>
          <w:szCs w:val="18"/>
          <w:color w:val="auto"/>
        </w:rPr>
        <w:t>KIRKLAND &amp; ELLIS LLP</w:t>
      </w:r>
    </w:p>
    <w:p>
      <w:pPr>
        <w:sectPr>
          <w:pgSz w:w="11900" w:h="16838" w:orient="portrait"/>
          <w:cols w:equalWidth="0" w:num="1">
            <w:col w:w="10019"/>
          </w:cols>
          <w:pgMar w:left="440" w:top="661"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840105" cy="386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8401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KPMG LLP</w:t>
      </w:r>
    </w:p>
    <w:p>
      <w:pPr>
        <w:ind w:left="2300"/>
        <w:spacing w:after="0" w:line="226" w:lineRule="auto"/>
        <w:rPr>
          <w:sz w:val="20"/>
          <w:szCs w:val="20"/>
          <w:color w:val="auto"/>
        </w:rPr>
      </w:pPr>
      <w:r>
        <w:rPr>
          <w:rFonts w:ascii="Times New Roman" w:cs="Times New Roman" w:eastAsia="Times New Roman" w:hAnsi="Times New Roman"/>
          <w:sz w:val="14"/>
          <w:szCs w:val="14"/>
          <w:color w:val="auto"/>
        </w:rPr>
        <w:t>Suite 900</w:t>
      </w:r>
    </w:p>
    <w:p>
      <w:pPr>
        <w:ind w:left="2300"/>
        <w:spacing w:after="0" w:line="222" w:lineRule="auto"/>
        <w:rPr>
          <w:sz w:val="20"/>
          <w:szCs w:val="20"/>
          <w:color w:val="auto"/>
        </w:rPr>
      </w:pPr>
      <w:r>
        <w:rPr>
          <w:rFonts w:ascii="Times New Roman" w:cs="Times New Roman" w:eastAsia="Times New Roman" w:hAnsi="Times New Roman"/>
          <w:sz w:val="14"/>
          <w:szCs w:val="14"/>
          <w:color w:val="auto"/>
        </w:rPr>
        <w:t>8350 Broad Street</w:t>
      </w:r>
    </w:p>
    <w:p>
      <w:pPr>
        <w:ind w:left="2300"/>
        <w:spacing w:after="0"/>
        <w:rPr>
          <w:sz w:val="20"/>
          <w:szCs w:val="20"/>
          <w:color w:val="auto"/>
        </w:rPr>
      </w:pPr>
      <w:r>
        <w:rPr>
          <w:rFonts w:ascii="Times New Roman" w:cs="Times New Roman" w:eastAsia="Times New Roman" w:hAnsi="Times New Roman"/>
          <w:sz w:val="14"/>
          <w:szCs w:val="14"/>
          <w:color w:val="auto"/>
        </w:rPr>
        <w:t>McLean, VA 22102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February 26, 2026, with respect to the consolidated financial statements of Navient Corporation, and the effectiveness of internal control over financial reporting, incorporated herein by reference, and to the reference to our firm under the heading “Experts” in the prospectus.</w:t>
      </w:r>
    </w:p>
    <w:p>
      <w:pPr>
        <w:sectPr>
          <w:pgSz w:w="11900" w:h="16838" w:orient="portrait"/>
          <w:cols w:equalWidth="0" w:num="1">
            <w:col w:w="11020"/>
          </w:cols>
          <w:pgMar w:left="440" w:top="117" w:right="4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McLean, Virginia October 29, 2026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1820"/>
        <w:spacing w:after="0" w:line="241" w:lineRule="auto"/>
        <w:rPr>
          <w:sz w:val="20"/>
          <w:szCs w:val="20"/>
          <w:color w:val="auto"/>
        </w:rPr>
      </w:pPr>
      <w:r>
        <w:rPr>
          <w:rFonts w:ascii="Times New Roman" w:cs="Times New Roman" w:eastAsia="Times New Roman" w:hAnsi="Times New Roman"/>
          <w:sz w:val="14"/>
          <w:szCs w:val="14"/>
          <w:color w:val="auto"/>
        </w:rPr>
        <w:t>KPMG LLP, a Delaware limited liability partnership, and its subsidiaries are part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ectPr>
          <w:pgSz w:w="11900" w:h="16838" w:orient="portrait"/>
          <w:cols w:equalWidth="0" w:num="3">
            <w:col w:w="1300" w:space="480"/>
            <w:col w:w="6640" w:space="720"/>
            <w:col w:w="1880"/>
          </w:cols>
          <w:pgMar w:left="440" w:top="117" w:right="4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Navient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132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10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0" w:type="dxa"/>
            <w:vAlign w:val="bottom"/>
          </w:tcPr>
          <w:p>
            <w:pPr>
              <w:spacing w:after="0"/>
              <w:rPr>
                <w:sz w:val="1"/>
                <w:szCs w:val="1"/>
                <w:color w:val="auto"/>
              </w:rPr>
            </w:pPr>
          </w:p>
        </w:tc>
      </w:tr>
      <w:tr>
        <w:trPr>
          <w:trHeight w:val="128"/>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left="13"/>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7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Carry</w:t>
            </w:r>
          </w:p>
        </w:tc>
        <w:tc>
          <w:tcPr>
            <w:tcW w:w="8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Calculation or</w:t>
            </w:r>
          </w:p>
        </w:tc>
        <w:tc>
          <w:tcPr>
            <w:tcW w:w="10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with Unsold</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10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74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Initial</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c>
          <w:tcPr>
            <w:tcW w:w="0" w:type="dxa"/>
            <w:vAlign w:val="bottom"/>
          </w:tcPr>
          <w:p>
            <w:pPr>
              <w:spacing w:after="0"/>
              <w:rPr>
                <w:sz w:val="1"/>
                <w:szCs w:val="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1040" w:type="dxa"/>
            <w:vAlign w:val="bottom"/>
            <w:tcBorders>
              <w:right w:val="single" w:sz="8" w:color="auto"/>
            </w:tcBorders>
          </w:tcPr>
          <w:p>
            <w:pPr>
              <w:jc w:val="right"/>
              <w:ind w:right="175"/>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740" w:type="dxa"/>
            <w:vAlign w:val="bottom"/>
            <w:tcBorders>
              <w:right w:val="single" w:sz="8" w:color="auto"/>
            </w:tcBorders>
          </w:tcPr>
          <w:p>
            <w:pPr>
              <w:jc w:val="center"/>
              <w:ind w:left="12"/>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86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effective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c>
          <w:tcPr>
            <w:tcW w:w="0" w:type="dxa"/>
            <w:vAlign w:val="bottom"/>
          </w:tcPr>
          <w:p>
            <w:pPr>
              <w:spacing w:after="0"/>
              <w:rPr>
                <w:sz w:val="1"/>
                <w:szCs w:val="1"/>
                <w:color w:val="auto"/>
              </w:rPr>
            </w:pPr>
          </w:p>
        </w:tc>
      </w:tr>
      <w:tr>
        <w:trPr>
          <w:trHeight w:val="174"/>
        </w:trPr>
        <w:tc>
          <w:tcPr>
            <w:tcW w:w="132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Registered(1)(2)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Unit(1)(2) </w:t>
            </w:r>
          </w:p>
        </w:tc>
        <w:tc>
          <w:tcPr>
            <w:tcW w:w="740" w:type="dxa"/>
            <w:vAlign w:val="bottom"/>
            <w:tcBorders>
              <w:bottom w:val="single" w:sz="8" w:color="auto"/>
              <w:right w:val="single" w:sz="8" w:color="auto"/>
            </w:tcBorders>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rPr>
              <w:t xml:space="preserve">Price(1)(2) </w:t>
            </w:r>
          </w:p>
        </w:tc>
        <w:tc>
          <w:tcPr>
            <w:tcW w:w="8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 xml:space="preserve">Fee Rate(2)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Number </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235"/>
        </w:trPr>
        <w:tc>
          <w:tcPr>
            <w:tcW w:w="132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Fees to Be</w:t>
            </w: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32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$0.01</w:t>
            </w: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2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w:t>
            </w: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$0.20</w:t>
            </w: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Fees</w:t>
            </w: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Previously</w:t>
            </w: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32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3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Carry</w:t>
            </w: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Forward</w:t>
            </w:r>
          </w:p>
        </w:tc>
        <w:tc>
          <w:tcPr>
            <w:tcW w:w="6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Securities</w:t>
            </w:r>
          </w:p>
        </w:tc>
        <w:tc>
          <w:tcPr>
            <w:tcW w:w="6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Total Fees Previously Paid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 Fee Due </w:t>
            </w: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Form S-3 Instructions to the Calculation of Filing Fee Tables and Related Disclosure 2(A)(iii)(c).</w:t>
      </w:r>
    </w:p>
    <w:p>
      <w:pPr>
        <w:spacing w:after="0" w:line="27" w:lineRule="exact"/>
        <w:rPr>
          <w:rFonts w:ascii="Times New Roman" w:cs="Times New Roman" w:eastAsia="Times New Roman" w:hAnsi="Times New Roman"/>
          <w:sz w:val="18"/>
          <w:szCs w:val="18"/>
          <w:color w:val="auto"/>
        </w:rPr>
      </w:pPr>
    </w:p>
    <w:p>
      <w:pPr>
        <w:ind w:left="424" w:right="20" w:hanging="424"/>
        <w:spacing w:after="0" w:line="251" w:lineRule="auto"/>
        <w:tabs>
          <w:tab w:leader="none" w:pos="4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principal amount or number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such securities.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ectPr>
          <w:pgSz w:w="11900" w:h="16838" w:orient="portrait"/>
          <w:cols w:equalWidth="0" w:num="1">
            <w:col w:w="11024"/>
          </w:cols>
          <w:pgMar w:left="436" w:top="117" w:right="4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2: Fee Offset Claims and Sources</w:t>
      </w:r>
    </w:p>
    <w:p>
      <w:pPr>
        <w:spacing w:after="0" w:line="254" w:lineRule="exact"/>
        <w:rPr>
          <w:sz w:val="20"/>
          <w:szCs w:val="20"/>
          <w:color w:val="auto"/>
        </w:rPr>
      </w:pPr>
    </w:p>
    <w:tbl>
      <w:tblPr>
        <w:tblLayout w:type="fixed"/>
        <w:tblInd w:w="70" w:type="dxa"/>
        <w:tblCellMar>
          <w:top w:w="0" w:type="dxa"/>
          <w:left w:w="0" w:type="dxa"/>
          <w:bottom w:w="0" w:type="dxa"/>
          <w:right w:w="0" w:type="dxa"/>
        </w:tblCellMar>
      </w:tblPr>
      <w:tr>
        <w:trPr>
          <w:trHeight w:val="142"/>
        </w:trPr>
        <w:tc>
          <w:tcPr>
            <w:tcW w:w="1280" w:type="dxa"/>
            <w:vAlign w:val="bottom"/>
            <w:tcBorders>
              <w:top w:val="single" w:sz="8" w:color="auto"/>
              <w:left w:val="single" w:sz="8" w:color="auto"/>
            </w:tcBorders>
          </w:tcPr>
          <w:p>
            <w:pPr>
              <w:spacing w:after="0"/>
              <w:rPr>
                <w:sz w:val="12"/>
                <w:szCs w:val="12"/>
                <w:color w:val="auto"/>
              </w:rPr>
            </w:pPr>
          </w:p>
        </w:tc>
        <w:tc>
          <w:tcPr>
            <w:tcW w:w="224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42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Unsold</w:t>
            </w:r>
          </w:p>
        </w:tc>
        <w:tc>
          <w:tcPr>
            <w:tcW w:w="660" w:type="dxa"/>
            <w:vAlign w:val="bottom"/>
            <w:tcBorders>
              <w:top w:val="single" w:sz="8" w:color="auto"/>
              <w:right w:val="single" w:sz="8" w:color="auto"/>
            </w:tcBorders>
          </w:tcPr>
          <w:p>
            <w:pPr>
              <w:spacing w:after="0"/>
              <w:rPr>
                <w:sz w:val="12"/>
                <w:szCs w:val="12"/>
                <w:color w:val="auto"/>
              </w:rPr>
            </w:pPr>
          </w:p>
        </w:tc>
      </w:tr>
      <w:tr>
        <w:trPr>
          <w:trHeight w:val="135"/>
        </w:trPr>
        <w:tc>
          <w:tcPr>
            <w:tcW w:w="1280" w:type="dxa"/>
            <w:vAlign w:val="bottom"/>
            <w:tcBorders>
              <w:lef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660" w:type="dxa"/>
            <w:vAlign w:val="bottom"/>
            <w:tcBorders>
              <w:right w:val="single" w:sz="8" w:color="auto"/>
            </w:tcBorders>
          </w:tcPr>
          <w:p>
            <w:pPr>
              <w:spacing w:after="0"/>
              <w:rPr>
                <w:sz w:val="11"/>
                <w:szCs w:val="11"/>
                <w:color w:val="auto"/>
              </w:rPr>
            </w:pPr>
          </w:p>
        </w:tc>
      </w:tr>
      <w:tr>
        <w:trPr>
          <w:trHeight w:val="135"/>
        </w:trPr>
        <w:tc>
          <w:tcPr>
            <w:tcW w:w="1280" w:type="dxa"/>
            <w:vAlign w:val="bottom"/>
            <w:tcBorders>
              <w:lef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12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660" w:type="dxa"/>
            <w:vAlign w:val="bottom"/>
            <w:tcBorders>
              <w:right w:val="single" w:sz="8" w:color="auto"/>
            </w:tcBorders>
          </w:tcPr>
          <w:p>
            <w:pPr>
              <w:spacing w:after="0"/>
              <w:rPr>
                <w:sz w:val="11"/>
                <w:szCs w:val="11"/>
                <w:color w:val="auto"/>
              </w:rPr>
            </w:pPr>
          </w:p>
        </w:tc>
      </w:tr>
      <w:tr>
        <w:trPr>
          <w:trHeight w:val="135"/>
        </w:trPr>
        <w:tc>
          <w:tcPr>
            <w:tcW w:w="1280" w:type="dxa"/>
            <w:vAlign w:val="bottom"/>
            <w:tcBorders>
              <w:lef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Type</w:t>
            </w:r>
          </w:p>
        </w:tc>
        <w:tc>
          <w:tcPr>
            <w:tcW w:w="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Title</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2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Borders>
              <w:right w:val="single" w:sz="8" w:color="auto"/>
            </w:tcBorders>
          </w:tcPr>
          <w:p>
            <w:pPr>
              <w:spacing w:after="0"/>
              <w:rPr>
                <w:sz w:val="11"/>
                <w:szCs w:val="11"/>
                <w:color w:val="auto"/>
              </w:rPr>
            </w:pPr>
          </w:p>
        </w:tc>
      </w:tr>
      <w:tr>
        <w:trPr>
          <w:trHeight w:val="135"/>
        </w:trPr>
        <w:tc>
          <w:tcPr>
            <w:tcW w:w="1280" w:type="dxa"/>
            <w:vAlign w:val="bottom"/>
            <w:tcBorders>
              <w:lef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0"/>
              </w:rPr>
              <w:t>Form</w:t>
            </w:r>
          </w:p>
        </w:tc>
        <w:tc>
          <w:tcPr>
            <w:tcW w:w="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12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Associated</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Fee Paid</w:t>
            </w:r>
          </w:p>
        </w:tc>
      </w:tr>
      <w:tr>
        <w:trPr>
          <w:trHeight w:val="135"/>
        </w:trPr>
        <w:tc>
          <w:tcPr>
            <w:tcW w:w="1280" w:type="dxa"/>
            <w:vAlign w:val="bottom"/>
            <w:tcBorders>
              <w:lef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Registrant</w:t>
            </w:r>
          </w:p>
        </w:tc>
        <w:tc>
          <w:tcPr>
            <w:tcW w:w="100" w:type="dxa"/>
            <w:vAlign w:val="bottom"/>
          </w:tcPr>
          <w:p>
            <w:pPr>
              <w:spacing w:after="0"/>
              <w:rPr>
                <w:sz w:val="11"/>
                <w:szCs w:val="11"/>
                <w:color w:val="auto"/>
              </w:rPr>
            </w:pPr>
          </w:p>
        </w:tc>
        <w:tc>
          <w:tcPr>
            <w:tcW w:w="3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or</w:t>
            </w:r>
          </w:p>
        </w:tc>
        <w:tc>
          <w:tcPr>
            <w:tcW w:w="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4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12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with Fee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r>
      <w:tr>
        <w:trPr>
          <w:trHeight w:val="135"/>
        </w:trPr>
        <w:tc>
          <w:tcPr>
            <w:tcW w:w="1280" w:type="dxa"/>
            <w:vAlign w:val="bottom"/>
            <w:tcBorders>
              <w:left w:val="single" w:sz="8" w:color="auto"/>
            </w:tcBorders>
          </w:tcPr>
          <w:p>
            <w:pPr>
              <w:spacing w:after="0"/>
              <w:rPr>
                <w:sz w:val="11"/>
                <w:szCs w:val="11"/>
                <w:color w:val="auto"/>
              </w:rPr>
            </w:pPr>
          </w:p>
        </w:tc>
        <w:tc>
          <w:tcPr>
            <w:tcW w:w="2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jc w:val="center"/>
              <w:ind w:right="32"/>
              <w:spacing w:after="0" w:line="135" w:lineRule="exact"/>
              <w:rPr>
                <w:sz w:val="20"/>
                <w:szCs w:val="20"/>
                <w:color w:val="auto"/>
              </w:rPr>
            </w:pPr>
            <w:r>
              <w:rPr>
                <w:rFonts w:ascii="Times New Roman" w:cs="Times New Roman" w:eastAsia="Times New Roman" w:hAnsi="Times New Roman"/>
                <w:sz w:val="13"/>
                <w:szCs w:val="13"/>
                <w:b w:val="1"/>
                <w:bCs w:val="1"/>
                <w:color w:val="auto"/>
                <w:w w:val="99"/>
              </w:rPr>
              <w:t>or Filer</w:t>
            </w:r>
          </w:p>
        </w:tc>
        <w:tc>
          <w:tcPr>
            <w:tcW w:w="100" w:type="dxa"/>
            <w:vAlign w:val="bottom"/>
          </w:tcPr>
          <w:p>
            <w:pPr>
              <w:spacing w:after="0"/>
              <w:rPr>
                <w:sz w:val="11"/>
                <w:szCs w:val="11"/>
                <w:color w:val="auto"/>
              </w:rPr>
            </w:pPr>
          </w:p>
        </w:tc>
        <w:tc>
          <w:tcPr>
            <w:tcW w:w="3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Filing</w:t>
            </w:r>
          </w:p>
        </w:tc>
        <w:tc>
          <w:tcPr>
            <w:tcW w:w="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4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Filing</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Filing</w:t>
            </w:r>
          </w:p>
        </w:tc>
        <w:tc>
          <w:tcPr>
            <w:tcW w:w="10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Fee Offset</w:t>
            </w:r>
          </w:p>
        </w:tc>
        <w:tc>
          <w:tcPr>
            <w:tcW w:w="7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Offset</w:t>
            </w:r>
          </w:p>
        </w:tc>
        <w:tc>
          <w:tcPr>
            <w:tcW w:w="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Offset</w:t>
            </w:r>
          </w:p>
        </w:tc>
        <w:tc>
          <w:tcPr>
            <w:tcW w:w="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120" w:type="dxa"/>
            <w:vAlign w:val="bottom"/>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r>
      <w:tr>
        <w:trPr>
          <w:trHeight w:val="167"/>
        </w:trPr>
        <w:tc>
          <w:tcPr>
            <w:tcW w:w="1280" w:type="dxa"/>
            <w:vAlign w:val="bottom"/>
            <w:tcBorders>
              <w:left w:val="single" w:sz="8" w:color="auto"/>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Number </w:t>
            </w:r>
          </w:p>
        </w:tc>
        <w:tc>
          <w:tcPr>
            <w:tcW w:w="5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Claimed </w:t>
            </w:r>
          </w:p>
        </w:tc>
        <w:tc>
          <w:tcPr>
            <w:tcW w:w="7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Claimed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Source</w:t>
            </w:r>
          </w:p>
        </w:tc>
      </w:tr>
      <w:tr>
        <w:trPr>
          <w:trHeight w:val="235"/>
        </w:trPr>
        <w:tc>
          <w:tcPr>
            <w:tcW w:w="1280" w:type="dxa"/>
            <w:vAlign w:val="bottom"/>
            <w:tcBorders>
              <w:left w:val="single" w:sz="8" w:color="auto"/>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Rules 457(b) and 0-11(a)(2)</w:t>
            </w: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207"/>
        </w:trPr>
        <w:tc>
          <w:tcPr>
            <w:tcW w:w="128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tcPr>
          <w:p>
            <w:pPr>
              <w:jc w:val="center"/>
              <w:ind w:right="1073"/>
              <w:spacing w:after="0"/>
              <w:rPr>
                <w:sz w:val="20"/>
                <w:szCs w:val="20"/>
                <w:color w:val="auto"/>
              </w:rPr>
            </w:pPr>
            <w:r>
              <w:rPr>
                <w:rFonts w:ascii="Times New Roman" w:cs="Times New Roman" w:eastAsia="Times New Roman" w:hAnsi="Times New Roman"/>
                <w:sz w:val="18"/>
                <w:szCs w:val="18"/>
                <w:color w:val="auto"/>
              </w:rPr>
              <w:t>Fee Offset</w:t>
            </w: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2240" w:type="dxa"/>
            <w:vAlign w:val="bottom"/>
            <w:tcBorders>
              <w:right w:val="single" w:sz="8" w:color="auto"/>
            </w:tcBorders>
          </w:tcPr>
          <w:p>
            <w:pPr>
              <w:jc w:val="center"/>
              <w:ind w:right="1073"/>
              <w:spacing w:after="0"/>
              <w:rPr>
                <w:sz w:val="20"/>
                <w:szCs w:val="20"/>
                <w:color w:val="auto"/>
              </w:rPr>
            </w:pPr>
            <w:r>
              <w:rPr>
                <w:rFonts w:ascii="Times New Roman" w:cs="Times New Roman" w:eastAsia="Times New Roman" w:hAnsi="Times New Roman"/>
                <w:sz w:val="18"/>
                <w:szCs w:val="18"/>
                <w:color w:val="auto"/>
              </w:rPr>
              <w:t>Claims</w:t>
            </w:r>
          </w:p>
        </w:tc>
        <w:tc>
          <w:tcPr>
            <w:tcW w:w="1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205"/>
        </w:trPr>
        <w:tc>
          <w:tcPr>
            <w:tcW w:w="1280" w:type="dxa"/>
            <w:vAlign w:val="bottom"/>
            <w:tcBorders>
              <w:left w:val="single" w:sz="8" w:color="auto"/>
            </w:tcBorders>
          </w:tcPr>
          <w:p>
            <w:pPr>
              <w:spacing w:after="0"/>
              <w:rPr>
                <w:sz w:val="17"/>
                <w:szCs w:val="17"/>
                <w:color w:val="auto"/>
              </w:rPr>
            </w:pPr>
          </w:p>
        </w:tc>
        <w:tc>
          <w:tcPr>
            <w:tcW w:w="2240" w:type="dxa"/>
            <w:vAlign w:val="bottom"/>
            <w:tcBorders>
              <w:right w:val="single" w:sz="8" w:color="auto"/>
            </w:tcBorders>
          </w:tcPr>
          <w:p>
            <w:pPr>
              <w:jc w:val="center"/>
              <w:ind w:right="1073"/>
              <w:spacing w:after="0" w:line="205" w:lineRule="exact"/>
              <w:rPr>
                <w:sz w:val="20"/>
                <w:szCs w:val="20"/>
                <w:color w:val="auto"/>
              </w:rPr>
            </w:pPr>
            <w:r>
              <w:rPr>
                <w:rFonts w:ascii="Times New Roman" w:cs="Times New Roman" w:eastAsia="Times New Roman" w:hAnsi="Times New Roman"/>
                <w:sz w:val="18"/>
                <w:szCs w:val="18"/>
                <w:color w:val="auto"/>
              </w:rPr>
              <w:t>Fee Offset</w:t>
            </w:r>
          </w:p>
        </w:tc>
        <w:tc>
          <w:tcPr>
            <w:tcW w:w="1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2240" w:type="dxa"/>
            <w:vAlign w:val="bottom"/>
            <w:tcBorders>
              <w:right w:val="single" w:sz="8" w:color="auto"/>
            </w:tcBorders>
          </w:tcPr>
          <w:p>
            <w:pPr>
              <w:jc w:val="center"/>
              <w:ind w:right="1073"/>
              <w:spacing w:after="0"/>
              <w:rPr>
                <w:sz w:val="20"/>
                <w:szCs w:val="20"/>
                <w:color w:val="auto"/>
              </w:rPr>
            </w:pPr>
            <w:r>
              <w:rPr>
                <w:rFonts w:ascii="Times New Roman" w:cs="Times New Roman" w:eastAsia="Times New Roman" w:hAnsi="Times New Roman"/>
                <w:sz w:val="18"/>
                <w:szCs w:val="18"/>
                <w:color w:val="auto"/>
                <w:w w:val="98"/>
              </w:rPr>
              <w:t>Sources</w:t>
            </w:r>
          </w:p>
        </w:tc>
        <w:tc>
          <w:tcPr>
            <w:tcW w:w="1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234"/>
        </w:trPr>
        <w:tc>
          <w:tcPr>
            <w:tcW w:w="1280" w:type="dxa"/>
            <w:vAlign w:val="bottom"/>
            <w:tcBorders>
              <w:left w:val="single" w:sz="8" w:color="auto"/>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Rule 457(p)</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207"/>
        </w:trPr>
        <w:tc>
          <w:tcPr>
            <w:tcW w:w="1280" w:type="dxa"/>
            <w:vAlign w:val="bottom"/>
            <w:tcBorders>
              <w:left w:val="single" w:sz="8" w:color="auto"/>
            </w:tcBorders>
          </w:tcPr>
          <w:p>
            <w:pPr>
              <w:spacing w:after="0"/>
              <w:rPr>
                <w:sz w:val="18"/>
                <w:szCs w:val="18"/>
                <w:color w:val="auto"/>
              </w:rPr>
            </w:pPr>
          </w:p>
        </w:tc>
        <w:tc>
          <w:tcPr>
            <w:tcW w:w="2240" w:type="dxa"/>
            <w:vAlign w:val="bottom"/>
            <w:tcBorders>
              <w:right w:val="single" w:sz="8" w:color="auto"/>
            </w:tcBorders>
          </w:tcPr>
          <w:p>
            <w:pPr>
              <w:jc w:val="center"/>
              <w:ind w:right="1073"/>
              <w:spacing w:after="0"/>
              <w:rPr>
                <w:sz w:val="20"/>
                <w:szCs w:val="20"/>
                <w:color w:val="auto"/>
              </w:rPr>
            </w:pPr>
            <w:r>
              <w:rPr>
                <w:rFonts w:ascii="Times New Roman" w:cs="Times New Roman" w:eastAsia="Times New Roman" w:hAnsi="Times New Roman"/>
                <w:sz w:val="18"/>
                <w:szCs w:val="18"/>
                <w:color w:val="auto"/>
              </w:rPr>
              <w:t>Fee Offset</w:t>
            </w: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2240" w:type="dxa"/>
            <w:vAlign w:val="bottom"/>
            <w:tcBorders>
              <w:right w:val="single" w:sz="8" w:color="auto"/>
            </w:tcBorders>
          </w:tcPr>
          <w:p>
            <w:pPr>
              <w:jc w:val="center"/>
              <w:ind w:right="1073"/>
              <w:spacing w:after="0"/>
              <w:rPr>
                <w:sz w:val="20"/>
                <w:szCs w:val="20"/>
                <w:color w:val="auto"/>
              </w:rPr>
            </w:pPr>
            <w:r>
              <w:rPr>
                <w:rFonts w:ascii="Times New Roman" w:cs="Times New Roman" w:eastAsia="Times New Roman" w:hAnsi="Times New Roman"/>
                <w:sz w:val="18"/>
                <w:szCs w:val="18"/>
                <w:color w:val="auto"/>
              </w:rPr>
              <w:t>Claims</w:t>
            </w:r>
          </w:p>
        </w:tc>
        <w:tc>
          <w:tcPr>
            <w:tcW w:w="1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205"/>
        </w:trPr>
        <w:tc>
          <w:tcPr>
            <w:tcW w:w="1280" w:type="dxa"/>
            <w:vAlign w:val="bottom"/>
            <w:tcBorders>
              <w:left w:val="single" w:sz="8" w:color="auto"/>
            </w:tcBorders>
          </w:tcPr>
          <w:p>
            <w:pPr>
              <w:spacing w:after="0"/>
              <w:rPr>
                <w:sz w:val="17"/>
                <w:szCs w:val="17"/>
                <w:color w:val="auto"/>
              </w:rPr>
            </w:pPr>
          </w:p>
        </w:tc>
        <w:tc>
          <w:tcPr>
            <w:tcW w:w="2240" w:type="dxa"/>
            <w:vAlign w:val="bottom"/>
            <w:tcBorders>
              <w:right w:val="single" w:sz="8" w:color="auto"/>
            </w:tcBorders>
          </w:tcPr>
          <w:p>
            <w:pPr>
              <w:jc w:val="center"/>
              <w:ind w:right="1073"/>
              <w:spacing w:after="0" w:line="205" w:lineRule="exact"/>
              <w:rPr>
                <w:sz w:val="20"/>
                <w:szCs w:val="20"/>
                <w:color w:val="auto"/>
              </w:rPr>
            </w:pPr>
            <w:r>
              <w:rPr>
                <w:rFonts w:ascii="Times New Roman" w:cs="Times New Roman" w:eastAsia="Times New Roman" w:hAnsi="Times New Roman"/>
                <w:sz w:val="18"/>
                <w:szCs w:val="18"/>
                <w:color w:val="auto"/>
              </w:rPr>
              <w:t>Fee Offset</w:t>
            </w:r>
          </w:p>
        </w:tc>
        <w:tc>
          <w:tcPr>
            <w:tcW w:w="1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34"/>
        </w:trPr>
        <w:tc>
          <w:tcPr>
            <w:tcW w:w="1280" w:type="dxa"/>
            <w:vAlign w:val="bottom"/>
            <w:tcBorders>
              <w:left w:val="single" w:sz="8" w:color="auto"/>
            </w:tcBorders>
          </w:tcPr>
          <w:p>
            <w:pPr>
              <w:spacing w:after="0"/>
              <w:rPr>
                <w:sz w:val="20"/>
                <w:szCs w:val="20"/>
                <w:color w:val="auto"/>
              </w:rPr>
            </w:pPr>
          </w:p>
        </w:tc>
        <w:tc>
          <w:tcPr>
            <w:tcW w:w="2240" w:type="dxa"/>
            <w:vAlign w:val="bottom"/>
            <w:tcBorders>
              <w:right w:val="single" w:sz="8" w:color="auto"/>
            </w:tcBorders>
          </w:tcPr>
          <w:p>
            <w:pPr>
              <w:jc w:val="center"/>
              <w:ind w:right="1073"/>
              <w:spacing w:after="0"/>
              <w:rPr>
                <w:sz w:val="20"/>
                <w:szCs w:val="20"/>
                <w:color w:val="auto"/>
              </w:rPr>
            </w:pPr>
            <w:r>
              <w:rPr>
                <w:rFonts w:ascii="Times New Roman" w:cs="Times New Roman" w:eastAsia="Times New Roman" w:hAnsi="Times New Roman"/>
                <w:sz w:val="18"/>
                <w:szCs w:val="18"/>
                <w:color w:val="auto"/>
                <w:w w:val="98"/>
              </w:rPr>
              <w:t>Sources</w:t>
            </w:r>
          </w:p>
        </w:tc>
        <w:tc>
          <w:tcPr>
            <w:tcW w:w="1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right w:val="single" w:sz="8" w:color="auto"/>
            </w:tcBorders>
            <w:gridSpan w:val="2"/>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426"/>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gridSpan w:val="11"/>
          </w:tcPr>
          <w:p>
            <w:pPr>
              <w:ind w:left="500"/>
              <w:spacing w:after="0"/>
              <w:rPr>
                <w:sz w:val="20"/>
                <w:szCs w:val="20"/>
                <w:color w:val="auto"/>
              </w:rPr>
            </w:pPr>
            <w:r>
              <w:rPr>
                <w:rFonts w:ascii="Times New Roman" w:cs="Times New Roman" w:eastAsia="Times New Roman" w:hAnsi="Times New Roman"/>
                <w:sz w:val="18"/>
                <w:szCs w:val="18"/>
                <w:b w:val="1"/>
                <w:bCs w:val="1"/>
                <w:color w:val="auto"/>
              </w:rPr>
              <w:t>Table 3: Combined Prospectuses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22"/>
        </w:trPr>
        <w:tc>
          <w:tcPr>
            <w:tcW w:w="1280" w:type="dxa"/>
            <w:vAlign w:val="bottom"/>
            <w:tcBorders>
              <w:right w:val="single" w:sz="8" w:color="auto"/>
            </w:tcBorders>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right w:val="single" w:sz="8" w:color="auto"/>
            </w:tcBorders>
            <w:gridSpan w:val="4"/>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Maximum Aggregate</w:t>
            </w:r>
          </w:p>
        </w:tc>
        <w:tc>
          <w:tcPr>
            <w:tcW w:w="3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1280" w:type="dxa"/>
            <w:vAlign w:val="bottom"/>
            <w:tcBorders>
              <w:right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Security Class</w:t>
            </w:r>
          </w:p>
        </w:tc>
        <w:tc>
          <w:tcPr>
            <w:tcW w:w="120" w:type="dxa"/>
            <w:vAlign w:val="bottom"/>
          </w:tcPr>
          <w:p>
            <w:pPr>
              <w:spacing w:after="0"/>
              <w:rPr>
                <w:sz w:val="11"/>
                <w:szCs w:val="11"/>
                <w:color w:val="auto"/>
              </w:rPr>
            </w:pPr>
          </w:p>
        </w:tc>
        <w:tc>
          <w:tcPr>
            <w:tcW w:w="1220" w:type="dxa"/>
            <w:vAlign w:val="bottom"/>
            <w:tcBorders>
              <w:right w:val="single" w:sz="8" w:color="auto"/>
            </w:tcBorders>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Amount of Securities</w:t>
            </w:r>
          </w:p>
        </w:tc>
        <w:tc>
          <w:tcPr>
            <w:tcW w:w="60" w:type="dxa"/>
            <w:vAlign w:val="bottom"/>
          </w:tcPr>
          <w:p>
            <w:pPr>
              <w:spacing w:after="0"/>
              <w:rPr>
                <w:sz w:val="11"/>
                <w:szCs w:val="11"/>
                <w:color w:val="auto"/>
              </w:rPr>
            </w:pPr>
          </w:p>
        </w:tc>
        <w:tc>
          <w:tcPr>
            <w:tcW w:w="1600" w:type="dxa"/>
            <w:vAlign w:val="bottom"/>
            <w:tcBorders>
              <w:right w:val="single" w:sz="8" w:color="auto"/>
            </w:tcBorders>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 Price of Securities</w:t>
            </w:r>
          </w:p>
        </w:tc>
        <w:tc>
          <w:tcPr>
            <w:tcW w:w="400" w:type="dxa"/>
            <w:vAlign w:val="bottom"/>
            <w:tcBorders>
              <w:right w:val="single" w:sz="8" w:color="auto"/>
            </w:tcBorders>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w w:val="90"/>
              </w:rPr>
              <w:t>Form</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80" w:type="dxa"/>
            <w:vAlign w:val="bottom"/>
          </w:tcPr>
          <w:p>
            <w:pPr>
              <w:spacing w:after="0"/>
              <w:rPr>
                <w:sz w:val="11"/>
                <w:szCs w:val="11"/>
                <w:color w:val="auto"/>
              </w:rPr>
            </w:pPr>
          </w:p>
        </w:tc>
        <w:tc>
          <w:tcPr>
            <w:tcW w:w="920" w:type="dxa"/>
            <w:vAlign w:val="bottom"/>
            <w:tcBorders>
              <w:right w:val="single" w:sz="8" w:color="auto"/>
            </w:tcBorders>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Initial Effective</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7"/>
        </w:trPr>
        <w:tc>
          <w:tcPr>
            <w:tcW w:w="1280" w:type="dxa"/>
            <w:vAlign w:val="bottom"/>
            <w:tcBorders>
              <w:right w:val="single" w:sz="8" w:color="auto"/>
            </w:tcBorders>
          </w:tcPr>
          <w:p>
            <w:pPr>
              <w:spacing w:after="0"/>
              <w:rPr>
                <w:sz w:val="14"/>
                <w:szCs w:val="14"/>
                <w:color w:val="auto"/>
              </w:rPr>
            </w:pPr>
          </w:p>
        </w:tc>
        <w:tc>
          <w:tcPr>
            <w:tcW w:w="2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Security Type</w:t>
            </w:r>
          </w:p>
        </w:tc>
        <w:tc>
          <w:tcPr>
            <w:tcW w:w="1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left="252"/>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2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Previously Registered</w:t>
            </w: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Previously Registered</w:t>
            </w:r>
          </w:p>
        </w:tc>
        <w:tc>
          <w:tcPr>
            <w:tcW w:w="4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0"/>
              </w:rPr>
              <w:t>Type </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Number </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4"/>
        </w:trPr>
        <w:tc>
          <w:tcPr>
            <w:tcW w:w="1280" w:type="dxa"/>
            <w:vAlign w:val="bottom"/>
            <w:tcBorders>
              <w:right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19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The “X” designation indicates the information required to be disclosed, as applicable, in tabular format. Add as many rows of each table as necessary</w:t>
      </w:r>
    </w:p>
    <w:sectPr>
      <w:pgSz w:w="11900" w:h="16838" w:orient="portrait"/>
      <w:cols w:equalWidth="0" w:num="1">
        <w:col w:w="10980"/>
      </w:cols>
      <w:pgMar w:left="440" w:top="29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8">
    <w:nsid w:val="661E3F1E"/>
    <w:multiLevelType w:val="hybridMultilevel"/>
    <w:lvl w:ilvl="0">
      <w:lvlJc w:val="left"/>
      <w:lvlText w:val="(%1)"/>
      <w:numFmt w:val="decimal"/>
      <w:start w:val="2"/>
    </w:lvl>
    <w:lvl w:ilvl="1">
      <w:lvlJc w:val="left"/>
      <w:lvlText w:val="(%2)"/>
      <w:numFmt w:val="lowerRoman"/>
      <w:start w:val="1"/>
    </w:lvl>
  </w:abstractNum>
  <w:abstractNum w:abstractNumId="19">
    <w:nsid w:val="5DC79E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
    <w:nsid w:val="540A471C"/>
    <w:multiLevelType w:val="hybridMultilevel"/>
    <w:lvl w:ilvl="0">
      <w:lvlJc w:val="left"/>
      <w:lvlText w:val="%1"/>
      <w:numFmt w:val="decimal"/>
      <w:start w:val="107"/>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1)"/>
      <w:numFmt w:val="lowerLetter"/>
      <w:start w:val="1"/>
    </w:lvl>
  </w:abstractNum>
  <w:abstractNum w:abstractNumId="25">
    <w:nsid w:val="11447B73"/>
    <w:multiLevelType w:val="hybridMultilevel"/>
    <w:lvl w:ilvl="0">
      <w:lvlJc w:val="left"/>
      <w:lvlText w:val="(%1)"/>
      <w:numFmt w:val="lowerLetter"/>
      <w:start w:val="1"/>
    </w:lvl>
  </w:abstractNum>
  <w:abstractNum w:abstractNumId="26">
    <w:nsid w:val="42963E5A"/>
    <w:multiLevelType w:val="hybridMultilevel"/>
    <w:lvl w:ilvl="0">
      <w:lvlJc w:val="left"/>
      <w:lvlText w:val="(%1)"/>
      <w:numFmt w:val="lowerLetter"/>
      <w:start w:val="3"/>
    </w:lvl>
  </w:abstractNum>
  <w:abstractNum w:abstractNumId="27">
    <w:nsid w:val="A0382C5"/>
    <w:multiLevelType w:val="hybridMultilevel"/>
    <w:lvl w:ilvl="0">
      <w:lvlJc w:val="left"/>
      <w:lvlText w:val="(%1)"/>
      <w:numFmt w:val="lowerLetter"/>
      <w:start w:val="1"/>
    </w:lvl>
  </w:abstractNum>
  <w:abstractNum w:abstractNumId="28">
    <w:nsid w:val="8F2B15E"/>
    <w:multiLevelType w:val="hybridMultilevel"/>
    <w:lvl w:ilvl="0">
      <w:lvlJc w:val="left"/>
      <w:lvlText w:val="(%1)"/>
      <w:numFmt w:val="lowerRoman"/>
      <w:start w:val="5"/>
    </w:lvl>
  </w:abstractNum>
  <w:abstractNum w:abstractNumId="29">
    <w:nsid w:val="1A32234B"/>
    <w:multiLevelType w:val="hybridMultilevel"/>
    <w:lvl w:ilvl="0">
      <w:lvlJc w:val="left"/>
      <w:lvlText w:val="(%1)"/>
      <w:numFmt w:val="lowerLetter"/>
      <w:start w:val="5"/>
    </w:lvl>
  </w:abstractNum>
  <w:abstractNum w:abstractNumId="30">
    <w:nsid w:val="3B0FD379"/>
    <w:multiLevelType w:val="hybridMultilevel"/>
    <w:lvl w:ilvl="0">
      <w:lvlJc w:val="left"/>
      <w:lvlText w:val="(%1)"/>
      <w:numFmt w:val="lowerLetter"/>
      <w:start w:val="9"/>
    </w:lvl>
  </w:abstractNum>
  <w:abstractNum w:abstractNumId="31">
    <w:nsid w:val="68EB2F63"/>
    <w:multiLevelType w:val="hybridMultilevel"/>
    <w:lvl w:ilvl="0">
      <w:lvlJc w:val="left"/>
      <w:lvlText w:val="(%1)"/>
      <w:numFmt w:val="lowerLetter"/>
      <w:start w:val="1"/>
    </w:lvl>
  </w:abstractNum>
  <w:abstractNum w:abstractNumId="32">
    <w:nsid w:val="4962813B"/>
    <w:multiLevelType w:val="hybridMultilevel"/>
    <w:lvl w:ilvl="0">
      <w:lvlJc w:val="left"/>
      <w:lvlText w:val="(%1)"/>
      <w:numFmt w:val="lowerLetter"/>
      <w:start w:val="2"/>
    </w:lvl>
  </w:abstractNum>
  <w:abstractNum w:abstractNumId="33">
    <w:nsid w:val="60B6DF70"/>
    <w:multiLevelType w:val="hybridMultilevel"/>
    <w:lvl w:ilvl="0">
      <w:lvlJc w:val="left"/>
      <w:lvlText w:val="(%1)"/>
      <w:numFmt w:val="lowerLetter"/>
      <w:start w:val="1"/>
    </w:lvl>
  </w:abstractNum>
  <w:abstractNum w:abstractNumId="34">
    <w:nsid w:val="6A5EE64"/>
    <w:multiLevelType w:val="hybridMultilevel"/>
    <w:lvl w:ilvl="0">
      <w:lvlJc w:val="left"/>
      <w:lvlText w:val="(%1)"/>
      <w:numFmt w:val="lowerLetter"/>
      <w:start w:val="1"/>
    </w:lvl>
  </w:abstractNum>
  <w:abstractNum w:abstractNumId="35">
    <w:nsid w:val="14330624"/>
    <w:multiLevelType w:val="hybridMultilevel"/>
    <w:lvl w:ilvl="0">
      <w:lvlJc w:val="left"/>
      <w:lvlText w:val="(%1)"/>
      <w:numFmt w:val="lowerLetter"/>
      <w:start w:val="5"/>
    </w:lvl>
  </w:abstractNum>
  <w:abstractNum w:abstractNumId="36">
    <w:nsid w:val="7FFFCA11"/>
    <w:multiLevelType w:val="hybridMultilevel"/>
    <w:lvl w:ilvl="0">
      <w:lvlJc w:val="left"/>
      <w:lvlText w:val="(%1)"/>
      <w:numFmt w:val="lowerLetter"/>
      <w:start w:val="13"/>
    </w:lvl>
  </w:abstractNum>
  <w:abstractNum w:abstractNumId="37">
    <w:nsid w:val="1A27709E"/>
    <w:multiLevelType w:val="hybridMultilevel"/>
    <w:lvl w:ilvl="0">
      <w:lvlJc w:val="left"/>
      <w:lvlText w:val="(%1)"/>
      <w:numFmt w:val="lowerLetter"/>
      <w:start w:val="25"/>
    </w:lvl>
  </w:abstractNum>
  <w:abstractNum w:abstractNumId="38">
    <w:nsid w:val="71EA1109"/>
    <w:multiLevelType w:val="hybridMultilevel"/>
    <w:lvl w:ilvl="0">
      <w:lvlJc w:val="left"/>
      <w:lvlText w:val="(%1)"/>
      <w:numFmt w:val="lowerLetter"/>
      <w:start w:val="27"/>
    </w:lvl>
  </w:abstractNum>
  <w:abstractNum w:abstractNumId="39">
    <w:nsid w:val="100F59DC"/>
    <w:multiLevelType w:val="hybridMultilevel"/>
    <w:lvl w:ilvl="0">
      <w:lvlJc w:val="left"/>
      <w:lvlText w:val="(%1)"/>
      <w:numFmt w:val="lowerLetter"/>
      <w:start w:val="1"/>
    </w:lvl>
  </w:abstractNum>
  <w:abstractNum w:abstractNumId="40">
    <w:nsid w:val="7FB7E0AA"/>
    <w:multiLevelType w:val="hybridMultilevel"/>
    <w:lvl w:ilvl="0">
      <w:lvlJc w:val="left"/>
      <w:lvlText w:val="%1"/>
      <w:numFmt w:val="lowerRoman"/>
      <w:start w:val="1"/>
    </w:lvl>
    <w:lvl w:ilvl="1">
      <w:lvlJc w:val="left"/>
      <w:lvlText w:val="(%2)"/>
      <w:numFmt w:val="lowerLetter"/>
      <w:start w:val="4"/>
    </w:lvl>
  </w:abstractNum>
  <w:abstractNum w:abstractNumId="41">
    <w:nsid w:val="6EB5BD4"/>
    <w:multiLevelType w:val="hybridMultilevel"/>
    <w:lvl w:ilvl="0">
      <w:lvlJc w:val="left"/>
      <w:lvlText w:val="(%1)"/>
      <w:numFmt w:val="lowerRoman"/>
      <w:start w:val="1"/>
    </w:lvl>
    <w:lvl w:ilvl="1">
      <w:lvlJc w:val="left"/>
      <w:lvlText w:val="%2"/>
      <w:numFmt w:val="lowerLetter"/>
      <w:start w:val="1"/>
    </w:lvl>
  </w:abstractNum>
  <w:abstractNum w:abstractNumId="42">
    <w:nsid w:val="6F6DD9AC"/>
    <w:multiLevelType w:val="hybridMultilevel"/>
    <w:lvl w:ilvl="0">
      <w:lvlJc w:val="left"/>
      <w:lvlText w:val="(%1)"/>
      <w:numFmt w:val="lowerRoman"/>
      <w:start w:val="4"/>
    </w:lvl>
    <w:lvl w:ilvl="1">
      <w:lvlJc w:val="left"/>
      <w:lvlText w:val="%2"/>
      <w:numFmt w:val="lowerLetter"/>
      <w:start w:val="1"/>
    </w:lvl>
  </w:abstractNum>
  <w:abstractNum w:abstractNumId="43">
    <w:nsid w:val="94211F2"/>
    <w:multiLevelType w:val="hybridMultilevel"/>
    <w:lvl w:ilvl="0">
      <w:lvlJc w:val="left"/>
      <w:lvlText w:val="(%1)"/>
      <w:numFmt w:val="lowerLetter"/>
      <w:start w:val="8"/>
    </w:lvl>
  </w:abstractNum>
  <w:abstractNum w:abstractNumId="44">
    <w:nsid w:val="885E1B"/>
    <w:multiLevelType w:val="hybridMultilevel"/>
    <w:lvl w:ilvl="0">
      <w:lvlJc w:val="left"/>
      <w:lvlText w:val="(%1)"/>
      <w:numFmt w:val="lowerLetter"/>
      <w:start w:val="1"/>
    </w:lvl>
  </w:abstractNum>
  <w:abstractNum w:abstractNumId="45">
    <w:nsid w:val="76272110"/>
    <w:multiLevelType w:val="hybridMultilevel"/>
    <w:lvl w:ilvl="0">
      <w:lvlJc w:val="left"/>
      <w:lvlText w:val="(%1)"/>
      <w:numFmt w:val="lowerLetter"/>
      <w:start w:val="2"/>
    </w:lvl>
  </w:abstractNum>
  <w:abstractNum w:abstractNumId="46">
    <w:nsid w:val="4C04A8AF"/>
    <w:multiLevelType w:val="hybridMultilevel"/>
    <w:lvl w:ilvl="0">
      <w:lvlJc w:val="left"/>
      <w:lvlText w:val="(%1)"/>
      <w:numFmt w:val="lowerLetter"/>
      <w:start w:val="1"/>
    </w:lvl>
  </w:abstractNum>
  <w:abstractNum w:abstractNumId="47">
    <w:nsid w:val="1716703B"/>
    <w:multiLevelType w:val="hybridMultilevel"/>
    <w:lvl w:ilvl="0">
      <w:lvlJc w:val="left"/>
      <w:lvlText w:val="(%1)"/>
      <w:numFmt w:val="lowerLetter"/>
      <w:start w:val="3"/>
    </w:lvl>
  </w:abstractNum>
  <w:abstractNum w:abstractNumId="48">
    <w:nsid w:val="14E17E33"/>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49">
    <w:nsid w:val="3222E7CD"/>
    <w:multiLevelType w:val="hybridMultilevel"/>
    <w:lvl w:ilvl="0">
      <w:lvlJc w:val="left"/>
      <w:lvlText w:val="(%1)"/>
      <w:numFmt w:val="lowerRoman"/>
      <w:start w:val="2"/>
    </w:lvl>
    <w:lvl w:ilvl="1">
      <w:lvlJc w:val="left"/>
      <w:lvlText w:val="(%2)"/>
      <w:numFmt w:val="upperLetter"/>
      <w:start w:val="1"/>
    </w:lvl>
  </w:abstractNum>
  <w:abstractNum w:abstractNumId="50">
    <w:nsid w:val="74DE0E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68EBC550"/>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2">
    <w:nsid w:val="2DF6D64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3">
    <w:nsid w:val="46B7D447"/>
    <w:multiLevelType w:val="hybridMultilevel"/>
    <w:lvl w:ilvl="0">
      <w:lvlJc w:val="left"/>
      <w:lvlText w:val="(%1)"/>
      <w:numFmt w:val="lowerLetter"/>
      <w:start w:val="8"/>
    </w:lvl>
  </w:abstractNum>
  <w:abstractNum w:abstractNumId="54">
    <w:nsid w:val="4A2AC315"/>
    <w:multiLevelType w:val="hybridMultilevel"/>
    <w:lvl w:ilvl="0">
      <w:lvlJc w:val="left"/>
      <w:lvlText w:val="(%1)"/>
      <w:numFmt w:val="lowerLetter"/>
      <w:start w:val="1"/>
    </w:lvl>
  </w:abstractNum>
  <w:abstractNum w:abstractNumId="55">
    <w:nsid w:val="39EE015C"/>
    <w:multiLevelType w:val="hybridMultilevel"/>
    <w:lvl w:ilvl="0">
      <w:lvlJc w:val="left"/>
      <w:lvlText w:val="(%1)"/>
      <w:numFmt w:val="lowerLetter"/>
      <w:start w:val="3"/>
    </w:lvl>
  </w:abstractNum>
  <w:abstractNum w:abstractNumId="56">
    <w:nsid w:val="57FC4FBB"/>
    <w:multiLevelType w:val="hybridMultilevel"/>
    <w:lvl w:ilvl="0">
      <w:lvlJc w:val="left"/>
      <w:lvlText w:val="(%1)"/>
      <w:numFmt w:val="lowerLetter"/>
      <w:start w:val="1"/>
    </w:lvl>
    <w:lvl w:ilvl="1">
      <w:lvlJc w:val="left"/>
      <w:lvlText w:val="(%2)"/>
      <w:numFmt w:val="lowerLetter"/>
      <w:start w:val="9"/>
    </w:lvl>
  </w:abstractNum>
  <w:abstractNum w:abstractNumId="57">
    <w:nsid w:val="CC1016F"/>
    <w:multiLevelType w:val="hybridMultilevel"/>
    <w:lvl w:ilvl="0">
      <w:lvlJc w:val="left"/>
      <w:lvlText w:val="%1"/>
      <w:numFmt w:val="lowerLetter"/>
      <w:start w:val="1"/>
    </w:lvl>
    <w:lvl w:ilvl="1">
      <w:lvlJc w:val="left"/>
      <w:lvlText w:val="(%2)"/>
      <w:numFmt w:val="lowerLetter"/>
      <w:start w:val="35"/>
    </w:lvl>
  </w:abstractNum>
  <w:abstractNum w:abstractNumId="58">
    <w:nsid w:val="43F18422"/>
    <w:multiLevelType w:val="hybridMultilevel"/>
    <w:lvl w:ilvl="0">
      <w:lvlJc w:val="left"/>
      <w:lvlText w:val="(%1)"/>
      <w:numFmt w:val="lowerLetter"/>
      <w:start w:val="3"/>
    </w:lvl>
    <w:lvl w:ilvl="1">
      <w:lvlJc w:val="left"/>
      <w:lvlText w:val="%2"/>
      <w:numFmt w:val="lowerLetter"/>
      <w:start w:val="1"/>
    </w:lvl>
  </w:abstractNum>
  <w:abstractNum w:abstractNumId="59">
    <w:nsid w:val="60EF0119"/>
    <w:multiLevelType w:val="hybridMultilevel"/>
    <w:lvl w:ilvl="0">
      <w:lvlJc w:val="left"/>
      <w:lvlText w:val="(%1)"/>
      <w:numFmt w:val="lowerLetter"/>
      <w:start w:val="1"/>
    </w:lvl>
  </w:abstractNum>
  <w:abstractNum w:abstractNumId="60">
    <w:nsid w:val="26F324BA"/>
    <w:multiLevelType w:val="hybridMultilevel"/>
    <w:lvl w:ilvl="0">
      <w:lvlJc w:val="left"/>
      <w:lvlText w:val="(%1)"/>
      <w:numFmt w:val="lowerLetter"/>
      <w:start w:val="1"/>
    </w:lvl>
  </w:abstractNum>
  <w:abstractNum w:abstractNumId="61">
    <w:nsid w:val="7F01579B"/>
    <w:multiLevelType w:val="hybridMultilevel"/>
    <w:lvl w:ilvl="0">
      <w:lvlJc w:val="left"/>
      <w:lvlText w:val="(%1)"/>
      <w:numFmt w:val="lowerLetter"/>
      <w:start w:val="1"/>
    </w:lvl>
    <w:lvl w:ilvl="1">
      <w:lvlJc w:val="left"/>
      <w:lvlText w:val="(%2)"/>
      <w:numFmt w:val="lowerRoman"/>
      <w:start w:val="1"/>
    </w:lvl>
  </w:abstractNum>
  <w:abstractNum w:abstractNumId="62">
    <w:nsid w:val="49DA307D"/>
    <w:multiLevelType w:val="hybridMultilevel"/>
    <w:lvl w:ilvl="0">
      <w:lvlJc w:val="left"/>
      <w:lvlText w:val="(%1)"/>
      <w:numFmt w:val="lowerLetter"/>
      <w:start w:val="1"/>
    </w:lvl>
  </w:abstractNum>
  <w:abstractNum w:abstractNumId="63">
    <w:nsid w:val="7055A5F5"/>
    <w:multiLevelType w:val="hybridMultilevel"/>
    <w:lvl w:ilvl="0">
      <w:lvlJc w:val="left"/>
      <w:lvlText w:val="(%1)"/>
      <w:numFmt w:val="lowerLetter"/>
      <w:start w:val="1"/>
    </w:lvl>
  </w:abstractNum>
  <w:abstractNum w:abstractNumId="64">
    <w:nsid w:val="5FB8370B"/>
    <w:multiLevelType w:val="hybridMultilevel"/>
    <w:lvl w:ilvl="0">
      <w:lvlJc w:val="left"/>
      <w:lvlText w:val="(%1)"/>
      <w:numFmt w:val="lowerLetter"/>
      <w:start w:val="1"/>
    </w:lvl>
  </w:abstractNum>
  <w:abstractNum w:abstractNumId="65">
    <w:nsid w:val="50801EE1"/>
    <w:multiLevelType w:val="hybridMultilevel"/>
    <w:lvl w:ilvl="0">
      <w:lvlJc w:val="left"/>
      <w:lvlText w:val="(%1)"/>
      <w:numFmt w:val="lowerLetter"/>
      <w:start w:val="1"/>
    </w:lvl>
  </w:abstractNum>
  <w:abstractNum w:abstractNumId="66">
    <w:nsid w:val="488AC1A"/>
    <w:multiLevelType w:val="hybridMultilevel"/>
    <w:lvl w:ilvl="0">
      <w:lvlJc w:val="left"/>
      <w:lvlText w:val="(%1)"/>
      <w:numFmt w:val="lowerLetter"/>
      <w:start w:val="2"/>
    </w:lvl>
    <w:lvl w:ilvl="1">
      <w:lvlJc w:val="left"/>
      <w:lvlText w:val="(%2)"/>
      <w:numFmt w:val="lowerRoman"/>
      <w:start w:val="1"/>
    </w:lvl>
  </w:abstractNum>
  <w:abstractNum w:abstractNumId="67">
    <w:nsid w:val="5FB8011C"/>
    <w:multiLevelType w:val="hybridMultilevel"/>
    <w:lvl w:ilvl="0">
      <w:lvlJc w:val="left"/>
      <w:lvlText w:val="%1"/>
      <w:numFmt w:val="lowerLetter"/>
      <w:start w:val="1"/>
    </w:lvl>
    <w:lvl w:ilvl="1">
      <w:lvlJc w:val="left"/>
      <w:lvlText w:val="(%2)"/>
      <w:numFmt w:val="lowerLetter"/>
      <w:start w:val="1"/>
    </w:lvl>
  </w:abstractNum>
  <w:abstractNum w:abstractNumId="68">
    <w:nsid w:val="6AA78F7F"/>
    <w:multiLevelType w:val="hybridMultilevel"/>
    <w:lvl w:ilvl="0">
      <w:lvlJc w:val="left"/>
      <w:lvlText w:val="(%1)"/>
      <w:numFmt w:val="lowerLetter"/>
      <w:start w:val="35"/>
    </w:lvl>
    <w:lvl w:ilvl="1">
      <w:lvlJc w:val="left"/>
      <w:lvlText w:val="(%2)"/>
      <w:numFmt w:val="lowerLetter"/>
      <w:start w:val="2"/>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1)"/>
      <w:numFmt w:val="lowerLetter"/>
      <w:start w:val="3"/>
    </w:lvl>
  </w:abstractNum>
  <w:abstractNum w:abstractNumId="71">
    <w:nsid w:val="6A5F7029"/>
    <w:multiLevelType w:val="hybridMultilevel"/>
    <w:lvl w:ilvl="0">
      <w:lvlJc w:val="left"/>
      <w:lvlText w:val="(%1)"/>
      <w:numFmt w:val="lowerLetter"/>
      <w:start w:val="7"/>
    </w:lvl>
  </w:abstractNum>
  <w:abstractNum w:abstractNumId="72">
    <w:nsid w:val="7D5E18F8"/>
    <w:multiLevelType w:val="hybridMultilevel"/>
    <w:lvl w:ilvl="0">
      <w:lvlJc w:val="left"/>
      <w:lvlText w:val="(%1)"/>
      <w:numFmt w:val="lowerLetter"/>
      <w:start w:val="1"/>
    </w:lvl>
  </w:abstractNum>
  <w:abstractNum w:abstractNumId="73">
    <w:nsid w:val="5F3534A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4">
    <w:nsid w:val="73A1821B"/>
    <w:multiLevelType w:val="hybridMultilevel"/>
    <w:lvl w:ilvl="0">
      <w:lvlJc w:val="left"/>
      <w:lvlText w:val="(%1)"/>
      <w:numFmt w:val="lowerLetter"/>
      <w:start w:val="4"/>
    </w:lvl>
  </w:abstractNum>
  <w:abstractNum w:abstractNumId="75">
    <w:nsid w:val="7DE67713"/>
    <w:multiLevelType w:val="hybridMultilevel"/>
    <w:lvl w:ilvl="0">
      <w:lvlJc w:val="left"/>
      <w:lvlText w:val="(%1)"/>
      <w:numFmt w:val="lowerLetter"/>
      <w:start w:val="7"/>
    </w:lvl>
  </w:abstractNum>
  <w:abstractNum w:abstractNumId="76">
    <w:nsid w:val="555C55B5"/>
    <w:multiLevelType w:val="hybridMultilevel"/>
    <w:lvl w:ilvl="0">
      <w:lvlJc w:val="left"/>
      <w:lvlText w:val="(%1)"/>
      <w:numFmt w:val="lowerLetter"/>
      <w:start w:val="1"/>
    </w:lvl>
  </w:abstractNum>
  <w:abstractNum w:abstractNumId="77">
    <w:nsid w:val="3FA62ACA"/>
    <w:multiLevelType w:val="hybridMultilevel"/>
    <w:lvl w:ilvl="0">
      <w:lvlJc w:val="left"/>
      <w:lvlText w:val="(%1)"/>
      <w:numFmt w:val="lowerLetter"/>
      <w:start w:val="3"/>
    </w:lvl>
  </w:abstractNum>
  <w:abstractNum w:abstractNumId="78">
    <w:nsid w:val="14FCE74E"/>
    <w:multiLevelType w:val="hybridMultilevel"/>
    <w:lvl w:ilvl="0">
      <w:lvlJc w:val="left"/>
      <w:lvlText w:val="(%1)"/>
      <w:numFmt w:val="lowerLetter"/>
      <w:start w:val="1"/>
    </w:lvl>
  </w:abstractNum>
  <w:abstractNum w:abstractNumId="79">
    <w:nsid w:val="6A3DD3E8"/>
    <w:multiLevelType w:val="hybridMultilevel"/>
    <w:lvl w:ilvl="0">
      <w:lvlJc w:val="left"/>
      <w:lvlText w:val="(%1)"/>
      <w:numFmt w:val="lowerLetter"/>
      <w:start w:val="4"/>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1"/>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3"/>
    </w:lvl>
  </w:abstractNum>
  <w:abstractNum w:abstractNumId="84">
    <w:nsid w:val="5092CA79"/>
    <w:multiLevelType w:val="hybridMultilevel"/>
    <w:lvl w:ilvl="0">
      <w:lvlJc w:val="left"/>
      <w:lvlText w:val="(%1)"/>
      <w:numFmt w:val="lowerLetter"/>
      <w:start w:val="1"/>
    </w:lvl>
  </w:abstractNum>
  <w:abstractNum w:abstractNumId="85">
    <w:nsid w:val="1D545C4D"/>
    <w:multiLevelType w:val="hybridMultilevel"/>
    <w:lvl w:ilvl="0">
      <w:lvlJc w:val="left"/>
      <w:lvlText w:val="(%1)"/>
      <w:numFmt w:val="lowerLetter"/>
      <w:start w:val="2"/>
    </w:lvl>
  </w:abstractNum>
  <w:abstractNum w:abstractNumId="86">
    <w:nsid w:val="59ADEA3D"/>
    <w:multiLevelType w:val="hybridMultilevel"/>
    <w:lvl w:ilvl="0">
      <w:lvlJc w:val="left"/>
      <w:lvlText w:val="(%1)"/>
      <w:numFmt w:val="lowerLetter"/>
      <w:start w:val="1"/>
    </w:lvl>
  </w:abstractNum>
  <w:abstractNum w:abstractNumId="87">
    <w:nsid w:val="288F1A34"/>
    <w:multiLevelType w:val="hybridMultilevel"/>
    <w:lvl w:ilvl="0">
      <w:lvlJc w:val="left"/>
      <w:lvlText w:val="(%1)"/>
      <w:numFmt w:val="lowerLetter"/>
      <w:start w:val="2"/>
    </w:lvl>
  </w:abstractNum>
  <w:abstractNum w:abstractNumId="88">
    <w:nsid w:val="2A155DBC"/>
    <w:multiLevelType w:val="hybridMultilevel"/>
    <w:lvl w:ilvl="0">
      <w:lvlJc w:val="left"/>
      <w:lvlText w:val="(%1)"/>
      <w:numFmt w:val="lowerLetter"/>
      <w:start w:val="7"/>
    </w:lvl>
  </w:abstractNum>
  <w:abstractNum w:abstractNumId="89">
    <w:nsid w:val="1D9F6E5F"/>
    <w:multiLevelType w:val="hybridMultilevel"/>
    <w:lvl w:ilvl="0">
      <w:lvlJc w:val="left"/>
      <w:lvlText w:val="(%1)"/>
      <w:numFmt w:val="lowerLetter"/>
      <w:start w:val="14"/>
    </w:lvl>
  </w:abstractNum>
  <w:abstractNum w:abstractNumId="90">
    <w:nsid w:val="97E1B4E"/>
    <w:multiLevelType w:val="hybridMultilevel"/>
    <w:lvl w:ilvl="0">
      <w:lvlJc w:val="left"/>
      <w:lvlText w:val="(%1)"/>
      <w:numFmt w:val="lowerLetter"/>
      <w:start w:val="1"/>
    </w:lvl>
  </w:abstractNum>
  <w:abstractNum w:abstractNumId="91">
    <w:nsid w:val="51088277"/>
    <w:multiLevelType w:val="hybridMultilevel"/>
    <w:lvl w:ilvl="0">
      <w:lvlJc w:val="left"/>
      <w:lvlText w:val="%1"/>
      <w:numFmt w:val="lowerLetter"/>
      <w:start w:val="1"/>
    </w:lvl>
    <w:lvl w:ilvl="1">
      <w:lvlJc w:val="left"/>
      <w:lvlText w:val="(%2)"/>
      <w:numFmt w:val="lowerLetter"/>
      <w:start w:val="9"/>
    </w:lvl>
  </w:abstractNum>
  <w:abstractNum w:abstractNumId="92">
    <w:nsid w:val="1CA0C5FA"/>
    <w:multiLevelType w:val="hybridMultilevel"/>
    <w:lvl w:ilvl="0">
      <w:lvlJc w:val="left"/>
      <w:lvlText w:val="(%1)"/>
      <w:numFmt w:val="lowerLetter"/>
      <w:start w:val="3"/>
    </w:lvl>
    <w:lvl w:ilvl="1">
      <w:lvlJc w:val="left"/>
      <w:lvlText w:val="(%2)"/>
      <w:numFmt w:val="lowerLetter"/>
      <w:start w:val="9"/>
    </w:lvl>
  </w:abstractNum>
  <w:abstractNum w:abstractNumId="93">
    <w:nsid w:val="53584BCB"/>
    <w:multiLevelType w:val="hybridMultilevel"/>
    <w:lvl w:ilvl="0">
      <w:lvlJc w:val="left"/>
      <w:lvlText w:val="(%1)"/>
      <w:numFmt w:val="lowerLetter"/>
      <w:start w:val="1"/>
    </w:lvl>
  </w:abstractNum>
  <w:abstractNum w:abstractNumId="94">
    <w:nsid w:val="415E286C"/>
    <w:multiLevelType w:val="hybridMultilevel"/>
    <w:lvl w:ilvl="0">
      <w:lvlJc w:val="left"/>
      <w:lvlText w:val="(%1)"/>
      <w:numFmt w:val="decimal"/>
      <w:start w:val="1"/>
    </w:lvl>
  </w:abstractNum>
  <w:abstractNum w:abstractNumId="95">
    <w:nsid w:val="7C58FD05"/>
    <w:multiLevelType w:val="hybridMultilevel"/>
    <w:lvl w:ilvl="0">
      <w:lvlJc w:val="left"/>
      <w:lvlText w:val="(%1)"/>
      <w:numFmt w:val="decimal"/>
      <w:start w:val="3"/>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2"/>
    </w:lvl>
  </w:abstractNum>
  <w:abstractNum w:abstractNumId="98">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9">
    <w:nsid w:val="E7FFA2B"/>
    <w:multiLevelType w:val="hybridMultilevel"/>
    <w:lvl w:ilvl="0">
      <w:lvlJc w:val="left"/>
      <w:lvlText w:val="(%1)"/>
      <w:numFmt w:val="lowerLetter"/>
      <w:start w:val="2"/>
    </w:lvl>
  </w:abstractNum>
  <w:abstractNum w:abstractNumId="100">
    <w:nsid w:val="3C5991AA"/>
    <w:multiLevelType w:val="hybridMultilevel"/>
    <w:lvl w:ilvl="0">
      <w:lvlJc w:val="left"/>
      <w:lvlText w:val="(%1)"/>
      <w:numFmt w:val="lowerLetter"/>
      <w:start w:val="24"/>
    </w:lvl>
    <w:lvl w:ilvl="1">
      <w:lvlJc w:val="left"/>
      <w:lvlText w:val="(%2)"/>
      <w:numFmt w:val="lowerLetter"/>
      <w:start w:val="1"/>
    </w:lvl>
  </w:abstractNum>
  <w:abstractNum w:abstractNumId="101">
    <w:nsid w:val="4BD8591A"/>
    <w:multiLevelType w:val="hybridMultilevel"/>
    <w:lvl w:ilvl="0">
      <w:lvlJc w:val="left"/>
      <w:lvlText w:val="%1"/>
      <w:numFmt w:val="lowerLetter"/>
      <w:start w:val="1"/>
    </w:lvl>
    <w:lvl w:ilvl="1">
      <w:lvlJc w:val="left"/>
      <w:lvlText w:val="(%2)"/>
      <w:numFmt w:val="lowerLetter"/>
      <w:start w:val="2"/>
    </w:lvl>
  </w:abstractNum>
  <w:abstractNum w:abstractNumId="102">
    <w:nsid w:val="78DF6A55"/>
    <w:multiLevelType w:val="hybridMultilevel"/>
    <w:lvl w:ilvl="0">
      <w:lvlJc w:val="left"/>
      <w:lvlText w:val="(%1)"/>
      <w:numFmt w:val="lowerLetter"/>
      <w:start w:val="6"/>
    </w:lvl>
    <w:lvl w:ilvl="1">
      <w:lvlJc w:val="left"/>
      <w:lvlText w:val="(%2)"/>
      <w:numFmt w:val="lowerLetter"/>
      <w:start w:val="3"/>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6"/>
    </w:lvl>
  </w:abstractNum>
  <w:abstractNum w:abstractNumId="106">
    <w:nsid w:val="379E21B5"/>
    <w:multiLevelType w:val="hybridMultilevel"/>
    <w:lvl w:ilvl="0">
      <w:lvlJc w:val="left"/>
      <w:lvlText w:val="(%1)"/>
      <w:numFmt w:val="lowerLetter"/>
      <w:start w:val="1"/>
    </w:lvl>
    <w:lvl w:ilvl="1">
      <w:lvlJc w:val="left"/>
      <w:lvlText w:val="(%2)"/>
      <w:numFmt w:val="lowerLetter"/>
      <w:start w:val="9"/>
    </w:lvl>
  </w:abstractNum>
  <w:abstractNum w:abstractNumId="107">
    <w:nsid w:val="69E373"/>
    <w:multiLevelType w:val="hybridMultilevel"/>
    <w:lvl w:ilvl="0">
      <w:lvlJc w:val="left"/>
      <w:lvlText w:val="(%1)"/>
      <w:numFmt w:val="lowerLetter"/>
      <w:start w:val="2"/>
    </w:lvl>
  </w:abstractNum>
  <w:abstractNum w:abstractNumId="108">
    <w:nsid w:val="2C27173B"/>
    <w:multiLevelType w:val="hybridMultilevel"/>
    <w:lvl w:ilvl="0">
      <w:lvlJc w:val="left"/>
      <w:lvlText w:val="(%1)"/>
      <w:numFmt w:val="lowerLetter"/>
      <w:start w:val="1"/>
    </w:lvl>
  </w:abstractNum>
  <w:abstractNum w:abstractNumId="109">
    <w:nsid w:val="4C9B0904"/>
    <w:multiLevelType w:val="hybridMultilevel"/>
    <w:lvl w:ilvl="0">
      <w:lvlJc w:val="left"/>
      <w:lvlText w:val="(%1)"/>
      <w:numFmt w:val="lowerLetter"/>
      <w:start w:val="2"/>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2"/>
    </w:lvl>
  </w:abstractNum>
  <w:abstractNum w:abstractNumId="113">
    <w:nsid w:val="3DD15094"/>
    <w:multiLevelType w:val="hybridMultilevel"/>
    <w:lvl w:ilvl="0">
      <w:lvlJc w:val="left"/>
      <w:lvlText w:val="(%1)"/>
      <w:numFmt w:val="lowerLetter"/>
      <w:start w:val="6"/>
    </w:lvl>
  </w:abstractNum>
  <w:abstractNum w:abstractNumId="114">
    <w:nsid w:val="3DB012B3"/>
    <w:multiLevelType w:val="hybridMultilevel"/>
    <w:lvl w:ilvl="0">
      <w:lvlJc w:val="left"/>
      <w:lvlText w:val="(%1)"/>
      <w:numFmt w:val="lowerLetter"/>
      <w:start w:val="1"/>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lowerLetter"/>
      <w:start w:val="2"/>
    </w:lvl>
  </w:abstractNum>
  <w:abstractNum w:abstractNumId="117">
    <w:nsid w:val="175DFCF0"/>
    <w:multiLevelType w:val="hybridMultilevel"/>
    <w:lvl w:ilvl="0">
      <w:lvlJc w:val="left"/>
      <w:lvlText w:val="(%1)"/>
      <w:numFmt w:val="lowerRoman"/>
      <w:start w:val="4"/>
    </w:lvl>
  </w:abstractNum>
  <w:abstractNum w:abstractNumId="118">
    <w:nsid w:val="4F97E3E4"/>
    <w:multiLevelType w:val="hybridMultilevel"/>
    <w:lvl w:ilvl="0">
      <w:lvlJc w:val="left"/>
      <w:lvlText w:val="(%1)"/>
      <w:numFmt w:val="lowerRoman"/>
      <w:start w:val="1"/>
    </w:lvl>
  </w:abstractNum>
  <w:abstractNum w:abstractNumId="119">
    <w:nsid w:val="53B0A9E"/>
    <w:multiLevelType w:val="hybridMultilevel"/>
    <w:lvl w:ilvl="0">
      <w:lvlJc w:val="left"/>
      <w:lvlText w:val="(%1)"/>
      <w:numFmt w:val="lowerRoman"/>
      <w:start w:val="4"/>
    </w:lvl>
  </w:abstractNum>
  <w:abstractNum w:abstractNumId="120">
    <w:nsid w:val="34FD6B4F"/>
    <w:multiLevelType w:val="hybridMultilevel"/>
    <w:lvl w:ilvl="0">
      <w:lvlJc w:val="left"/>
      <w:lvlText w:val="%1."/>
      <w:numFmt w:val="decimal"/>
      <w:start w:val="1"/>
    </w:lvl>
  </w:abstractNum>
  <w:abstractNum w:abstractNumId="121">
    <w:nsid w:val="5915FF32"/>
    <w:multiLevelType w:val="hybridMultilevel"/>
    <w:lvl w:ilvl="0">
      <w:lvlJc w:val="left"/>
      <w:lvlText w:val="%1"/>
      <w:numFmt w:val="lowerRoman"/>
      <w:start w:val="1"/>
    </w:lvl>
    <w:lvl w:ilvl="1">
      <w:lvlJc w:val="left"/>
      <w:lvlText w:val="%2."/>
      <w:numFmt w:val="decimal"/>
      <w:start w:val="2"/>
    </w:lvl>
  </w:abstractNum>
  <w:abstractNum w:abstractNumId="122">
    <w:nsid w:val="56438D15"/>
    <w:multiLevelType w:val="hybridMultilevel"/>
    <w:lvl w:ilvl="0">
      <w:lvlJc w:val="left"/>
      <w:lvlText w:val="(%1)"/>
      <w:numFmt w:val="lowerRoman"/>
      <w:start w:val="1"/>
    </w:lvl>
    <w:lvl w:ilvl="1">
      <w:lvlJc w:val="left"/>
      <w:lvlText w:val="%2."/>
      <w:numFmt w:val="decimal"/>
      <w:start w:val="4"/>
    </w:lvl>
  </w:abstractNum>
  <w:abstractNum w:abstractNumId="123">
    <w:nsid w:val="519E3149"/>
    <w:multiLevelType w:val="hybridMultilevel"/>
    <w:lvl w:ilvl="0">
      <w:lvlJc w:val="left"/>
      <w:lvlText w:val="%1."/>
      <w:numFmt w:val="decimal"/>
      <w:start w:val="5"/>
    </w:lvl>
  </w:abstractNum>
  <w:abstractNum w:abstractNumId="124">
    <w:nsid w:val="2C6E4AFD"/>
    <w:multiLevelType w:val="hybridMultilevel"/>
    <w:lvl w:ilvl="0">
      <w:lvlJc w:val="left"/>
      <w:lvlText w:val="(%1)"/>
      <w:numFmt w:val="lowerRoman"/>
      <w:start w:val="1"/>
    </w:lvl>
  </w:abstractNum>
  <w:abstractNum w:abstractNumId="125">
    <w:nsid w:val="17A1B582"/>
    <w:multiLevelType w:val="hybridMultilevel"/>
    <w:lvl w:ilvl="0">
      <w:lvlJc w:val="left"/>
      <w:lvlText w:val="(%1)"/>
      <w:numFmt w:val="lowerRoman"/>
      <w:start w:val="9"/>
    </w:lvl>
  </w:abstractNum>
  <w:abstractNum w:abstractNumId="126">
    <w:nsid w:val="4DF72E4E"/>
    <w:multiLevelType w:val="hybridMultilevel"/>
    <w:lvl w:ilvl="0">
      <w:lvlJc w:val="left"/>
      <w:lvlText w:val="(%1)"/>
      <w:numFmt w:val="lowerRoman"/>
      <w:start w:val="3"/>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jpeg"/><Relationship Id="rId160" Type="http://schemas.openxmlformats.org/officeDocument/2006/relationships/image" Target="media/image142.png"/><Relationship Id="rId161" Type="http://schemas.openxmlformats.org/officeDocument/2006/relationships/image" Target="media/image143.jpeg"/><Relationship Id="rId162" Type="http://schemas.openxmlformats.org/officeDocument/2006/relationships/image" Target="media/image144.png"/><Relationship Id="rId163" Type="http://schemas.openxmlformats.org/officeDocument/2006/relationships/image" Target="media/image145.jpeg"/><Relationship Id="rId164" Type="http://schemas.openxmlformats.org/officeDocument/2006/relationships/image" Target="media/image146.png"/><Relationship Id="rId165" Type="http://schemas.openxmlformats.org/officeDocument/2006/relationships/image" Target="media/image147.jpeg"/><Relationship Id="rId166" Type="http://schemas.openxmlformats.org/officeDocument/2006/relationships/image" Target="media/image148.png"/><Relationship Id="rId167" Type="http://schemas.openxmlformats.org/officeDocument/2006/relationships/image" Target="media/image149.jpeg"/><Relationship Id="rId168" Type="http://schemas.openxmlformats.org/officeDocument/2006/relationships/image" Target="media/image150.png"/><Relationship Id="rId169" Type="http://schemas.openxmlformats.org/officeDocument/2006/relationships/image" Target="media/image151.jpeg"/><Relationship Id="rId170" Type="http://schemas.openxmlformats.org/officeDocument/2006/relationships/image" Target="media/image152.png"/><Relationship Id="rId171" Type="http://schemas.openxmlformats.org/officeDocument/2006/relationships/image" Target="media/image153.jpeg"/><Relationship Id="rId172" Type="http://schemas.openxmlformats.org/officeDocument/2006/relationships/image" Target="media/image154.jpeg"/><Relationship Id="rId173" Type="http://schemas.openxmlformats.org/officeDocument/2006/relationships/image" Target="media/image155.png"/><Relationship Id="rId46" Type="http://schemas.openxmlformats.org/officeDocument/2006/relationships/hyperlink" Target="http://www.sec.gov/ix?doc=/Archives/edgar/data/2152623/000119312526436899/d48172d8k12b.htm" TargetMode="External"/><Relationship Id="rId47" Type="http://schemas.openxmlformats.org/officeDocument/2006/relationships/hyperlink" Target="http://www.sec.gov/ix?doc=/Archives/edgar/data/0001593538/000119312526076753/navi-20251231.htm" TargetMode="External"/><Relationship Id="rId48" Type="http://schemas.openxmlformats.org/officeDocument/2006/relationships/hyperlink" Target="http://www.sec.gov/ix?doc=/Archives/edgar/data/0001593538/000119312526191605/navi-20260331.htm" TargetMode="External"/><Relationship Id="rId49" Type="http://schemas.openxmlformats.org/officeDocument/2006/relationships/hyperlink" Target="http://www.sec.gov/ix?doc=/Archives/edgar/data/0001593538/000119312526340245/navi-20260630.htm" TargetMode="External"/><Relationship Id="rId50" Type="http://schemas.openxmlformats.org/officeDocument/2006/relationships/hyperlink" Target="http://www.sec.gov/ix?doc=/Archives/edgar/data/0001593538/000114036126027441/ef20077249_8k.htm" TargetMode="External"/><Relationship Id="rId51" Type="http://schemas.openxmlformats.org/officeDocument/2006/relationships/hyperlink" Target="http://www.sec.gov/ix?doc=/Archives/edgar/data/0001593538/000114036126037626/ef20082662_8k.htm" TargetMode="External"/><Relationship Id="rId52" Type="http://schemas.openxmlformats.org/officeDocument/2006/relationships/hyperlink" Target="http://www.sec.gov/ix?doc=/Archives/edgar/data/0001593538/000114036126040389/ef20084105_8k.htm" TargetMode="External"/><Relationship Id="rId53" Type="http://schemas.openxmlformats.org/officeDocument/2006/relationships/hyperlink" Target="http://www.sec.gov/ix?doc=/Archives/edgar/data/1593538/000119312526076753/navi-20251231.htm" TargetMode="External"/><Relationship Id="rId54" Type="http://schemas.openxmlformats.org/officeDocument/2006/relationships/hyperlink" Target="http://www.sec.gov/ix?doc=/Archives/edgar/data/1593538/000114036126014980/ny20066419x1_def14a.htm" TargetMode="External"/><Relationship Id="rId59" Type="http://schemas.openxmlformats.org/officeDocument/2006/relationships/hyperlink" Target="http://www.sec.gov/Archives/edgar/data/2152623/000119312526436899/d48172dex31.htm" TargetMode="External"/><Relationship Id="rId60" Type="http://schemas.openxmlformats.org/officeDocument/2006/relationships/hyperlink" Target="http://www.sec.gov/Archives/edgar/data/2152623/000119312526436899/d4817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2026-10-29T07:41:34Z</dcterms:created>
  <dcterms:modified xsi:type="dcterms:W3CDTF">2026-10-29T07:41:34Z</dcterms:modified>
</cp:coreProperties>
</file>