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4"/>
          <w:szCs w:val="24"/>
          <w:color w:val="auto"/>
        </w:rPr>
      </w:pPr>
    </w:p>
    <w:p>
      <w:pPr>
        <w:ind w:left="7940"/>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ind w:left="7940"/>
        <w:spacing w:after="0"/>
        <w:rPr>
          <w:sz w:val="20"/>
          <w:szCs w:val="20"/>
          <w:color w:val="auto"/>
        </w:rPr>
      </w:pPr>
      <w:r>
        <w:rPr>
          <w:rFonts w:ascii="Arial" w:cs="Arial" w:eastAsia="Arial" w:hAnsi="Arial"/>
          <w:sz w:val="18"/>
          <w:szCs w:val="18"/>
          <w:b w:val="1"/>
          <w:bCs w:val="1"/>
          <w:color w:val="auto"/>
        </w:rPr>
        <w:t>Registration No. 333-271354</w:t>
      </w:r>
    </w:p>
    <w:p>
      <w:pPr>
        <w:spacing w:after="0" w:line="139" w:lineRule="exact"/>
        <w:rPr>
          <w:sz w:val="24"/>
          <w:szCs w:val="24"/>
          <w:color w:val="auto"/>
        </w:rPr>
      </w:pPr>
    </w:p>
    <w:p>
      <w:pPr>
        <w:ind w:left="120" w:right="120"/>
        <w:spacing w:after="0" w:line="266" w:lineRule="auto"/>
        <w:rPr>
          <w:sz w:val="20"/>
          <w:szCs w:val="20"/>
          <w:color w:val="auto"/>
        </w:rPr>
      </w:pPr>
      <w:r>
        <w:rPr>
          <w:rFonts w:ascii="Arial" w:cs="Arial" w:eastAsia="Arial" w:hAnsi="Arial"/>
          <w:sz w:val="18"/>
          <w:szCs w:val="18"/>
          <w:b w:val="1"/>
          <w:bCs w:val="1"/>
          <w:color w:val="FF4338"/>
        </w:rPr>
        <w:t>The information in this preliminary prospectus supplement is not complete and may be changed. This preliminary prospectus supplement and the accompanying prospectus are not an offer to sell these securities and they are not soliciting an offer to buy these securities in any jurisdiction where the offer or sale thereof is not permitted.</w:t>
      </w:r>
    </w:p>
    <w:p>
      <w:pPr>
        <w:spacing w:after="0" w:line="10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FF4338"/>
        </w:rPr>
        <w:t>SUBJECT TO COMPLETION, DATED OCTOBER 31, 2023</w:t>
      </w:r>
    </w:p>
    <w:p>
      <w:pPr>
        <w:spacing w:after="0" w:line="117"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Preliminary Prospectus Supplement</w:t>
      </w:r>
    </w:p>
    <w:p>
      <w:pPr>
        <w:spacing w:after="0" w:line="27"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(To Prospectus dated April 20,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57150</wp:posOffset>
            </wp:positionV>
            <wp:extent cx="1808480" cy="3003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8480" cy="3003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NAVIENT CORPORATION</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$      % Senior Notes due 2031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186690</wp:posOffset>
            </wp:positionV>
            <wp:extent cx="147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ind w:left="120" w:right="120"/>
        <w:spacing w:after="0" w:line="272" w:lineRule="auto"/>
        <w:rPr>
          <w:sz w:val="20"/>
          <w:szCs w:val="20"/>
          <w:color w:val="auto"/>
        </w:rPr>
      </w:pPr>
      <w:r>
        <w:rPr>
          <w:rFonts w:ascii="Arial" w:cs="Arial" w:eastAsia="Arial" w:hAnsi="Arial"/>
          <w:sz w:val="17"/>
          <w:szCs w:val="17"/>
          <w:color w:val="auto"/>
        </w:rPr>
        <w:t>The notes will mature on     , 2031. We will pay interest on the notes on     and      of each year. The first such payment on the notes will be made on    , 20    . We may, at our option, redeem, at any time and from time to time prior to     2027, some or all of the notes at 100% of the principal amount thereof plus accrued and unpaid interest, if any, to, but excluding, the redemption date plus the applicable “make-whole premium” described under “Description of Notes—Optional Redemption.” On or after      2027, we may, at our option, redeem at any time and from time to time, some or all of the notes at the applicable redemption prices set forth under “Description of Notes—Optional Redemption.” Upon a Change of Control Triggering Event (as defined herein), we may be required to make an offer to repurchase all outstanding notes as described in this prospectus supplement.</w:t>
      </w:r>
    </w:p>
    <w:p>
      <w:pPr>
        <w:spacing w:after="0" w:line="110" w:lineRule="exact"/>
        <w:rPr>
          <w:sz w:val="24"/>
          <w:szCs w:val="24"/>
          <w:color w:val="auto"/>
        </w:rPr>
      </w:pPr>
    </w:p>
    <w:p>
      <w:pPr>
        <w:ind w:left="120"/>
        <w:spacing w:after="0"/>
        <w:rPr>
          <w:sz w:val="20"/>
          <w:szCs w:val="20"/>
          <w:color w:val="auto"/>
        </w:rPr>
      </w:pPr>
      <w:r>
        <w:rPr>
          <w:rFonts w:ascii="Arial" w:cs="Arial" w:eastAsia="Arial" w:hAnsi="Arial"/>
          <w:sz w:val="18"/>
          <w:szCs w:val="18"/>
          <w:color w:val="auto"/>
        </w:rPr>
        <w:t>The notes will be our senior unsecured debt and will rank equally with all of our existing and future unsecured and unsubordinated debt.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177800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94" w:lineRule="exact"/>
        <w:rPr>
          <w:sz w:val="24"/>
          <w:szCs w:val="24"/>
          <w:color w:val="auto"/>
        </w:rPr>
      </w:pPr>
    </w:p>
    <w:p>
      <w:pPr>
        <w:ind w:left="120" w:right="20"/>
        <w:spacing w:after="0" w:line="249" w:lineRule="auto"/>
        <w:rPr>
          <w:sz w:val="20"/>
          <w:szCs w:val="20"/>
          <w:color w:val="auto"/>
        </w:rPr>
      </w:pPr>
      <w:r>
        <w:rPr>
          <w:rFonts w:ascii="Arial" w:cs="Arial" w:eastAsia="Arial" w:hAnsi="Arial"/>
          <w:sz w:val="21"/>
          <w:szCs w:val="21"/>
          <w:b w:val="1"/>
          <w:bCs w:val="1"/>
          <w:color w:val="auto"/>
        </w:rPr>
        <w:t>Investing in the notes involves risks. See “</w:t>
      </w:r>
      <w:r>
        <w:rPr>
          <w:rFonts w:ascii="Arial" w:cs="Arial" w:eastAsia="Arial" w:hAnsi="Arial"/>
          <w:sz w:val="21"/>
          <w:szCs w:val="21"/>
          <w:b w:val="1"/>
          <w:bCs w:val="1"/>
          <w:u w:val="single" w:color="auto"/>
          <w:color w:val="0000EE"/>
        </w:rPr>
        <w:t>Risk Factors</w:t>
      </w:r>
      <w:r>
        <w:rPr>
          <w:rFonts w:ascii="Arial" w:cs="Arial" w:eastAsia="Arial" w:hAnsi="Arial"/>
          <w:sz w:val="21"/>
          <w:szCs w:val="21"/>
          <w:b w:val="1"/>
          <w:bCs w:val="1"/>
          <w:color w:val="auto"/>
        </w:rPr>
        <w:t>” beginning on page S-6 of this prospectus supplement, “Risk Factors” beginning on page 5 of the accompanying prospectus and those risk factors incorporated by reference into this prospectus supplement and the accompanying prospectus from our Annual Report on Form 10-K for the year ended December 31, 2022, our Quarterly Reports on Form 10-Q for the quarters ended March 31, 2023, June 30, 2023 and September 30, 2023, and subsequent reports and registration statements filed from time to time with the U.S. Securities and Exchange Commission (“SEC”).</w:t>
      </w:r>
    </w:p>
    <w:p>
      <w:pPr>
        <w:spacing w:after="0" w:line="96" w:lineRule="exact"/>
        <w:rPr>
          <w:sz w:val="24"/>
          <w:szCs w:val="24"/>
          <w:color w:val="auto"/>
        </w:rPr>
      </w:pPr>
    </w:p>
    <w:tbl>
      <w:tblPr>
        <w:tblLayout w:type="fixed"/>
        <w:tblInd w:w="144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Per</w:t>
            </w:r>
          </w:p>
        </w:tc>
        <w:tc>
          <w:tcPr>
            <w:tcW w:w="9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Note</w:t>
            </w: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4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7"/>
                <w:szCs w:val="17"/>
                <w:color w:val="auto"/>
              </w:rPr>
              <w:t>Public offering price</w:t>
            </w:r>
            <w:r>
              <w:rPr>
                <w:rFonts w:ascii="Arial" w:cs="Arial" w:eastAsia="Arial" w:hAnsi="Arial"/>
                <w:sz w:val="24"/>
                <w:szCs w:val="24"/>
                <w:color w:val="auto"/>
                <w:vertAlign w:val="superscript"/>
              </w:rPr>
              <w:t>(1)</w:t>
            </w: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4"/>
              </w:rPr>
              <w:t>    %</w:t>
            </w:r>
          </w:p>
        </w:tc>
        <w:tc>
          <w:tcPr>
            <w:tcW w:w="6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xml:space="preserve">$      </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Underwriting discount</w:t>
            </w:r>
          </w:p>
        </w:tc>
        <w:tc>
          <w:tcPr>
            <w:tcW w:w="1220" w:type="dxa"/>
            <w:vAlign w:val="bottom"/>
            <w:gridSpan w:val="2"/>
          </w:tcPr>
          <w:p>
            <w:pPr>
              <w:spacing w:after="0"/>
              <w:rPr>
                <w:sz w:val="20"/>
                <w:szCs w:val="20"/>
                <w:color w:val="auto"/>
              </w:rPr>
            </w:pPr>
            <w:r>
              <w:rPr>
                <w:rFonts w:ascii="Arial" w:cs="Arial" w:eastAsia="Arial" w:hAnsi="Arial"/>
                <w:sz w:val="18"/>
                <w:szCs w:val="18"/>
                <w:color w:val="auto"/>
              </w:rPr>
              <w:t>    %</w:t>
            </w:r>
          </w:p>
        </w:tc>
        <w:tc>
          <w:tcPr>
            <w:tcW w:w="8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Proceeds to Navient Corporation (before expenses)</w:t>
            </w: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4"/>
          <w:szCs w:val="24"/>
          <w:color w:val="auto"/>
        </w:rPr>
      </w:pPr>
    </w:p>
    <w:p>
      <w:pPr>
        <w:ind w:left="540" w:hanging="424"/>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Plus accrued interest, if any, from    , 2023, if settlement occurs after that date.</w:t>
      </w:r>
    </w:p>
    <w:p>
      <w:pPr>
        <w:spacing w:after="0" w:line="154" w:lineRule="exact"/>
        <w:rPr>
          <w:sz w:val="24"/>
          <w:szCs w:val="24"/>
          <w:color w:val="auto"/>
        </w:rPr>
      </w:pPr>
    </w:p>
    <w:p>
      <w:pPr>
        <w:ind w:left="120" w:right="20"/>
        <w:spacing w:after="0" w:line="258" w:lineRule="auto"/>
        <w:rPr>
          <w:sz w:val="20"/>
          <w:szCs w:val="20"/>
          <w:color w:val="auto"/>
        </w:rPr>
      </w:pPr>
      <w:r>
        <w:rPr>
          <w:rFonts w:ascii="Arial" w:cs="Arial" w:eastAsia="Arial" w:hAnsi="Arial"/>
          <w:sz w:val="18"/>
          <w:szCs w:val="18"/>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 Obligations of Navient Corporation and any subsidiary of Navient Corporation are not guaranteed by the full faith and credit of the United States of America. Neither Navient Corporation nor any subsidiary of Navient Corporation is a government-sponsored enterprise or an instrumentality of the United States of America.</w:t>
      </w:r>
    </w:p>
    <w:p>
      <w:pPr>
        <w:spacing w:after="0" w:line="106" w:lineRule="exact"/>
        <w:rPr>
          <w:sz w:val="24"/>
          <w:szCs w:val="24"/>
          <w:color w:val="auto"/>
        </w:rPr>
      </w:pPr>
    </w:p>
    <w:p>
      <w:pPr>
        <w:ind w:left="120" w:right="540"/>
        <w:spacing w:after="0" w:line="277" w:lineRule="auto"/>
        <w:rPr>
          <w:sz w:val="20"/>
          <w:szCs w:val="20"/>
          <w:color w:val="auto"/>
        </w:rPr>
      </w:pPr>
      <w:r>
        <w:rPr>
          <w:rFonts w:ascii="Arial" w:cs="Arial" w:eastAsia="Arial" w:hAnsi="Arial"/>
          <w:sz w:val="18"/>
          <w:szCs w:val="18"/>
          <w:color w:val="auto"/>
        </w:rPr>
        <w:t>The underwriters expect to deliver the notes to purchasers in book-entry form only through The Depository Trust Company for the accounts of its participants, including Clearstream and Euroclear, on or about     ,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151765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9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Joint Book-Running Managers</w:t>
      </w:r>
    </w:p>
    <w:p>
      <w:pPr>
        <w:spacing w:after="0" w:line="144" w:lineRule="exact"/>
        <w:rPr>
          <w:sz w:val="24"/>
          <w:szCs w:val="24"/>
          <w:color w:val="auto"/>
        </w:rPr>
      </w:pPr>
    </w:p>
    <w:p>
      <w:pPr>
        <w:ind w:left="660"/>
        <w:spacing w:after="0"/>
        <w:tabs>
          <w:tab w:leader="none" w:pos="3740" w:val="left"/>
          <w:tab w:leader="none" w:pos="6440" w:val="left"/>
          <w:tab w:leader="none" w:pos="9080" w:val="left"/>
        </w:tabs>
        <w:rPr>
          <w:sz w:val="20"/>
          <w:szCs w:val="20"/>
          <w:color w:val="auto"/>
        </w:rPr>
      </w:pPr>
      <w:r>
        <w:rPr>
          <w:rFonts w:ascii="Arial" w:cs="Arial" w:eastAsia="Arial" w:hAnsi="Arial"/>
          <w:sz w:val="22"/>
          <w:szCs w:val="22"/>
          <w:b w:val="1"/>
          <w:bCs w:val="1"/>
          <w:color w:val="auto"/>
        </w:rPr>
        <w:t>BofA Securities</w:t>
      </w:r>
      <w:r>
        <w:rPr>
          <w:sz w:val="20"/>
          <w:szCs w:val="20"/>
          <w:color w:val="auto"/>
        </w:rPr>
        <w:tab/>
      </w:r>
      <w:r>
        <w:rPr>
          <w:rFonts w:ascii="Arial" w:cs="Arial" w:eastAsia="Arial" w:hAnsi="Arial"/>
          <w:sz w:val="22"/>
          <w:szCs w:val="22"/>
          <w:b w:val="1"/>
          <w:bCs w:val="1"/>
          <w:color w:val="auto"/>
        </w:rPr>
        <w:t>Barclays</w:t>
      </w:r>
      <w:r>
        <w:rPr>
          <w:sz w:val="20"/>
          <w:szCs w:val="20"/>
          <w:color w:val="auto"/>
        </w:rPr>
        <w:tab/>
      </w:r>
      <w:r>
        <w:rPr>
          <w:rFonts w:ascii="Arial" w:cs="Arial" w:eastAsia="Arial" w:hAnsi="Arial"/>
          <w:sz w:val="22"/>
          <w:szCs w:val="22"/>
          <w:b w:val="1"/>
          <w:bCs w:val="1"/>
          <w:color w:val="auto"/>
        </w:rPr>
        <w:t>J.P. Morgan</w:t>
      </w:r>
      <w:r>
        <w:rPr>
          <w:sz w:val="20"/>
          <w:szCs w:val="20"/>
          <w:color w:val="auto"/>
        </w:rPr>
        <w:tab/>
      </w:r>
      <w:r>
        <w:rPr>
          <w:rFonts w:ascii="Arial" w:cs="Arial" w:eastAsia="Arial" w:hAnsi="Arial"/>
          <w:sz w:val="19"/>
          <w:szCs w:val="19"/>
          <w:b w:val="1"/>
          <w:bCs w:val="1"/>
          <w:color w:val="auto"/>
        </w:rPr>
        <w:t>RBC Capital Markets</w:t>
      </w:r>
    </w:p>
    <w:p>
      <w:pPr>
        <w:sectPr>
          <w:pgSz w:w="11900" w:h="16838" w:orient="portrait"/>
          <w:cols w:equalWidth="0" w:num="1">
            <w:col w:w="11140"/>
          </w:cols>
          <w:pgMar w:left="320" w:top="230" w:right="439" w:bottom="1440" w:gutter="0" w:footer="0" w:header="0"/>
        </w:sectPr>
      </w:pPr>
    </w:p>
    <w:p>
      <w:pPr>
        <w:spacing w:after="0" w:line="242"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The date of this prospectus supplement is      , 2023</w:t>
      </w:r>
    </w:p>
    <w:p>
      <w:pPr>
        <w:sectPr>
          <w:pgSz w:w="11900" w:h="16838" w:orient="portrait"/>
          <w:cols w:equalWidth="0" w:num="1">
            <w:col w:w="11140"/>
          </w:cols>
          <w:pgMar w:left="320" w:top="230"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760" w:type="dxa"/>
            <w:vAlign w:val="bottom"/>
            <w:gridSpan w:val="2"/>
          </w:tcPr>
          <w:p>
            <w:pPr>
              <w:jc w:val="center"/>
              <w:ind w:right="3360"/>
              <w:spacing w:after="0"/>
              <w:rPr>
                <w:sz w:val="20"/>
                <w:szCs w:val="20"/>
                <w:color w:val="auto"/>
              </w:rPr>
            </w:pPr>
            <w:r>
              <w:rPr>
                <w:rFonts w:ascii="Arial" w:cs="Arial" w:eastAsia="Arial" w:hAnsi="Arial"/>
                <w:sz w:val="18"/>
                <w:szCs w:val="18"/>
                <w:b w:val="1"/>
                <w:bCs w:val="1"/>
                <w:color w:val="auto"/>
                <w:w w:val="98"/>
              </w:rPr>
              <w:t>TABLE OF CONTENTS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760" w:type="dxa"/>
            <w:vAlign w:val="bottom"/>
            <w:gridSpan w:val="2"/>
          </w:tcPr>
          <w:p>
            <w:pPr>
              <w:jc w:val="center"/>
              <w:ind w:right="3360"/>
              <w:spacing w:after="0"/>
              <w:rPr>
                <w:sz w:val="20"/>
                <w:szCs w:val="20"/>
                <w:color w:val="auto"/>
              </w:rPr>
            </w:pPr>
            <w:r>
              <w:rPr>
                <w:rFonts w:ascii="Arial" w:cs="Arial" w:eastAsia="Arial" w:hAnsi="Arial"/>
                <w:sz w:val="18"/>
                <w:szCs w:val="18"/>
                <w:b w:val="1"/>
                <w:bCs w:val="1"/>
                <w:color w:val="auto"/>
                <w:w w:val="87"/>
              </w:rPr>
              <w:t>Prospectus Supplement</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440" w:type="dxa"/>
            <w:vAlign w:val="bottom"/>
            <w:gridSpan w:val="19"/>
            <w:vMerge w:val="restart"/>
          </w:tcPr>
          <w:p>
            <w:pPr>
              <w:spacing w:after="0"/>
              <w:rPr>
                <w:sz w:val="20"/>
                <w:szCs w:val="20"/>
                <w:color w:val="auto"/>
              </w:rPr>
            </w:pPr>
            <w:r>
              <w:rPr>
                <w:rFonts w:ascii="Arial" w:cs="Arial" w:eastAsia="Arial" w:hAnsi="Arial"/>
                <w:sz w:val="18"/>
                <w:szCs w:val="18"/>
                <w:color w:val="0000EE"/>
                <w:w w:val="93"/>
              </w:rPr>
              <w:t>ABOUT THIS PROSPECTUS SUPPLEMENT</w:t>
            </w:r>
          </w:p>
        </w:tc>
        <w:tc>
          <w:tcPr>
            <w:tcW w:w="7120" w:type="dxa"/>
            <w:vAlign w:val="bottom"/>
            <w:gridSpan w:val="4"/>
            <w:vMerge w:val="restart"/>
          </w:tcPr>
          <w:p>
            <w:pPr>
              <w:spacing w:after="0"/>
              <w:rPr>
                <w:sz w:val="24"/>
                <w:szCs w:val="24"/>
                <w:color w:val="auto"/>
              </w:rPr>
            </w:pPr>
          </w:p>
        </w:tc>
        <w:tc>
          <w:tcPr>
            <w:tcW w:w="420" w:type="dxa"/>
            <w:vAlign w:val="bottom"/>
            <w:gridSpan w:val="3"/>
          </w:tcPr>
          <w:p>
            <w:pPr>
              <w:ind w:left="6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74"/>
        </w:trPr>
        <w:tc>
          <w:tcPr>
            <w:tcW w:w="3440" w:type="dxa"/>
            <w:vAlign w:val="bottom"/>
            <w:tcBorders>
              <w:bottom w:val="single" w:sz="8" w:color="0000EE"/>
            </w:tcBorders>
            <w:gridSpan w:val="19"/>
            <w:vMerge w:val="continue"/>
          </w:tcPr>
          <w:p>
            <w:pPr>
              <w:spacing w:after="0"/>
              <w:rPr>
                <w:sz w:val="14"/>
                <w:szCs w:val="14"/>
                <w:color w:val="auto"/>
              </w:rPr>
            </w:pPr>
          </w:p>
        </w:tc>
        <w:tc>
          <w:tcPr>
            <w:tcW w:w="7120" w:type="dxa"/>
            <w:vAlign w:val="bottom"/>
            <w:gridSpan w:val="4"/>
            <w:vMerge w:val="continue"/>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w w:val="99"/>
              </w:rPr>
              <w:t>S-ii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560" w:type="dxa"/>
            <w:vAlign w:val="bottom"/>
            <w:gridSpan w:val="23"/>
          </w:tcPr>
          <w:p>
            <w:pPr>
              <w:spacing w:after="0" w:line="196" w:lineRule="exact"/>
              <w:rPr>
                <w:sz w:val="20"/>
                <w:szCs w:val="20"/>
                <w:color w:val="auto"/>
              </w:rPr>
            </w:pPr>
            <w:r>
              <w:rPr>
                <w:rFonts w:ascii="Arial" w:cs="Arial" w:eastAsia="Arial" w:hAnsi="Arial"/>
                <w:sz w:val="18"/>
                <w:szCs w:val="18"/>
                <w:color w:val="0000EE"/>
              </w:rPr>
              <w:t>NOTICE TO BENEFIT PLAN INVESTORS</w:t>
            </w:r>
          </w:p>
        </w:tc>
        <w:tc>
          <w:tcPr>
            <w:tcW w:w="12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S-ii</w:t>
            </w:r>
          </w:p>
        </w:tc>
        <w:tc>
          <w:tcPr>
            <w:tcW w:w="0" w:type="dxa"/>
            <w:vAlign w:val="bottom"/>
          </w:tcPr>
          <w:p>
            <w:pPr>
              <w:spacing w:after="0"/>
              <w:rPr>
                <w:sz w:val="1"/>
                <w:szCs w:val="1"/>
                <w:color w:val="auto"/>
              </w:rPr>
            </w:pPr>
          </w:p>
        </w:tc>
      </w:tr>
      <w:tr>
        <w:trPr>
          <w:trHeight w:val="196"/>
        </w:trPr>
        <w:tc>
          <w:tcPr>
            <w:tcW w:w="2920" w:type="dxa"/>
            <w:vAlign w:val="bottom"/>
            <w:tcBorders>
              <w:top w:val="single" w:sz="8" w:color="0000EE"/>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94"/>
              </w:rPr>
              <w:t>FORWARD LOOKING STATEMENTS</w:t>
            </w:r>
          </w:p>
        </w:tc>
        <w:tc>
          <w:tcPr>
            <w:tcW w:w="340" w:type="dxa"/>
            <w:vAlign w:val="bottom"/>
            <w:tcBorders>
              <w:top w:val="single" w:sz="8" w:color="0000EE"/>
            </w:tcBorders>
            <w:gridSpan w:val="2"/>
          </w:tcPr>
          <w:p>
            <w:pPr>
              <w:spacing w:after="0"/>
              <w:rPr>
                <w:sz w:val="17"/>
                <w:szCs w:val="17"/>
                <w:color w:val="auto"/>
              </w:rPr>
            </w:pPr>
          </w:p>
        </w:tc>
        <w:tc>
          <w:tcPr>
            <w:tcW w:w="7300" w:type="dxa"/>
            <w:vAlign w:val="bottom"/>
            <w:gridSpan w:val="5"/>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S-ii</w:t>
            </w: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7"/>
              </w:rPr>
              <w:t>SUMMARY</w:t>
            </w:r>
          </w:p>
        </w:tc>
        <w:tc>
          <w:tcPr>
            <w:tcW w:w="9640" w:type="dxa"/>
            <w:vAlign w:val="bottom"/>
            <w:gridSpan w:val="21"/>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2"/>
              </w:rPr>
              <w:t>S-1</w:t>
            </w:r>
          </w:p>
        </w:tc>
        <w:tc>
          <w:tcPr>
            <w:tcW w:w="0" w:type="dxa"/>
            <w:vAlign w:val="bottom"/>
          </w:tcPr>
          <w:p>
            <w:pPr>
              <w:spacing w:after="0"/>
              <w:rPr>
                <w:sz w:val="1"/>
                <w:szCs w:val="1"/>
                <w:color w:val="auto"/>
              </w:rPr>
            </w:pPr>
          </w:p>
        </w:tc>
      </w:tr>
      <w:tr>
        <w:trPr>
          <w:trHeight w:val="196"/>
        </w:trPr>
        <w:tc>
          <w:tcPr>
            <w:tcW w:w="128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3"/>
              </w:rPr>
              <w:t>THE OFFERING</w:t>
            </w:r>
          </w:p>
        </w:tc>
        <w:tc>
          <w:tcPr>
            <w:tcW w:w="9280" w:type="dxa"/>
            <w:vAlign w:val="bottom"/>
            <w:gridSpan w:val="19"/>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2"/>
              </w:rPr>
              <w:t>S-2</w:t>
            </w:r>
          </w:p>
        </w:tc>
        <w:tc>
          <w:tcPr>
            <w:tcW w:w="0" w:type="dxa"/>
            <w:vAlign w:val="bottom"/>
          </w:tcPr>
          <w:p>
            <w:pPr>
              <w:spacing w:after="0"/>
              <w:rPr>
                <w:sz w:val="1"/>
                <w:szCs w:val="1"/>
                <w:color w:val="auto"/>
              </w:rPr>
            </w:pPr>
          </w:p>
        </w:tc>
      </w:tr>
      <w:tr>
        <w:trPr>
          <w:trHeight w:val="196"/>
        </w:trPr>
        <w:tc>
          <w:tcPr>
            <w:tcW w:w="356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99"/>
              </w:rPr>
              <w:t>SUMMARY HISTORICAL FINANCIAL DATA</w:t>
            </w:r>
          </w:p>
        </w:tc>
        <w:tc>
          <w:tcPr>
            <w:tcW w:w="700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2"/>
              </w:rPr>
              <w:t>S-4</w:t>
            </w:r>
          </w:p>
        </w:tc>
        <w:tc>
          <w:tcPr>
            <w:tcW w:w="0" w:type="dxa"/>
            <w:vAlign w:val="bottom"/>
          </w:tcPr>
          <w:p>
            <w:pPr>
              <w:spacing w:after="0"/>
              <w:rPr>
                <w:sz w:val="1"/>
                <w:szCs w:val="1"/>
                <w:color w:val="auto"/>
              </w:rPr>
            </w:pPr>
          </w:p>
        </w:tc>
      </w:tr>
      <w:tr>
        <w:trPr>
          <w:trHeight w:val="196"/>
        </w:trPr>
        <w:tc>
          <w:tcPr>
            <w:tcW w:w="10560" w:type="dxa"/>
            <w:vAlign w:val="bottom"/>
            <w:gridSpan w:val="23"/>
          </w:tcPr>
          <w:p>
            <w:pPr>
              <w:spacing w:after="0" w:line="196" w:lineRule="exact"/>
              <w:rPr>
                <w:sz w:val="20"/>
                <w:szCs w:val="20"/>
                <w:color w:val="auto"/>
              </w:rPr>
            </w:pPr>
            <w:r>
              <w:rPr>
                <w:rFonts w:ascii="Arial" w:cs="Arial" w:eastAsia="Arial" w:hAnsi="Arial"/>
                <w:sz w:val="18"/>
                <w:szCs w:val="18"/>
                <w:color w:val="0000EE"/>
              </w:rPr>
              <w:t>RISK FACTORS</w:t>
            </w:r>
          </w:p>
        </w:tc>
        <w:tc>
          <w:tcPr>
            <w:tcW w:w="12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2"/>
              </w:rPr>
              <w:t>S-6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0"/>
              </w:rPr>
              <w:t>USE OF PROCEEDS</w:t>
            </w:r>
          </w:p>
        </w:tc>
        <w:tc>
          <w:tcPr>
            <w:tcW w:w="8980" w:type="dxa"/>
            <w:vAlign w:val="bottom"/>
            <w:gridSpan w:val="15"/>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2"/>
              </w:rPr>
              <w:t>S-9</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9"/>
              </w:rPr>
              <w:t>CAPITALIZATION</w:t>
            </w:r>
          </w:p>
        </w:tc>
        <w:tc>
          <w:tcPr>
            <w:tcW w:w="9080" w:type="dxa"/>
            <w:vAlign w:val="bottom"/>
            <w:gridSpan w:val="16"/>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2"/>
              </w:rPr>
              <w:t>S-9</w:t>
            </w:r>
          </w:p>
        </w:tc>
        <w:tc>
          <w:tcPr>
            <w:tcW w:w="0" w:type="dxa"/>
            <w:vAlign w:val="bottom"/>
          </w:tcPr>
          <w:p>
            <w:pPr>
              <w:spacing w:after="0"/>
              <w:rPr>
                <w:sz w:val="1"/>
                <w:szCs w:val="1"/>
                <w:color w:val="auto"/>
              </w:rPr>
            </w:pPr>
          </w:p>
        </w:tc>
      </w:tr>
      <w:tr>
        <w:trPr>
          <w:trHeight w:val="196"/>
        </w:trPr>
        <w:tc>
          <w:tcPr>
            <w:tcW w:w="10560" w:type="dxa"/>
            <w:vAlign w:val="bottom"/>
            <w:gridSpan w:val="23"/>
          </w:tcPr>
          <w:p>
            <w:pPr>
              <w:spacing w:after="0" w:line="196" w:lineRule="exact"/>
              <w:rPr>
                <w:sz w:val="20"/>
                <w:szCs w:val="20"/>
                <w:color w:val="auto"/>
              </w:rPr>
            </w:pPr>
            <w:r>
              <w:rPr>
                <w:rFonts w:ascii="Arial" w:cs="Arial" w:eastAsia="Arial" w:hAnsi="Arial"/>
                <w:sz w:val="18"/>
                <w:szCs w:val="18"/>
                <w:color w:val="0000EE"/>
              </w:rPr>
              <w:t>DESCRIPTION OF NOTES</w:t>
            </w: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S-10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20" w:type="dxa"/>
            <w:vAlign w:val="bottom"/>
            <w:tcBorders>
              <w:bottom w:val="single" w:sz="8" w:color="0000EE"/>
            </w:tcBorders>
            <w:gridSpan w:val="22"/>
          </w:tcPr>
          <w:p>
            <w:pPr>
              <w:spacing w:after="0" w:line="196" w:lineRule="exact"/>
              <w:rPr>
                <w:sz w:val="20"/>
                <w:szCs w:val="20"/>
                <w:color w:val="auto"/>
              </w:rPr>
            </w:pPr>
            <w:r>
              <w:rPr>
                <w:rFonts w:ascii="Arial" w:cs="Arial" w:eastAsia="Arial" w:hAnsi="Arial"/>
                <w:sz w:val="18"/>
                <w:szCs w:val="18"/>
                <w:color w:val="0000EE"/>
                <w:w w:val="95"/>
              </w:rPr>
              <w:t>UNITED STATES FEDERAL INCOME TAX CONSIDERATIONS FOR NON-U.S. HOLDERS</w:t>
            </w:r>
          </w:p>
        </w:tc>
        <w:tc>
          <w:tcPr>
            <w:tcW w:w="3540" w:type="dxa"/>
            <w:vAlign w:val="bottom"/>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S-23</w:t>
            </w:r>
          </w:p>
        </w:tc>
        <w:tc>
          <w:tcPr>
            <w:tcW w:w="0" w:type="dxa"/>
            <w:vAlign w:val="bottom"/>
          </w:tcPr>
          <w:p>
            <w:pPr>
              <w:spacing w:after="0"/>
              <w:rPr>
                <w:sz w:val="1"/>
                <w:szCs w:val="1"/>
                <w:color w:val="auto"/>
              </w:rPr>
            </w:pPr>
          </w:p>
        </w:tc>
      </w:tr>
      <w:tr>
        <w:trPr>
          <w:trHeight w:val="196"/>
        </w:trPr>
        <w:tc>
          <w:tcPr>
            <w:tcW w:w="10560" w:type="dxa"/>
            <w:vAlign w:val="bottom"/>
            <w:gridSpan w:val="23"/>
          </w:tcPr>
          <w:p>
            <w:pPr>
              <w:spacing w:after="0" w:line="196" w:lineRule="exact"/>
              <w:rPr>
                <w:sz w:val="20"/>
                <w:szCs w:val="20"/>
                <w:color w:val="auto"/>
              </w:rPr>
            </w:pPr>
            <w:r>
              <w:rPr>
                <w:rFonts w:ascii="Arial" w:cs="Arial" w:eastAsia="Arial" w:hAnsi="Arial"/>
                <w:sz w:val="18"/>
                <w:szCs w:val="18"/>
                <w:color w:val="0000EE"/>
              </w:rPr>
              <w:t>UNDERWRITING</w:t>
            </w: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S-26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676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6"/>
              </w:rPr>
              <w:t>LEGAL MATTERS</w:t>
            </w:r>
          </w:p>
        </w:tc>
        <w:tc>
          <w:tcPr>
            <w:tcW w:w="9100" w:type="dxa"/>
            <w:vAlign w:val="bottom"/>
            <w:gridSpan w:val="17"/>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S-31</w:t>
            </w:r>
          </w:p>
        </w:tc>
        <w:tc>
          <w:tcPr>
            <w:tcW w:w="0" w:type="dxa"/>
            <w:vAlign w:val="bottom"/>
          </w:tcPr>
          <w:p>
            <w:pPr>
              <w:spacing w:after="0"/>
              <w:rPr>
                <w:sz w:val="1"/>
                <w:szCs w:val="1"/>
                <w:color w:val="auto"/>
              </w:rPr>
            </w:pPr>
          </w:p>
        </w:tc>
      </w:tr>
      <w:tr>
        <w:trPr>
          <w:trHeight w:val="196"/>
        </w:trPr>
        <w:tc>
          <w:tcPr>
            <w:tcW w:w="10560" w:type="dxa"/>
            <w:vAlign w:val="bottom"/>
            <w:gridSpan w:val="23"/>
          </w:tcPr>
          <w:p>
            <w:pPr>
              <w:spacing w:after="0" w:line="196" w:lineRule="exact"/>
              <w:rPr>
                <w:sz w:val="20"/>
                <w:szCs w:val="20"/>
                <w:color w:val="auto"/>
              </w:rPr>
            </w:pPr>
            <w:r>
              <w:rPr>
                <w:rFonts w:ascii="Arial" w:cs="Arial" w:eastAsia="Arial" w:hAnsi="Arial"/>
                <w:sz w:val="18"/>
                <w:szCs w:val="18"/>
                <w:color w:val="0000EE"/>
              </w:rPr>
              <w:t>EXPERTS</w:t>
            </w: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S-31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676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3"/>
          </w:tcPr>
          <w:p>
            <w:pPr>
              <w:spacing w:after="0" w:line="196" w:lineRule="exact"/>
              <w:rPr>
                <w:sz w:val="20"/>
                <w:szCs w:val="20"/>
                <w:color w:val="auto"/>
              </w:rPr>
            </w:pPr>
            <w:r>
              <w:rPr>
                <w:rFonts w:ascii="Arial" w:cs="Arial" w:eastAsia="Arial" w:hAnsi="Arial"/>
                <w:sz w:val="18"/>
                <w:szCs w:val="18"/>
                <w:color w:val="0000EE"/>
              </w:rPr>
              <w:t>WHERE YOU CAN FIND MORE INFORMATION</w:t>
            </w: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S-32</w:t>
            </w:r>
          </w:p>
        </w:tc>
        <w:tc>
          <w:tcPr>
            <w:tcW w:w="0" w:type="dxa"/>
            <w:vAlign w:val="bottom"/>
          </w:tcPr>
          <w:p>
            <w:pPr>
              <w:spacing w:after="0"/>
              <w:rPr>
                <w:sz w:val="1"/>
                <w:szCs w:val="1"/>
                <w:color w:val="auto"/>
              </w:rPr>
            </w:pPr>
          </w:p>
        </w:tc>
      </w:tr>
      <w:tr>
        <w:trPr>
          <w:trHeight w:val="668"/>
        </w:trPr>
        <w:tc>
          <w:tcPr>
            <w:tcW w:w="7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760" w:type="dxa"/>
            <w:vAlign w:val="bottom"/>
            <w:gridSpan w:val="2"/>
          </w:tcPr>
          <w:p>
            <w:pPr>
              <w:jc w:val="center"/>
              <w:ind w:right="3360"/>
              <w:spacing w:after="0"/>
              <w:rPr>
                <w:sz w:val="20"/>
                <w:szCs w:val="20"/>
                <w:color w:val="auto"/>
              </w:rPr>
            </w:pPr>
            <w:r>
              <w:rPr>
                <w:rFonts w:ascii="Arial" w:cs="Arial" w:eastAsia="Arial" w:hAnsi="Arial"/>
                <w:sz w:val="18"/>
                <w:szCs w:val="18"/>
                <w:b w:val="1"/>
                <w:bCs w:val="1"/>
                <w:color w:val="auto"/>
                <w:w w:val="85"/>
              </w:rPr>
              <w:t>Prospectus</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560" w:type="dxa"/>
            <w:vAlign w:val="bottom"/>
            <w:gridSpan w:val="23"/>
            <w:vMerge w:val="restart"/>
          </w:tcPr>
          <w:p>
            <w:pPr>
              <w:spacing w:after="0"/>
              <w:rPr>
                <w:sz w:val="20"/>
                <w:szCs w:val="20"/>
                <w:color w:val="auto"/>
              </w:rPr>
            </w:pPr>
            <w:r>
              <w:rPr>
                <w:rFonts w:ascii="Arial" w:cs="Arial" w:eastAsia="Arial" w:hAnsi="Arial"/>
                <w:sz w:val="18"/>
                <w:szCs w:val="18"/>
                <w:color w:val="0000EE"/>
              </w:rPr>
              <w:t>ABOUT THIS PROSPECTUS</w:t>
            </w:r>
          </w:p>
        </w:tc>
        <w:tc>
          <w:tcPr>
            <w:tcW w:w="12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55"/>
        </w:trPr>
        <w:tc>
          <w:tcPr>
            <w:tcW w:w="10560" w:type="dxa"/>
            <w:vAlign w:val="bottom"/>
            <w:gridSpan w:val="23"/>
            <w:vMerge w:val="continue"/>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80" w:type="dxa"/>
            <w:vAlign w:val="bottom"/>
            <w:gridSpan w:val="8"/>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676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560" w:type="dxa"/>
            <w:vAlign w:val="bottom"/>
            <w:gridSpan w:val="23"/>
          </w:tcPr>
          <w:p>
            <w:pPr>
              <w:spacing w:after="0"/>
              <w:rPr>
                <w:sz w:val="20"/>
                <w:szCs w:val="20"/>
                <w:color w:val="auto"/>
              </w:rPr>
            </w:pPr>
            <w:r>
              <w:rPr>
                <w:rFonts w:ascii="Arial" w:cs="Arial" w:eastAsia="Arial" w:hAnsi="Arial"/>
                <w:sz w:val="18"/>
                <w:szCs w:val="18"/>
                <w:color w:val="0000EE"/>
              </w:rPr>
              <w:t>FORWARD-LOOKING STATEMENTS</w:t>
            </w: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2920" w:type="dxa"/>
            <w:vAlign w:val="bottom"/>
            <w:tcBorders>
              <w:top w:val="single" w:sz="8" w:color="0000EE"/>
            </w:tcBorders>
            <w:gridSpan w:val="16"/>
          </w:tcPr>
          <w:p>
            <w:pPr>
              <w:spacing w:after="0" w:line="196" w:lineRule="exact"/>
              <w:rPr>
                <w:sz w:val="20"/>
                <w:szCs w:val="20"/>
                <w:color w:val="auto"/>
              </w:rPr>
            </w:pPr>
            <w:r>
              <w:rPr>
                <w:rFonts w:ascii="Arial" w:cs="Arial" w:eastAsia="Arial" w:hAnsi="Arial"/>
                <w:sz w:val="18"/>
                <w:szCs w:val="18"/>
                <w:color w:val="0000EE"/>
              </w:rPr>
              <w:t>ABOUT NAVIENT CORPORATION</w:t>
            </w:r>
          </w:p>
        </w:tc>
        <w:tc>
          <w:tcPr>
            <w:tcW w:w="7640" w:type="dxa"/>
            <w:vAlign w:val="bottom"/>
            <w:gridSpan w:val="7"/>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740" w:type="dxa"/>
            <w:vAlign w:val="bottom"/>
            <w:tcBorders>
              <w:top w:val="single" w:sz="8" w:color="0000EE"/>
            </w:tcBorders>
            <w:gridSpan w:val="14"/>
          </w:tcPr>
          <w:p>
            <w:pPr>
              <w:spacing w:after="0" w:line="196" w:lineRule="exact"/>
              <w:rPr>
                <w:sz w:val="20"/>
                <w:szCs w:val="20"/>
                <w:color w:val="auto"/>
              </w:rPr>
            </w:pPr>
            <w:r>
              <w:rPr>
                <w:rFonts w:ascii="Arial" w:cs="Arial" w:eastAsia="Arial" w:hAnsi="Arial"/>
                <w:sz w:val="18"/>
                <w:szCs w:val="18"/>
                <w:color w:val="0000EE"/>
              </w:rPr>
              <w:t>RISK FACTORS</w:t>
            </w:r>
          </w:p>
        </w:tc>
        <w:tc>
          <w:tcPr>
            <w:tcW w:w="7820" w:type="dxa"/>
            <w:vAlign w:val="bottom"/>
            <w:gridSpan w:val="9"/>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240" w:type="dxa"/>
            <w:vAlign w:val="bottom"/>
            <w:gridSpan w:val="3"/>
            <w:shd w:val="clear" w:color="auto" w:fill="0000EE"/>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676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0"/>
              </w:rPr>
              <w:t>USE OF PROCEEDS</w:t>
            </w:r>
          </w:p>
        </w:tc>
        <w:tc>
          <w:tcPr>
            <w:tcW w:w="8980" w:type="dxa"/>
            <w:vAlign w:val="bottom"/>
            <w:gridSpan w:val="15"/>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240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4"/>
              </w:rPr>
              <w:t>SECURITIES WE MAY OFFER</w:t>
            </w:r>
          </w:p>
        </w:tc>
        <w:tc>
          <w:tcPr>
            <w:tcW w:w="8160" w:type="dxa"/>
            <w:vAlign w:val="bottom"/>
            <w:gridSpan w:val="11"/>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3020" w:type="dxa"/>
            <w:vAlign w:val="bottom"/>
            <w:tcBorders>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94"/>
              </w:rPr>
              <w:t>DESCRIPTION OF DEBT SECURITIES</w:t>
            </w:r>
          </w:p>
        </w:tc>
        <w:tc>
          <w:tcPr>
            <w:tcW w:w="7540" w:type="dxa"/>
            <w:vAlign w:val="bottom"/>
            <w:gridSpan w:val="6"/>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0560" w:type="dxa"/>
            <w:vAlign w:val="bottom"/>
            <w:gridSpan w:val="23"/>
          </w:tcPr>
          <w:p>
            <w:pPr>
              <w:spacing w:after="0" w:line="196" w:lineRule="exact"/>
              <w:rPr>
                <w:sz w:val="20"/>
                <w:szCs w:val="20"/>
                <w:color w:val="auto"/>
              </w:rPr>
            </w:pPr>
            <w:r>
              <w:rPr>
                <w:rFonts w:ascii="Arial" w:cs="Arial" w:eastAsia="Arial" w:hAnsi="Arial"/>
                <w:sz w:val="18"/>
                <w:szCs w:val="18"/>
                <w:color w:val="0000EE"/>
              </w:rPr>
              <w:t>DESCRIPTION OF CAPITAL STOCK</w:t>
            </w: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2480" w:type="dxa"/>
            <w:vAlign w:val="bottom"/>
            <w:tcBorders>
              <w:top w:val="single" w:sz="8" w:color="0000EE"/>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4"/>
              </w:rPr>
              <w:t>DESCRIPTION OF WARRANTS</w:t>
            </w:r>
          </w:p>
        </w:tc>
        <w:tc>
          <w:tcPr>
            <w:tcW w:w="380" w:type="dxa"/>
            <w:vAlign w:val="bottom"/>
            <w:tcBorders>
              <w:top w:val="single" w:sz="8" w:color="0000EE"/>
            </w:tcBorders>
            <w:gridSpan w:val="2"/>
          </w:tcPr>
          <w:p>
            <w:pPr>
              <w:spacing w:after="0"/>
              <w:rPr>
                <w:sz w:val="17"/>
                <w:szCs w:val="17"/>
                <w:color w:val="auto"/>
              </w:rPr>
            </w:pPr>
          </w:p>
        </w:tc>
        <w:tc>
          <w:tcPr>
            <w:tcW w:w="7700" w:type="dxa"/>
            <w:vAlign w:val="bottom"/>
            <w:gridSpan w:val="8"/>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202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4"/>
              </w:rPr>
              <w:t>DESCRIPTION OF UNITS</w:t>
            </w:r>
          </w:p>
        </w:tc>
        <w:tc>
          <w:tcPr>
            <w:tcW w:w="8540" w:type="dxa"/>
            <w:vAlign w:val="bottom"/>
            <w:gridSpan w:val="14"/>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0560" w:type="dxa"/>
            <w:vAlign w:val="bottom"/>
            <w:gridSpan w:val="23"/>
          </w:tcPr>
          <w:p>
            <w:pPr>
              <w:spacing w:after="0" w:line="196" w:lineRule="exact"/>
              <w:rPr>
                <w:sz w:val="20"/>
                <w:szCs w:val="20"/>
                <w:color w:val="auto"/>
              </w:rPr>
            </w:pPr>
            <w:r>
              <w:rPr>
                <w:rFonts w:ascii="Arial" w:cs="Arial" w:eastAsia="Arial" w:hAnsi="Arial"/>
                <w:sz w:val="18"/>
                <w:szCs w:val="18"/>
                <w:color w:val="0000EE"/>
              </w:rPr>
              <w:t>PLAN OF DISTRIBUTION</w:t>
            </w: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6"/>
              </w:rPr>
              <w:t>LEGAL MATTERS</w:t>
            </w:r>
          </w:p>
        </w:tc>
        <w:tc>
          <w:tcPr>
            <w:tcW w:w="600" w:type="dxa"/>
            <w:vAlign w:val="bottom"/>
            <w:tcBorders>
              <w:top w:val="single" w:sz="8" w:color="0000EE"/>
            </w:tcBorders>
            <w:gridSpan w:val="4"/>
          </w:tcPr>
          <w:p>
            <w:pPr>
              <w:spacing w:after="0"/>
              <w:rPr>
                <w:sz w:val="17"/>
                <w:szCs w:val="17"/>
                <w:color w:val="auto"/>
              </w:rPr>
            </w:pPr>
          </w:p>
        </w:tc>
        <w:tc>
          <w:tcPr>
            <w:tcW w:w="8500" w:type="dxa"/>
            <w:vAlign w:val="bottom"/>
            <w:gridSpan w:val="13"/>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10560" w:type="dxa"/>
            <w:vAlign w:val="bottom"/>
            <w:gridSpan w:val="23"/>
          </w:tcPr>
          <w:p>
            <w:pPr>
              <w:spacing w:after="0" w:line="196" w:lineRule="exact"/>
              <w:rPr>
                <w:sz w:val="20"/>
                <w:szCs w:val="20"/>
                <w:color w:val="auto"/>
              </w:rPr>
            </w:pPr>
            <w:r>
              <w:rPr>
                <w:rFonts w:ascii="Arial" w:cs="Arial" w:eastAsia="Arial" w:hAnsi="Arial"/>
                <w:sz w:val="18"/>
                <w:szCs w:val="18"/>
                <w:color w:val="0000EE"/>
              </w:rPr>
              <w:t>EXPERTS</w:t>
            </w: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040" w:type="dxa"/>
            <w:vAlign w:val="bottom"/>
            <w:gridSpan w:val="20"/>
          </w:tcPr>
          <w:p>
            <w:pPr>
              <w:spacing w:after="0" w:line="20" w:lineRule="exact"/>
              <w:rPr>
                <w:sz w:val="1"/>
                <w:szCs w:val="1"/>
                <w:color w:val="auto"/>
              </w:rPr>
            </w:pPr>
          </w:p>
        </w:tc>
        <w:tc>
          <w:tcPr>
            <w:tcW w:w="676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3"/>
          </w:tcPr>
          <w:p>
            <w:pPr>
              <w:spacing w:after="0" w:line="196" w:lineRule="exact"/>
              <w:rPr>
                <w:sz w:val="20"/>
                <w:szCs w:val="20"/>
                <w:color w:val="auto"/>
              </w:rPr>
            </w:pPr>
            <w:r>
              <w:rPr>
                <w:rFonts w:ascii="Arial" w:cs="Arial" w:eastAsia="Arial" w:hAnsi="Arial"/>
                <w:sz w:val="18"/>
                <w:szCs w:val="18"/>
                <w:color w:val="0000EE"/>
              </w:rPr>
              <w:t>WHERE YOU CAN FIND MORE INFORMATION</w:t>
            </w: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080"/>
          </w:cols>
          <w:pgMar w:left="320" w:top="459" w:right="4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This prospectus supplement and the accompanying prospectus are part of a registration statement that we filed with the SEC using a shelf registration process. Under the shelf registration process, we may offer, issue and sell any combination of the securities described in the accompanying prospectus. In the accompanying prospectus, we provide you with a general description of the securities we may offer from time to time under our shelf registration statement. In this prospectus supplement, we provide you with specific information about the notes that we are selling in this offering. Both this prospectus supplement and the accompanying prospectus include important information about us, our debt securities and other information you should know before investing in the notes. This prospectus supplement also adds, updates and changes information contained in the accompanying prospectus. To the extent that any statement that we make in this prospectus supplement is inconsistent with the statements made in the accompanying prospectus, the statements made in the accompanying prospectus are deemed modified or superseded by the statements made in this prospectus supplement. You should read both this prospectus supplement and the accompanying prospectus as well as additional information described under “Where You Can Find More Information” on page S-32 of this prospectus supplement before investing in the notes.</w:t>
      </w:r>
    </w:p>
    <w:p>
      <w:pPr>
        <w:spacing w:after="0" w:line="164"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b w:val="1"/>
          <w:bCs w:val="1"/>
          <w:color w:val="auto"/>
        </w:rPr>
        <w:t>You should rely only on the information incorporated by reference or provided in this prospectus supplement and the accompanying prospectus or any free writing prospectus prepared by or on behalf of us. Neither we nor the underwriters have authorized anyone to provide you with additional or different information. If anyone provided you with additional or different information, you should not rely on it. Neither we nor the underwriters are making an offer to sell these securities in any jurisdiction where the offer or sale is not permitted. You should assume that the information contained in this prospectus supplement, the accompanying prospectus and the documents incorporated by reference is accurate only as of their respective dates. Our business, financial condition, results of operations and prospects may have changed since those dates.</w:t>
      </w:r>
    </w:p>
    <w:p>
      <w:pPr>
        <w:spacing w:after="0" w:line="200" w:lineRule="exact"/>
        <w:rPr>
          <w:sz w:val="20"/>
          <w:szCs w:val="20"/>
          <w:color w:val="auto"/>
        </w:rPr>
      </w:pP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NOTICE TO BENEFIT PLAN INVESTORS</w:t>
      </w:r>
    </w:p>
    <w:p>
      <w:pPr>
        <w:spacing w:after="0" w:line="229"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If an investor is a benefit plan investor as defined in Section 3(42) of the Employee Retirement Income Security Act of 1974, as amended (“ERISA”), the benefit plan investor and the person making the decision on behalf of the benefit plan investor (the “Plan Fiduciary”), will be deemed to have represented and warranted that as long as the investor holds any notes, including any interest in a note, its acquisition, holding and disposition of the notes (or any interest) will not constitute or result in a non-exempt prohibited transaction under Section 406 of ERISA or Section 4975 of the Internal Revenue Code of 1986, as amended (the “Code”). Neither we nor the underwriters or any of our or their affiliates is hereby undertaking to provide impartial investment advice, or to give advice in a fiduciary capacity to a benefit plan investor, in connection with any investment in the notes.</w:t>
      </w: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This prospectus supplement, the accompanying prospectus and any information incorporated by reference herein or therein contain forward-looking statements relating to future events or our future results. These statements are forward-looking statements within the meaning of Section 27A of the Securities Act of 1933, as amended (the “Securities Act”), and Section 21E of the Securities Exchange Act of 1934, as amended (the “Exchange Act”), and are intended to come within the safe harbor protection provided by those sections. Statements that are not historical facts, including statements about our beliefs, opinions or expectations and statements that assume or are dependent upon future events, are forward-looking statements and often contain words such as “expect,” “anticipate,” “intend,” “plan,” “believe,” “seek,” “see,” “will,” “would,” “may,” “could,” “should,” “goals” or “target.” Such statements are based on management’s expectations as of the date of this prospectus supplement and involve many risks and uncertainties that could cause our actual results to differ</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100"/>
          </w:cols>
          <w:pgMar w:left="320" w:top="459" w:right="4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materially from those expressed or implied in our forward-looking statements. Such risks and uncertainties are discussed more fully under the caption “Risk Factors” included in our Annual Report on Form 10-K for the year ended December 31, 2022 and in our Quarterly Reports on Form 10-Q for the quarters ended March 31, 2023, June 30, 2023 and September 30, 2023 and include, but are not limited to the following:</w:t>
      </w:r>
    </w:p>
    <w:p>
      <w:pPr>
        <w:spacing w:after="0" w:line="71" w:lineRule="exact"/>
        <w:rPr>
          <w:sz w:val="20"/>
          <w:szCs w:val="20"/>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continuing impacts of the COVID-19 pandemic and related risks;</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economic conditions, including the potential impact of persistent inflation and increasing interest rates on Navient and its clients and customers and on the creditworthiness of third parties;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defaults on education loans held by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cost and availability of funding in the capital markets;</w:t>
      </w:r>
    </w:p>
    <w:p>
      <w:pPr>
        <w:spacing w:after="0" w:line="130" w:lineRule="exact"/>
        <w:rPr>
          <w:rFonts w:ascii="Arial" w:cs="Arial" w:eastAsia="Arial" w:hAnsi="Arial"/>
          <w:sz w:val="18"/>
          <w:szCs w:val="18"/>
          <w:color w:val="auto"/>
        </w:rPr>
      </w:pPr>
    </w:p>
    <w:p>
      <w:pPr>
        <w:ind w:left="1080" w:right="60" w:hanging="424"/>
        <w:spacing w:after="0" w:line="308" w:lineRule="auto"/>
        <w:tabs>
          <w:tab w:leader="none" w:pos="1080" w:val="left"/>
        </w:tabs>
        <w:numPr>
          <w:ilvl w:val="0"/>
          <w:numId w:val="2"/>
        </w:numPr>
        <w:rPr>
          <w:rFonts w:ascii="Arial" w:cs="Arial" w:eastAsia="Arial" w:hAnsi="Arial"/>
          <w:sz w:val="17"/>
          <w:szCs w:val="17"/>
          <w:color w:val="auto"/>
        </w:rPr>
      </w:pPr>
      <w:r>
        <w:rPr>
          <w:rFonts w:ascii="Arial" w:cs="Arial" w:eastAsia="Arial" w:hAnsi="Arial"/>
          <w:sz w:val="17"/>
          <w:szCs w:val="17"/>
          <w:color w:val="auto"/>
        </w:rPr>
        <w:t>changes in the general interest rate environment, including the availability of any relevant money-market index rate, including LIBOR or SOFR, or the relationship between the relevant money-market index rate and the rate at which our assets are priced;</w:t>
      </w:r>
    </w:p>
    <w:p>
      <w:pPr>
        <w:spacing w:after="0" w:line="51" w:lineRule="exact"/>
        <w:rPr>
          <w:rFonts w:ascii="Arial" w:cs="Arial" w:eastAsia="Arial" w:hAnsi="Arial"/>
          <w:sz w:val="17"/>
          <w:szCs w:val="17"/>
          <w:color w:val="auto"/>
        </w:rPr>
      </w:pPr>
    </w:p>
    <w:p>
      <w:pPr>
        <w:ind w:left="1080" w:right="60" w:hanging="424"/>
        <w:spacing w:after="0" w:line="301"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unanticipated repayment trends on education loans including prepayments or deferrals resulting from new interpretations of current laws, rules or regulations or future laws, executive orders or other policy initiatives that operate to encourage or require consolidation, abolish existing or create additional income-based repayment or debt forgiveness programs or establish other policies and programs which may increase the prepayment rates on education loans and accelerate repayment of the bonds in our securitization trusts;</w:t>
      </w:r>
    </w:p>
    <w:p>
      <w:pPr>
        <w:spacing w:after="0" w:line="62" w:lineRule="exact"/>
        <w:rPr>
          <w:rFonts w:ascii="Arial" w:cs="Arial" w:eastAsia="Arial" w:hAnsi="Arial"/>
          <w:sz w:val="16"/>
          <w:szCs w:val="16"/>
          <w:color w:val="auto"/>
        </w:rPr>
      </w:pPr>
    </w:p>
    <w:p>
      <w:pPr>
        <w:jc w:val="both"/>
        <w:ind w:left="1080" w:hanging="424"/>
        <w:spacing w:after="0" w:line="263"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unhedged Floor Income, the additional spread earned on certain loans under the Federal Family Education Loan Program between the stated fixed rate of interest and the underlying variable debt interest rate expense, is dependent on the future interest rate environment and therefore is variable;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reduction in our credit ratings;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adverse market conditions or an inability to effectively manage our liquidity risk or access liquidity could negatively impact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interest rate characteristics of our assets do not always match those of our funding arrangements;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use of derivatives exposes us to credit and market risk;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continually and effectively align our cost structure with our business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failure or breach of our operating systems, infrastructure or information technology systems;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7"/>
          <w:szCs w:val="17"/>
          <w:color w:val="auto"/>
        </w:rPr>
      </w:pPr>
      <w:r>
        <w:rPr>
          <w:rFonts w:ascii="Arial" w:cs="Arial" w:eastAsia="Arial" w:hAnsi="Arial"/>
          <w:sz w:val="17"/>
          <w:szCs w:val="17"/>
          <w:color w:val="auto"/>
        </w:rPr>
        <w:t>failure by any third party providing us material services or products or a breach or violation of law by one of these third parties;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
        </w:numPr>
        <w:rPr>
          <w:rFonts w:ascii="Arial" w:cs="Arial" w:eastAsia="Arial" w:hAnsi="Arial"/>
          <w:sz w:val="17"/>
          <w:szCs w:val="17"/>
          <w:color w:val="auto"/>
        </w:rPr>
      </w:pPr>
      <w:r>
        <w:rPr>
          <w:rFonts w:ascii="Arial" w:cs="Arial" w:eastAsia="Arial" w:hAnsi="Arial"/>
          <w:sz w:val="17"/>
          <w:szCs w:val="17"/>
          <w:color w:val="auto"/>
        </w:rPr>
        <w:t>changes to applicable laws, rules, regulations and government policies and expanded regulatory and governmental oversight;</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work with government clients exposes us to additional risks inherent in the government contracting environment;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shareholder activism;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shareholders’ percentage ownership in Navient may be diluted in the future;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reputational risk and social factors;</w:t>
      </w:r>
    </w:p>
    <w:p>
      <w:pPr>
        <w:spacing w:after="0" w:line="130"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obligations owed to parties under various transaction agreements that were executed as part of the spin-off of Navient from SLM Corporation;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acquisitions or strategic investments that we pursue.</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020"/>
          </w:cols>
          <w:pgMar w:left="320" w:top="459" w:right="5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preparation of our consolidated financial statements also requires management to make certain estimates and assumptions including estimates and assumptions about future events. These estimates or assumptions may prove to be incorrect and actual results could differ materially. All forward-looking statements contained in this prospectus supplement are qualified by these cautionary statements and are made only as of the date of this document. We do not undertake any obligation to update or revise these forward-looking statements except as required by law.</w:t>
      </w:r>
    </w:p>
    <w:p>
      <w:pPr>
        <w:spacing w:after="0" w:line="157"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Given these risks and uncertainties, readers are cautioned not to place undue reliance on such forward-looking statements. For more information regarding these risks and uncertainties as well as certain additional risks that we face, investors should review the risks described in this prospectus supplement and the accompanying prospectus and those incorporated by reference into this prospectus supplement and the accompanying prospectus, including those risks in our Annual Report on Form 10-K for the year ended December 31, 2022, our Quarterly Reports for the quarters ended March 31, 2023, June 30, 2023 and September 30, 2023 and subsequent reports and registration statements filed from time to time with the SEC.</w:t>
      </w:r>
    </w:p>
    <w:p>
      <w:pPr>
        <w:spacing w:after="0" w:line="16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In reviewing any agreements incorporated by reference in this prospectus supplement or the accompanying prospectus, please remember they are included to provide you with information regarding the terms of such agreement and are not intended to provide any other factual or disclosure information about us. The agreements may contain representations and warranties by us, which should not in all instances be treated as categorical statements of fact, but rather as a way of allocating the risk to one of the parties should those statements prove to be inaccurate. The representations and warranties were made only as of the date of the relevant agreement or such other date or dates as may be specified in such agreement and are subject to more recent developments. Accordingly, these representations and warranties alone may not describe the actual state of affairs as of the date they were made or at any other time.</w:t>
      </w:r>
    </w:p>
    <w:p>
      <w:pPr>
        <w:spacing w:after="0" w:line="200" w:lineRule="exact"/>
        <w:rPr>
          <w:sz w:val="20"/>
          <w:szCs w:val="20"/>
          <w:color w:val="auto"/>
        </w:rPr>
      </w:pPr>
    </w:p>
    <w:p>
      <w:pPr>
        <w:spacing w:after="0" w:line="29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080"/>
          </w:cols>
          <w:pgMar w:left="320" w:top="459" w:right="4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902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60902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00" w:right="20" w:firstLine="426"/>
        <w:spacing w:after="0" w:line="257" w:lineRule="auto"/>
        <w:rPr>
          <w:sz w:val="20"/>
          <w:szCs w:val="20"/>
          <w:color w:val="auto"/>
        </w:rPr>
      </w:pPr>
      <w:r>
        <w:rPr>
          <w:rFonts w:ascii="Arial" w:cs="Arial" w:eastAsia="Arial" w:hAnsi="Arial"/>
          <w:sz w:val="18"/>
          <w:szCs w:val="18"/>
          <w:i w:val="1"/>
          <w:iCs w:val="1"/>
          <w:color w:val="auto"/>
        </w:rPr>
        <w:t>This summary highlights selected information more fully described elsewhere in this prospectus supplement and the accompanying prospectus. This summary does not contain all of the information you should consider before investing in the notes. You should read this prospectus supplement, the accompanying prospectus, any free writing prospectus and the documents incorporated by reference herein and therein carefully, especially the risks of investing in the notes discussed in “Risk Factors” below and in the incorporated documents. References herein to a fiscal year mean the fiscal year ended December 31, 2022.</w:t>
      </w:r>
    </w:p>
    <w:p>
      <w:pPr>
        <w:spacing w:after="0" w:line="296" w:lineRule="exact"/>
        <w:rPr>
          <w:sz w:val="20"/>
          <w:szCs w:val="20"/>
          <w:color w:val="auto"/>
        </w:rPr>
      </w:pPr>
    </w:p>
    <w:p>
      <w:pPr>
        <w:ind w:left="300" w:right="620" w:firstLine="426"/>
        <w:spacing w:after="0" w:line="308" w:lineRule="auto"/>
        <w:rPr>
          <w:sz w:val="20"/>
          <w:szCs w:val="20"/>
          <w:color w:val="auto"/>
        </w:rPr>
      </w:pPr>
      <w:r>
        <w:rPr>
          <w:rFonts w:ascii="Arial" w:cs="Arial" w:eastAsia="Arial" w:hAnsi="Arial"/>
          <w:sz w:val="17"/>
          <w:szCs w:val="17"/>
          <w:i w:val="1"/>
          <w:iCs w:val="1"/>
          <w:color w:val="auto"/>
        </w:rPr>
        <w:t>Throughout the remainder of this prospectus supplement, except as otherwise indicated, references to “we,” “us,” “our,” “Navient,” “Navient Corporation,” and the “Company” refer collectively to Navient Corporation and its consolidated subsidiaries.</w:t>
      </w:r>
    </w:p>
    <w:p>
      <w:pPr>
        <w:spacing w:after="0" w:line="2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left="300" w:firstLine="426"/>
        <w:spacing w:after="0" w:line="342" w:lineRule="auto"/>
        <w:rPr>
          <w:sz w:val="20"/>
          <w:szCs w:val="20"/>
          <w:color w:val="auto"/>
        </w:rPr>
      </w:pPr>
      <w:r>
        <w:rPr>
          <w:rFonts w:ascii="Arial" w:cs="Arial" w:eastAsia="Arial" w:hAnsi="Arial"/>
          <w:sz w:val="16"/>
          <w:szCs w:val="16"/>
          <w:color w:val="auto"/>
        </w:rPr>
        <w:t>We provide technology-enabled education finance and business processing solutions that simplify complex programs and help millions of people achieve success. Our customer-focused, data-driven services deliver exceptional results for clients in education, health care and government.</w:t>
      </w:r>
    </w:p>
    <w:p>
      <w:pPr>
        <w:spacing w:after="0" w:line="12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With a focus on data-driven insights, service, compliance and innovative support, our business consists of:</w:t>
      </w:r>
    </w:p>
    <w:p>
      <w:pPr>
        <w:spacing w:after="0" w:line="131" w:lineRule="exact"/>
        <w:rPr>
          <w:sz w:val="20"/>
          <w:szCs w:val="20"/>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Federal Education Loans</w:t>
      </w:r>
    </w:p>
    <w:p>
      <w:pPr>
        <w:spacing w:after="0" w:line="117" w:lineRule="exact"/>
        <w:rPr>
          <w:sz w:val="20"/>
          <w:szCs w:val="20"/>
          <w:color w:val="auto"/>
        </w:rPr>
      </w:pPr>
    </w:p>
    <w:p>
      <w:pPr>
        <w:ind w:left="1260"/>
        <w:spacing w:after="0" w:line="259" w:lineRule="auto"/>
        <w:rPr>
          <w:sz w:val="20"/>
          <w:szCs w:val="20"/>
          <w:color w:val="auto"/>
        </w:rPr>
      </w:pPr>
      <w:r>
        <w:rPr>
          <w:rFonts w:ascii="Arial" w:cs="Arial" w:eastAsia="Arial" w:hAnsi="Arial"/>
          <w:sz w:val="18"/>
          <w:szCs w:val="18"/>
          <w:color w:val="auto"/>
        </w:rPr>
        <w:t>We own a portfolio of $39.6 billion of federally guaranteed Federal Family Education Loan Program (FFELP) Loans. As a servicer on our own portfolio and for third parties, we deploy data-driven approaches to support the success of our customers. Our flexible and scalable infrastructure manages large volumes of complex transactions, simplifying the customer experience and continually improving efficiency.</w:t>
      </w:r>
    </w:p>
    <w:p>
      <w:pPr>
        <w:spacing w:after="0" w:line="92" w:lineRule="exact"/>
        <w:rPr>
          <w:sz w:val="20"/>
          <w:szCs w:val="20"/>
          <w:color w:val="auto"/>
        </w:rPr>
      </w:pPr>
    </w:p>
    <w:p>
      <w:pPr>
        <w:ind w:left="1240" w:hanging="415"/>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Consumer Lending</w:t>
      </w:r>
    </w:p>
    <w:p>
      <w:pPr>
        <w:spacing w:after="0" w:line="117" w:lineRule="exact"/>
        <w:rPr>
          <w:sz w:val="20"/>
          <w:szCs w:val="20"/>
          <w:color w:val="auto"/>
        </w:rPr>
      </w:pPr>
    </w:p>
    <w:p>
      <w:pPr>
        <w:ind w:left="1260" w:right="40"/>
        <w:spacing w:after="0" w:line="263" w:lineRule="auto"/>
        <w:rPr>
          <w:sz w:val="20"/>
          <w:szCs w:val="20"/>
          <w:color w:val="auto"/>
        </w:rPr>
      </w:pPr>
      <w:r>
        <w:rPr>
          <w:rFonts w:ascii="Arial" w:cs="Arial" w:eastAsia="Arial" w:hAnsi="Arial"/>
          <w:sz w:val="18"/>
          <w:szCs w:val="18"/>
          <w:color w:val="auto"/>
        </w:rPr>
        <w:t>We help students and families succeed through the college journey with innovative planning tools, student loans and refinancing products. Our $17.3 billion private education loan portfolio demonstrates high customer success rates. In the third quarter of 2023, we originated $382 million of private education loans.</w:t>
      </w:r>
    </w:p>
    <w:p>
      <w:pPr>
        <w:spacing w:after="0" w:line="89" w:lineRule="exact"/>
        <w:rPr>
          <w:sz w:val="20"/>
          <w:szCs w:val="20"/>
          <w:color w:val="auto"/>
        </w:rPr>
      </w:pPr>
    </w:p>
    <w:p>
      <w:pPr>
        <w:ind w:left="1240" w:hanging="415"/>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Business Processing</w:t>
      </w:r>
    </w:p>
    <w:p>
      <w:pPr>
        <w:spacing w:after="0" w:line="117" w:lineRule="exact"/>
        <w:rPr>
          <w:sz w:val="20"/>
          <w:szCs w:val="20"/>
          <w:color w:val="auto"/>
        </w:rPr>
      </w:pPr>
    </w:p>
    <w:p>
      <w:pPr>
        <w:ind w:left="1260" w:right="100"/>
        <w:spacing w:after="0" w:line="311" w:lineRule="auto"/>
        <w:rPr>
          <w:sz w:val="20"/>
          <w:szCs w:val="20"/>
          <w:color w:val="auto"/>
        </w:rPr>
      </w:pPr>
      <w:r>
        <w:rPr>
          <w:rFonts w:ascii="Arial" w:cs="Arial" w:eastAsia="Arial" w:hAnsi="Arial"/>
          <w:sz w:val="16"/>
          <w:szCs w:val="16"/>
          <w:color w:val="auto"/>
        </w:rPr>
        <w:t>We leverage our loan servicing expertise to provide business processing solutions for approximately 500 public sector and healthcare organizations, and their tens of millions of clients, patients, and constituents. Our suite of omnichannel customer experience, digital processing and revenue cycle solutions enables our clients to deliver better results for the people they serve.</w:t>
      </w:r>
    </w:p>
    <w:p>
      <w:pPr>
        <w:spacing w:after="0" w:line="2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Company Information</w:t>
      </w:r>
    </w:p>
    <w:p>
      <w:pPr>
        <w:spacing w:after="0" w:line="121" w:lineRule="exact"/>
        <w:rPr>
          <w:sz w:val="20"/>
          <w:szCs w:val="20"/>
          <w:color w:val="auto"/>
        </w:rPr>
      </w:pPr>
    </w:p>
    <w:p>
      <w:pPr>
        <w:ind w:left="300" w:right="140" w:firstLine="426"/>
        <w:spacing w:after="0" w:line="263" w:lineRule="auto"/>
        <w:rPr>
          <w:sz w:val="20"/>
          <w:szCs w:val="20"/>
          <w:color w:val="auto"/>
        </w:rPr>
      </w:pPr>
      <w:r>
        <w:rPr>
          <w:rFonts w:ascii="Arial" w:cs="Arial" w:eastAsia="Arial" w:hAnsi="Arial"/>
          <w:sz w:val="18"/>
          <w:szCs w:val="18"/>
          <w:color w:val="auto"/>
        </w:rPr>
        <w:t xml:space="preserve">Our principal executive offices are located at 13865 Sunrise Valley Drive, Herndon, Virginia 20171. Our telephone number is (703) 810-3000. Our website address is </w:t>
      </w:r>
      <w:r>
        <w:rPr>
          <w:rFonts w:ascii="Arial" w:cs="Arial" w:eastAsia="Arial" w:hAnsi="Arial"/>
          <w:sz w:val="18"/>
          <w:szCs w:val="18"/>
          <w:u w:val="single" w:color="auto"/>
          <w:color w:val="auto"/>
        </w:rPr>
        <w:t>www.navient.com</w:t>
      </w:r>
      <w:r>
        <w:rPr>
          <w:rFonts w:ascii="Arial" w:cs="Arial" w:eastAsia="Arial" w:hAnsi="Arial"/>
          <w:sz w:val="18"/>
          <w:szCs w:val="18"/>
          <w:color w:val="auto"/>
        </w:rPr>
        <w:t>. Information on, or accessible through, our website does not constitute part of this prospectus supplement or the accompanying prospectus.</w:t>
      </w:r>
    </w:p>
    <w:p>
      <w:pPr>
        <w:spacing w:after="0" w:line="184" w:lineRule="exact"/>
        <w:rPr>
          <w:sz w:val="20"/>
          <w:szCs w:val="20"/>
          <w:color w:val="auto"/>
        </w:rPr>
      </w:pPr>
    </w:p>
    <w:p>
      <w:pPr>
        <w:ind w:left="300" w:firstLine="426"/>
        <w:spacing w:after="0" w:line="308" w:lineRule="auto"/>
        <w:rPr>
          <w:sz w:val="20"/>
          <w:szCs w:val="20"/>
          <w:color w:val="auto"/>
        </w:rPr>
      </w:pPr>
      <w:r>
        <w:rPr>
          <w:rFonts w:ascii="Arial" w:cs="Arial" w:eastAsia="Arial" w:hAnsi="Arial"/>
          <w:sz w:val="17"/>
          <w:szCs w:val="17"/>
          <w:color w:val="auto"/>
        </w:rPr>
        <w:t>For a further discussion of our business, we urge you to read the documents incorporated by reference herein, including our Annual Report on Form 10-K for the year ended December 31, 2022. See “Where You Can Find More Information” in this prospectus supplement.</w:t>
      </w:r>
    </w:p>
    <w:p>
      <w:pPr>
        <w:spacing w:after="0" w:line="25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40"/>
          </w:cols>
          <w:pgMar w:left="320" w:top="459" w:right="6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3500" w:type="dxa"/>
            <w:vAlign w:val="bottom"/>
            <w:tcBorders>
              <w:top w:val="single" w:sz="8" w:color="auto"/>
              <w:left w:val="single" w:sz="8" w:color="auto"/>
            </w:tcBorders>
          </w:tcPr>
          <w:p>
            <w:pPr>
              <w:spacing w:after="0"/>
              <w:rPr>
                <w:sz w:val="24"/>
                <w:szCs w:val="24"/>
                <w:color w:val="auto"/>
              </w:rPr>
            </w:pPr>
          </w:p>
        </w:tc>
        <w:tc>
          <w:tcPr>
            <w:tcW w:w="7520" w:type="dxa"/>
            <w:vAlign w:val="bottom"/>
            <w:tcBorders>
              <w:top w:val="single" w:sz="8" w:color="auto"/>
              <w:right w:val="single" w:sz="8" w:color="auto"/>
            </w:tcBorders>
          </w:tcPr>
          <w:p>
            <w:pPr>
              <w:ind w:left="1320"/>
              <w:spacing w:after="0"/>
              <w:rPr>
                <w:sz w:val="20"/>
                <w:szCs w:val="20"/>
                <w:color w:val="auto"/>
              </w:rPr>
            </w:pPr>
            <w:r>
              <w:rPr>
                <w:rFonts w:ascii="Arial" w:cs="Arial" w:eastAsia="Arial" w:hAnsi="Arial"/>
                <w:sz w:val="18"/>
                <w:szCs w:val="18"/>
                <w:b w:val="1"/>
                <w:bCs w:val="1"/>
                <w:color w:val="auto"/>
              </w:rPr>
              <w:t>THE OFFERING</w:t>
            </w:r>
          </w:p>
        </w:tc>
      </w:tr>
      <w:tr>
        <w:trPr>
          <w:trHeight w:val="459"/>
        </w:trPr>
        <w:tc>
          <w:tcPr>
            <w:tcW w:w="35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Issuer</w:t>
            </w: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Navient Corporation</w:t>
            </w:r>
          </w:p>
        </w:tc>
      </w:tr>
      <w:tr>
        <w:trPr>
          <w:trHeight w:val="351"/>
        </w:trPr>
        <w:tc>
          <w:tcPr>
            <w:tcW w:w="35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Securities Offered</w:t>
            </w: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$     million aggregate principal amount of % Senior Notes due 2031.</w:t>
            </w:r>
          </w:p>
        </w:tc>
      </w:tr>
      <w:tr>
        <w:trPr>
          <w:trHeight w:val="337"/>
        </w:trPr>
        <w:tc>
          <w:tcPr>
            <w:tcW w:w="3500" w:type="dxa"/>
            <w:vAlign w:val="bottom"/>
            <w:tcBorders>
              <w:left w:val="single" w:sz="8" w:color="auto"/>
            </w:tcBorders>
          </w:tcPr>
          <w:p>
            <w:pPr>
              <w:spacing w:after="0"/>
              <w:rPr>
                <w:sz w:val="24"/>
                <w:szCs w:val="24"/>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3"/>
              </w:rPr>
              <w:t>We will issue the notes under a base indenture, dated as of July 18, 2014, between us and</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3"/>
              </w:rPr>
              <w:t>The Bank of New York Mellon, as trustee, as supplemented by a supplemental indenture to</w:t>
            </w:r>
          </w:p>
        </w:tc>
      </w:tr>
      <w:tr>
        <w:trPr>
          <w:trHeight w:val="230"/>
        </w:trPr>
        <w:tc>
          <w:tcPr>
            <w:tcW w:w="3500" w:type="dxa"/>
            <w:vAlign w:val="bottom"/>
            <w:tcBorders>
              <w:left w:val="single" w:sz="8" w:color="auto"/>
            </w:tcBorders>
          </w:tcPr>
          <w:p>
            <w:pPr>
              <w:spacing w:after="0"/>
              <w:rPr>
                <w:sz w:val="20"/>
                <w:szCs w:val="20"/>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be entered into between us and the trustee.</w:t>
            </w:r>
          </w:p>
        </w:tc>
      </w:tr>
      <w:tr>
        <w:trPr>
          <w:trHeight w:val="338"/>
        </w:trPr>
        <w:tc>
          <w:tcPr>
            <w:tcW w:w="35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Maturity Date</w:t>
            </w: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The notes will mature on    , 2031.</w:t>
            </w:r>
          </w:p>
        </w:tc>
      </w:tr>
      <w:tr>
        <w:trPr>
          <w:trHeight w:val="351"/>
        </w:trPr>
        <w:tc>
          <w:tcPr>
            <w:tcW w:w="35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Interest Rate</w:t>
            </w: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 % per year.</w:t>
            </w:r>
          </w:p>
        </w:tc>
      </w:tr>
      <w:tr>
        <w:trPr>
          <w:trHeight w:val="351"/>
        </w:trPr>
        <w:tc>
          <w:tcPr>
            <w:tcW w:w="35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Interest Payment Dates</w:t>
            </w: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    and    of each year, commencing on    , 20 .</w:t>
            </w:r>
          </w:p>
        </w:tc>
      </w:tr>
      <w:tr>
        <w:trPr>
          <w:trHeight w:val="337"/>
        </w:trPr>
        <w:tc>
          <w:tcPr>
            <w:tcW w:w="35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Optional Redemption</w:t>
            </w: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The Company may, at its option, redeem, at any time and from time to time prior</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8"/>
              </w:rPr>
              <w:t>to     2027, some or all of the notes at 100% of the principal amount thereof plus</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accrued and unpaid interest, if any, to, but excluding, the redemption date plus the</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applicable “make-whole premium” described under “Description of Notes—Optional</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Redemption.”</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6"/>
              </w:rPr>
              <w:t>On or after     2027, the Company may, at its option, redeem at any time and from</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7"/>
              </w:rPr>
              <w:t>time to time, some or all of the notes at the applicable redemption prices set forth under</w:t>
            </w:r>
          </w:p>
        </w:tc>
      </w:tr>
      <w:tr>
        <w:trPr>
          <w:trHeight w:val="230"/>
        </w:trPr>
        <w:tc>
          <w:tcPr>
            <w:tcW w:w="3500" w:type="dxa"/>
            <w:vAlign w:val="bottom"/>
            <w:tcBorders>
              <w:left w:val="single" w:sz="8" w:color="auto"/>
            </w:tcBorders>
          </w:tcPr>
          <w:p>
            <w:pPr>
              <w:spacing w:after="0"/>
              <w:rPr>
                <w:sz w:val="20"/>
                <w:szCs w:val="20"/>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“Description of Notes—Optional Redemption.”</w:t>
            </w:r>
          </w:p>
        </w:tc>
      </w:tr>
      <w:tr>
        <w:trPr>
          <w:trHeight w:val="323"/>
        </w:trPr>
        <w:tc>
          <w:tcPr>
            <w:tcW w:w="35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Change of Control Triggering Event</w:t>
            </w: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3"/>
              </w:rPr>
              <w:t>Upon the occurrence of both (1) a change of control of us and (2) a downgrade of the notes</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4"/>
              </w:rPr>
              <w:t>by at least one modifier by any two of the three Rating Agencies (as defined herein) within</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a specified period, unless we have exercised our optional redemption right, if any, to</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4"/>
              </w:rPr>
              <w:t>redeem the notes in full, we will offer to repurchase any and all of each holder’s notes at a</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6"/>
              </w:rPr>
              <w:t>price in cash equal to 101% of the aggregate principal amount of the notes repurchased,</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plus accrued and unpaid interest, if any, thereon, to, but not including, the date of</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7"/>
              </w:rPr>
              <w:t>repurchase. See “Description of Notes—Repurchase Upon a Change of Control” in this</w:t>
            </w:r>
          </w:p>
        </w:tc>
      </w:tr>
      <w:tr>
        <w:trPr>
          <w:trHeight w:val="230"/>
        </w:trPr>
        <w:tc>
          <w:tcPr>
            <w:tcW w:w="3500" w:type="dxa"/>
            <w:vAlign w:val="bottom"/>
            <w:tcBorders>
              <w:left w:val="single" w:sz="8" w:color="auto"/>
            </w:tcBorders>
          </w:tcPr>
          <w:p>
            <w:pPr>
              <w:spacing w:after="0"/>
              <w:rPr>
                <w:sz w:val="20"/>
                <w:szCs w:val="20"/>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prospectus supplement.</w:t>
            </w:r>
          </w:p>
        </w:tc>
      </w:tr>
      <w:tr>
        <w:trPr>
          <w:trHeight w:val="323"/>
        </w:trPr>
        <w:tc>
          <w:tcPr>
            <w:tcW w:w="35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Ranking</w:t>
            </w: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7"/>
              </w:rPr>
              <w:t>The notes will be our senior unsecured debt and will rank equally with all of our existing</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4"/>
              </w:rPr>
              <w:t>and future unsecured and unsubordinated debt. The notes will be effectively subordinated</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5"/>
              </w:rPr>
              <w:t>to all of our existing and future secured debt to the extent of the assets securing that debt</w:t>
            </w:r>
          </w:p>
        </w:tc>
      </w:tr>
      <w:tr>
        <w:trPr>
          <w:trHeight w:val="230"/>
        </w:trPr>
        <w:tc>
          <w:tcPr>
            <w:tcW w:w="3500" w:type="dxa"/>
            <w:vAlign w:val="bottom"/>
            <w:tcBorders>
              <w:left w:val="single" w:sz="8" w:color="auto"/>
            </w:tcBorders>
          </w:tcPr>
          <w:p>
            <w:pPr>
              <w:spacing w:after="0"/>
              <w:rPr>
                <w:sz w:val="20"/>
                <w:szCs w:val="20"/>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and to all the debt and other liabilities of our subsidiaries.</w:t>
            </w:r>
          </w:p>
        </w:tc>
      </w:tr>
      <w:tr>
        <w:trPr>
          <w:trHeight w:val="323"/>
        </w:trPr>
        <w:tc>
          <w:tcPr>
            <w:tcW w:w="3500" w:type="dxa"/>
            <w:vAlign w:val="bottom"/>
            <w:tcBorders>
              <w:left w:val="single" w:sz="8" w:color="auto"/>
            </w:tcBorders>
          </w:tcPr>
          <w:p>
            <w:pPr>
              <w:spacing w:after="0"/>
              <w:rPr>
                <w:sz w:val="24"/>
                <w:szCs w:val="24"/>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As of September 30, 2023, (i) we had approximately $6.2 billion aggregate principal</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5"/>
              </w:rPr>
              <w:t>amount of unsecured senior indebtedness outstanding with which the notes will rank pari</w:t>
            </w:r>
          </w:p>
        </w:tc>
      </w:tr>
      <w:tr>
        <w:trPr>
          <w:trHeight w:val="230"/>
        </w:trPr>
        <w:tc>
          <w:tcPr>
            <w:tcW w:w="3500" w:type="dxa"/>
            <w:vAlign w:val="bottom"/>
            <w:tcBorders>
              <w:left w:val="single" w:sz="8" w:color="auto"/>
            </w:tcBorders>
          </w:tcPr>
          <w:p>
            <w:pPr>
              <w:spacing w:after="0"/>
              <w:rPr>
                <w:sz w:val="20"/>
                <w:szCs w:val="20"/>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passu and (ii) our subsidiaries had no unsecured senior indebtedness outstanding.</w:t>
            </w:r>
          </w:p>
        </w:tc>
      </w:tr>
      <w:tr>
        <w:trPr>
          <w:trHeight w:val="323"/>
        </w:trPr>
        <w:tc>
          <w:tcPr>
            <w:tcW w:w="35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Further Issues</w:t>
            </w: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4"/>
              </w:rPr>
              <w:t>At any time and from time to time, without notice to or consent of the holders, we may also</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8"/>
              </w:rPr>
              <w:t>issue additional debt securities of the same tenor, coupon and other terms of the notes</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6"/>
              </w:rPr>
              <w:t>(except for the issue date and public offering price), so that such debt securities and the</w:t>
            </w:r>
          </w:p>
        </w:tc>
      </w:tr>
      <w:tr>
        <w:trPr>
          <w:trHeight w:val="230"/>
        </w:trPr>
        <w:tc>
          <w:tcPr>
            <w:tcW w:w="3500" w:type="dxa"/>
            <w:vAlign w:val="bottom"/>
            <w:tcBorders>
              <w:left w:val="single" w:sz="8" w:color="auto"/>
            </w:tcBorders>
          </w:tcPr>
          <w:p>
            <w:pPr>
              <w:spacing w:after="0"/>
              <w:rPr>
                <w:sz w:val="20"/>
                <w:szCs w:val="20"/>
                <w:color w:val="auto"/>
              </w:rPr>
            </w:pPr>
          </w:p>
        </w:tc>
        <w:tc>
          <w:tcPr>
            <w:tcW w:w="752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notes offered hereby together form a single series.</w:t>
            </w:r>
          </w:p>
        </w:tc>
      </w:tr>
      <w:tr>
        <w:trPr>
          <w:trHeight w:val="159"/>
        </w:trPr>
        <w:tc>
          <w:tcPr>
            <w:tcW w:w="3500" w:type="dxa"/>
            <w:vAlign w:val="bottom"/>
            <w:tcBorders>
              <w:left w:val="single" w:sz="8" w:color="auto"/>
              <w:bottom w:val="single" w:sz="8" w:color="auto"/>
            </w:tcBorders>
          </w:tcPr>
          <w:p>
            <w:pPr>
              <w:spacing w:after="0"/>
              <w:rPr>
                <w:sz w:val="13"/>
                <w:szCs w:val="13"/>
                <w:color w:val="auto"/>
              </w:rPr>
            </w:pPr>
          </w:p>
        </w:tc>
        <w:tc>
          <w:tcPr>
            <w:tcW w:w="7520" w:type="dxa"/>
            <w:vAlign w:val="bottom"/>
            <w:tcBorders>
              <w:bottom w:val="single" w:sz="8" w:color="auto"/>
              <w:right w:val="single" w:sz="8" w:color="auto"/>
            </w:tcBorders>
          </w:tcPr>
          <w:p>
            <w:pPr>
              <w:spacing w:after="0"/>
              <w:rPr>
                <w:sz w:val="13"/>
                <w:szCs w:val="13"/>
                <w:color w:val="auto"/>
              </w:rPr>
            </w:pPr>
          </w:p>
        </w:tc>
      </w:tr>
      <w:tr>
        <w:trPr>
          <w:trHeight w:val="361"/>
        </w:trPr>
        <w:tc>
          <w:tcPr>
            <w:tcW w:w="3500" w:type="dxa"/>
            <w:vAlign w:val="bottom"/>
          </w:tcPr>
          <w:p>
            <w:pPr>
              <w:spacing w:after="0"/>
              <w:rPr>
                <w:sz w:val="24"/>
                <w:szCs w:val="24"/>
                <w:color w:val="auto"/>
              </w:rPr>
            </w:pPr>
          </w:p>
        </w:tc>
        <w:tc>
          <w:tcPr>
            <w:tcW w:w="7520" w:type="dxa"/>
            <w:vAlign w:val="bottom"/>
          </w:tcPr>
          <w:p>
            <w:pPr>
              <w:ind w:left="1880"/>
              <w:spacing w:after="0"/>
              <w:rPr>
                <w:sz w:val="20"/>
                <w:szCs w:val="20"/>
                <w:color w:val="auto"/>
              </w:rPr>
            </w:pPr>
            <w:r>
              <w:rPr>
                <w:rFonts w:ascii="Arial" w:cs="Arial" w:eastAsia="Arial" w:hAnsi="Arial"/>
                <w:sz w:val="18"/>
                <w:szCs w:val="18"/>
                <w:color w:val="auto"/>
              </w:rPr>
              <w:t>S-2</w:t>
            </w:r>
          </w:p>
        </w:tc>
      </w:tr>
    </w:tbl>
    <w:p>
      <w:pPr>
        <w:sectPr>
          <w:pgSz w:w="11900" w:h="16838" w:orient="portrait"/>
          <w:cols w:equalWidth="0" w:num="1">
            <w:col w:w="11140"/>
          </w:cols>
          <w:pgMar w:left="320" w:top="459" w:right="4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33731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3373120"/>
                    </a:xfrm>
                    <a:prstGeom prst="rect">
                      <a:avLst/>
                    </a:prstGeom>
                    <a:noFill/>
                  </pic:spPr>
                </pic:pic>
              </a:graphicData>
            </a:graphic>
          </wp:anchor>
        </w:drawing>
      </w:r>
    </w:p>
    <w:p>
      <w:pPr>
        <w:sectPr>
          <w:pgSz w:w="11900" w:h="16838" w:orient="portrait"/>
          <w:cols w:equalWidth="0" w:num="1">
            <w:col w:w="10880"/>
          </w:cols>
          <w:pgMar w:left="320" w:top="459" w:right="69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Certain Covenants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00" w:right="640" w:firstLine="3"/>
        <w:spacing w:after="0" w:line="342" w:lineRule="auto"/>
        <w:rPr>
          <w:sz w:val="20"/>
          <w:szCs w:val="20"/>
          <w:color w:val="auto"/>
        </w:rPr>
      </w:pPr>
      <w:r>
        <w:rPr>
          <w:rFonts w:ascii="Arial" w:cs="Arial" w:eastAsia="Arial" w:hAnsi="Arial"/>
          <w:sz w:val="16"/>
          <w:szCs w:val="16"/>
          <w:color w:val="auto"/>
        </w:rPr>
        <w:t>United States Federal Income Tax Considerations for Non-U.S.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Governing Law</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Trustee, Registrar and Paying Agent</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indenture governing the notes will contain covenants that limit our ability to consolidate, merge or transfer all or substantially all of our assets. These covenants are subject to important exceptions and qualifications, which are described in the “Description of Notes” section of this prospectus supplement.</w:t>
      </w:r>
    </w:p>
    <w:p>
      <w:pPr>
        <w:spacing w:after="0" w:line="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estimate that the net proceeds from this offering, after deducting underwriters’ discounts and estimated offering expenses of approximately $    , will be approximately $     million. We intend to use the net proceeds from this offering for general corporate purposes, including debt repurchases which could include redemptions, open market debt repurchases or tender offers.</w:t>
      </w:r>
    </w:p>
    <w:p>
      <w:pPr>
        <w:spacing w:after="0" w:line="29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You should consult your tax advisor with respect to the U.S. federal income tax considerations of owning the notes in light of your own particular situation and with respect to any tax considerations arising under the laws of any state, local, foreign or other taxing jurisdiction. See “United States Federal Income Tax Considerations for Non-U.S. Holders.”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The notes and the indenture will be governed by the laws of the state of New York.</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Bank of New York Mellon.</w:t>
      </w:r>
    </w:p>
    <w:p>
      <w:pPr>
        <w:spacing w:after="0" w:line="144"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See “Risk Factors” beginning on page S-6 of this prospectus supplement and other information included or incorporated by reference in this prospectus supplement and the accompanying prospectus, including the section entitled “Risk Factors.”</w:t>
      </w:r>
    </w:p>
    <w:p>
      <w:pPr>
        <w:spacing w:after="0" w:line="200" w:lineRule="exact"/>
        <w:rPr>
          <w:sz w:val="20"/>
          <w:szCs w:val="20"/>
          <w:color w:val="auto"/>
        </w:rPr>
      </w:pPr>
    </w:p>
    <w:p>
      <w:pPr>
        <w:sectPr>
          <w:pgSz w:w="11900" w:h="16838" w:orient="portrait"/>
          <w:cols w:equalWidth="0" w:num="2">
            <w:col w:w="3620" w:space="720"/>
            <w:col w:w="6540"/>
          </w:cols>
          <w:pgMar w:left="320" w:top="459" w:right="699" w:bottom="1440" w:gutter="0" w:footer="0" w:header="0"/>
          <w:type w:val="continuous"/>
        </w:sectPr>
      </w:pPr>
    </w:p>
    <w:p>
      <w:pPr>
        <w:spacing w:after="0" w:line="73" w:lineRule="exact"/>
        <w:rPr>
          <w:sz w:val="20"/>
          <w:szCs w:val="20"/>
          <w:color w:val="auto"/>
        </w:rPr>
      </w:pPr>
    </w:p>
    <w:p>
      <w:pPr>
        <w:jc w:val="center"/>
        <w:ind w:right="-359"/>
        <w:spacing w:after="0"/>
        <w:rPr>
          <w:sz w:val="20"/>
          <w:szCs w:val="20"/>
          <w:color w:val="auto"/>
        </w:rPr>
      </w:pPr>
      <w:r>
        <w:rPr>
          <w:rFonts w:ascii="Arial" w:cs="Arial" w:eastAsia="Arial" w:hAnsi="Arial"/>
          <w:sz w:val="15"/>
          <w:szCs w:val="15"/>
          <w:color w:val="auto"/>
        </w:rPr>
        <w:t>S-3</w:t>
      </w:r>
    </w:p>
    <w:p>
      <w:pPr>
        <w:sectPr>
          <w:pgSz w:w="11900" w:h="16838" w:orient="portrait"/>
          <w:cols w:equalWidth="0" w:num="1">
            <w:col w:w="10880"/>
          </w:cols>
          <w:pgMar w:left="320" w:top="459" w:right="69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449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65449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HISTORICAL FINANCIAL DATA</w:t>
      </w:r>
    </w:p>
    <w:p>
      <w:pPr>
        <w:spacing w:after="0" w:line="229" w:lineRule="exact"/>
        <w:rPr>
          <w:sz w:val="20"/>
          <w:szCs w:val="20"/>
          <w:color w:val="auto"/>
        </w:rPr>
      </w:pPr>
    </w:p>
    <w:p>
      <w:pPr>
        <w:ind w:left="300" w:right="100" w:firstLine="426"/>
        <w:spacing w:after="0" w:line="279" w:lineRule="auto"/>
        <w:rPr>
          <w:sz w:val="20"/>
          <w:szCs w:val="20"/>
          <w:color w:val="auto"/>
        </w:rPr>
      </w:pPr>
      <w:r>
        <w:rPr>
          <w:rFonts w:ascii="Arial" w:cs="Arial" w:eastAsia="Arial" w:hAnsi="Arial"/>
          <w:sz w:val="17"/>
          <w:szCs w:val="17"/>
          <w:color w:val="auto"/>
        </w:rPr>
        <w:t>You should read the summary historical consolidated financial data set forth below in conjunction with “Management’s Discussion and Analysis of Financial Condition and Results of Operations” and the consolidated financial statements and the related notes included in our Annual Report on Form 10-K for the year ended December 31, 2022 and our Quarterly Report on Form 10-Q for the nine months ended September 30, 2023, each of which is incorporated by reference in this prospectus supplement and the accompanying prospectus.</w:t>
      </w:r>
    </w:p>
    <w:p>
      <w:pPr>
        <w:spacing w:after="0" w:line="38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1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6"/>
          </w:tcPr>
          <w:p>
            <w:pPr>
              <w:ind w:left="22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4"/>
              </w:rPr>
              <w:t>Years Ended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6"/>
          </w:tcPr>
          <w:p>
            <w:pPr>
              <w:ind w:left="20"/>
              <w:spacing w:after="0"/>
              <w:rPr>
                <w:sz w:val="20"/>
                <w:szCs w:val="20"/>
                <w:color w:val="auto"/>
              </w:rPr>
            </w:pPr>
            <w:r>
              <w:rPr>
                <w:rFonts w:ascii="Arial" w:cs="Arial" w:eastAsia="Arial" w:hAnsi="Arial"/>
                <w:sz w:val="14"/>
                <w:szCs w:val="14"/>
                <w:b w:val="1"/>
                <w:bCs w:val="1"/>
                <w:color w:val="auto"/>
              </w:rPr>
              <w:t>September 30, (Unaudited)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10"/>
          </w:tcPr>
          <w:p>
            <w:pPr>
              <w:jc w:val="right"/>
              <w:ind w:right="380"/>
              <w:spacing w:after="0"/>
              <w:rPr>
                <w:sz w:val="20"/>
                <w:szCs w:val="20"/>
                <w:color w:val="auto"/>
              </w:rPr>
            </w:pPr>
            <w:r>
              <w:rPr>
                <w:rFonts w:ascii="Arial" w:cs="Arial" w:eastAsia="Arial" w:hAnsi="Arial"/>
                <w:sz w:val="14"/>
                <w:szCs w:val="14"/>
                <w:b w:val="1"/>
                <w:bCs w:val="1"/>
                <w:color w:val="auto"/>
              </w:rPr>
              <w:t>December 31, (Audited)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 2023 </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94"/>
              </w:rPr>
              <w:t> 2022 </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2021</w:t>
            </w:r>
          </w:p>
        </w:tc>
        <w:tc>
          <w:tcPr>
            <w:tcW w:w="3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3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Interest income:</w:t>
            </w: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Pr>
          <w:p>
            <w:pPr>
              <w:ind w:left="300"/>
              <w:spacing w:after="0"/>
              <w:rPr>
                <w:sz w:val="20"/>
                <w:szCs w:val="20"/>
                <w:color w:val="auto"/>
              </w:rPr>
            </w:pPr>
            <w:r>
              <w:rPr>
                <w:rFonts w:ascii="Arial" w:cs="Arial" w:eastAsia="Arial" w:hAnsi="Arial"/>
                <w:sz w:val="16"/>
                <w:szCs w:val="16"/>
                <w:color w:val="auto"/>
              </w:rPr>
              <w:t>FFELP Loans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2,191</w:t>
            </w:r>
          </w:p>
        </w:tc>
        <w:tc>
          <w:tcPr>
            <w:tcW w:w="22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1,312</w:t>
            </w:r>
          </w:p>
        </w:tc>
        <w:tc>
          <w:tcPr>
            <w:tcW w:w="22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w w:val="84"/>
              </w:rPr>
              <w:t>1,966</w:t>
            </w:r>
          </w:p>
        </w:tc>
        <w:tc>
          <w:tcPr>
            <w:tcW w:w="14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w w:val="84"/>
              </w:rPr>
              <w:t>1,464</w:t>
            </w:r>
          </w:p>
        </w:tc>
        <w:tc>
          <w:tcPr>
            <w:tcW w:w="30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w w:val="84"/>
              </w:rPr>
              <w:t>1,837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Private Education Loans</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1,195</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1,181</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1,445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20" w:type="dxa"/>
            <w:vAlign w:val="bottom"/>
          </w:tcPr>
          <w:p>
            <w:pPr>
              <w:ind w:left="300"/>
              <w:spacing w:after="0"/>
              <w:rPr>
                <w:sz w:val="20"/>
                <w:szCs w:val="20"/>
                <w:color w:val="auto"/>
              </w:rPr>
            </w:pPr>
            <w:r>
              <w:rPr>
                <w:rFonts w:ascii="Arial" w:cs="Arial" w:eastAsia="Arial" w:hAnsi="Arial"/>
                <w:sz w:val="16"/>
                <w:szCs w:val="16"/>
                <w:color w:val="auto"/>
              </w:rPr>
              <w:t>Cash and investments</w:t>
            </w: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6"/>
                <w:szCs w:val="16"/>
                <w:color w:val="auto"/>
              </w:rPr>
              <w:t>Total interest income</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3,223</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2,648</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3,298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6"/>
                <w:szCs w:val="16"/>
                <w:color w:val="auto"/>
              </w:rPr>
              <w:t>Total interest expense</w:t>
            </w: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2,102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1,316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2,046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6"/>
                <w:szCs w:val="16"/>
                <w:color w:val="auto"/>
              </w:rPr>
              <w:t>Net interest income</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1,121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1,332</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1,252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6"/>
                <w:szCs w:val="16"/>
                <w:color w:val="auto"/>
              </w:rPr>
              <w:t>Less: provisions for loan losses</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79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6"/>
                <w:szCs w:val="16"/>
                <w:color w:val="auto"/>
              </w:rPr>
              <w:t>(61)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6"/>
                <w:szCs w:val="16"/>
                <w:color w:val="auto"/>
              </w:rPr>
              <w:t>Net interest income after provisions for loan losses</w:t>
            </w: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1,042</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1,393</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1,097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340" w:type="dxa"/>
            <w:vAlign w:val="bottom"/>
            <w:gridSpan w:val="2"/>
          </w:tcPr>
          <w:p>
            <w:pPr>
              <w:spacing w:after="0"/>
              <w:rPr>
                <w:sz w:val="20"/>
                <w:szCs w:val="20"/>
                <w:color w:val="auto"/>
              </w:rPr>
            </w:pPr>
            <w:r>
              <w:rPr>
                <w:rFonts w:ascii="Arial" w:cs="Arial" w:eastAsia="Arial" w:hAnsi="Arial"/>
                <w:sz w:val="16"/>
                <w:szCs w:val="16"/>
                <w:b w:val="1"/>
                <w:bCs w:val="1"/>
                <w:color w:val="auto"/>
              </w:rPr>
              <w:t>Other income (loss):</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Servicing revenue</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Pr>
          <w:p>
            <w:pPr>
              <w:ind w:left="300"/>
              <w:spacing w:after="0"/>
              <w:rPr>
                <w:sz w:val="20"/>
                <w:szCs w:val="20"/>
                <w:color w:val="auto"/>
              </w:rPr>
            </w:pPr>
            <w:r>
              <w:rPr>
                <w:rFonts w:ascii="Arial" w:cs="Arial" w:eastAsia="Arial" w:hAnsi="Arial"/>
                <w:sz w:val="16"/>
                <w:szCs w:val="16"/>
                <w:color w:val="auto"/>
              </w:rPr>
              <w:t>Asset recovery and business processing revenue</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336</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539</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458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revenue</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Pr>
          <w:p>
            <w:pPr>
              <w:ind w:left="300"/>
              <w:spacing w:after="0"/>
              <w:rPr>
                <w:sz w:val="20"/>
                <w:szCs w:val="20"/>
                <w:color w:val="auto"/>
              </w:rPr>
            </w:pPr>
            <w:r>
              <w:rPr>
                <w:rFonts w:ascii="Arial" w:cs="Arial" w:eastAsia="Arial" w:hAnsi="Arial"/>
                <w:sz w:val="16"/>
                <w:szCs w:val="16"/>
                <w:color w:val="auto"/>
              </w:rPr>
              <w:t>Gains on sales of loans</w:t>
            </w:r>
          </w:p>
        </w:tc>
        <w:tc>
          <w:tcPr>
            <w:tcW w:w="80" w:type="dxa"/>
            <w:vAlign w:val="bottom"/>
          </w:tcPr>
          <w:p>
            <w:pPr>
              <w:spacing w:after="0"/>
              <w:rPr>
                <w:sz w:val="17"/>
                <w:szCs w:val="17"/>
                <w:color w:val="auto"/>
              </w:rPr>
            </w:pPr>
          </w:p>
        </w:tc>
        <w:tc>
          <w:tcPr>
            <w:tcW w:w="880" w:type="dxa"/>
            <w:vAlign w:val="bottom"/>
            <w:gridSpan w:val="2"/>
          </w:tcPr>
          <w:p>
            <w:pPr>
              <w:ind w:left="420"/>
              <w:spacing w:after="0"/>
              <w:rPr>
                <w:sz w:val="20"/>
                <w:szCs w:val="20"/>
                <w:color w:val="auto"/>
              </w:rPr>
            </w:pPr>
            <w:r>
              <w:rPr>
                <w:rFonts w:ascii="Arial" w:cs="Arial" w:eastAsia="Arial" w:hAnsi="Arial"/>
                <w:sz w:val="16"/>
                <w:szCs w:val="16"/>
                <w:color w:val="auto"/>
              </w:rPr>
              <w:t>— 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ind w:left="440"/>
              <w:spacing w:after="0"/>
              <w:rPr>
                <w:sz w:val="20"/>
                <w:szCs w:val="20"/>
                <w:color w:val="auto"/>
              </w:rPr>
            </w:pPr>
            <w:r>
              <w:rPr>
                <w:rFonts w:ascii="Arial" w:cs="Arial" w:eastAsia="Arial" w:hAnsi="Arial"/>
                <w:sz w:val="16"/>
                <w:szCs w:val="16"/>
                <w:color w:val="auto"/>
              </w:rPr>
              <w:t>— 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w w:val="96"/>
              </w:rPr>
              <w:t>—    </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78</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Gains (losses) on debt repurchases</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96"/>
              </w:rPr>
              <w:t>—    </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20" w:type="dxa"/>
            <w:vAlign w:val="bottom"/>
          </w:tcPr>
          <w:p>
            <w:pPr>
              <w:ind w:left="300"/>
              <w:spacing w:after="0"/>
              <w:rPr>
                <w:sz w:val="20"/>
                <w:szCs w:val="20"/>
                <w:color w:val="auto"/>
              </w:rPr>
            </w:pPr>
            <w:r>
              <w:rPr>
                <w:rFonts w:ascii="Arial" w:cs="Arial" w:eastAsia="Arial" w:hAnsi="Arial"/>
                <w:sz w:val="16"/>
                <w:szCs w:val="16"/>
                <w:color w:val="auto"/>
              </w:rPr>
              <w:t>Gains (losses) on derivative and hedging activities, net</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171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64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6"/>
                <w:szCs w:val="16"/>
                <w:color w:val="auto"/>
              </w:rPr>
              <w:t>Total other income</w:t>
            </w: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616</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806</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340" w:type="dxa"/>
            <w:vAlign w:val="bottom"/>
            <w:gridSpan w:val="2"/>
          </w:tcPr>
          <w:p>
            <w:pPr>
              <w:spacing w:after="0"/>
              <w:rPr>
                <w:sz w:val="20"/>
                <w:szCs w:val="20"/>
                <w:color w:val="auto"/>
              </w:rPr>
            </w:pPr>
            <w:r>
              <w:rPr>
                <w:rFonts w:ascii="Arial" w:cs="Arial" w:eastAsia="Arial" w:hAnsi="Arial"/>
                <w:sz w:val="16"/>
                <w:szCs w:val="16"/>
                <w:b w:val="1"/>
                <w:bCs w:val="1"/>
                <w:color w:val="auto"/>
              </w:rPr>
              <w:t>Expenses:</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Salaries and benefits</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Pr>
          <w:p>
            <w:pPr>
              <w:ind w:left="300"/>
              <w:spacing w:after="0"/>
              <w:rPr>
                <w:sz w:val="20"/>
                <w:szCs w:val="20"/>
                <w:color w:val="auto"/>
              </w:rPr>
            </w:pPr>
            <w:r>
              <w:rPr>
                <w:rFonts w:ascii="Arial" w:cs="Arial" w:eastAsia="Arial" w:hAnsi="Arial"/>
                <w:sz w:val="16"/>
                <w:szCs w:val="16"/>
                <w:color w:val="auto"/>
              </w:rPr>
              <w:t>Other operating expenses</w:t>
            </w: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operating expenses</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1,207</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Pr>
          <w:p>
            <w:pPr>
              <w:ind w:left="300"/>
              <w:spacing w:after="0"/>
              <w:rPr>
                <w:sz w:val="20"/>
                <w:szCs w:val="20"/>
                <w:color w:val="auto"/>
              </w:rPr>
            </w:pPr>
            <w:r>
              <w:rPr>
                <w:rFonts w:ascii="Arial" w:cs="Arial" w:eastAsia="Arial" w:hAnsi="Arial"/>
                <w:sz w:val="16"/>
                <w:szCs w:val="16"/>
                <w:color w:val="auto"/>
              </w:rPr>
              <w:t>Goodwill and acquired intangible asset impairment and amortization expense</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30</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Restructuring/other reorganization expenses</w:t>
            </w:r>
          </w:p>
        </w:tc>
        <w:tc>
          <w:tcPr>
            <w:tcW w:w="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6"/>
                <w:szCs w:val="16"/>
                <w:color w:val="auto"/>
              </w:rPr>
              <w:t>Total expenses</w:t>
            </w: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1,263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6"/>
                <w:szCs w:val="16"/>
                <w:color w:val="auto"/>
              </w:rPr>
              <w:t>Income before income tax expense</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6"/>
                <w:szCs w:val="16"/>
                <w:color w:val="auto"/>
              </w:rPr>
              <w:t>Income tax expense</w:t>
            </w: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w:t>
            </w:r>
          </w:p>
        </w:tc>
        <w:tc>
          <w:tcPr>
            <w:tcW w:w="1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w:t>
            </w:r>
          </w:p>
        </w:tc>
        <w:tc>
          <w:tcPr>
            <w:tcW w:w="3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Basic earnings per common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340" w:type="dxa"/>
            <w:vAlign w:val="bottom"/>
            <w:gridSpan w:val="2"/>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2.06</w:t>
            </w:r>
          </w:p>
        </w:tc>
        <w:tc>
          <w:tcPr>
            <w:tcW w:w="22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3.71</w:t>
            </w:r>
          </w:p>
        </w:tc>
        <w:tc>
          <w:tcPr>
            <w:tcW w:w="22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4.54</w:t>
            </w:r>
          </w:p>
        </w:tc>
        <w:tc>
          <w:tcPr>
            <w:tcW w:w="140" w:type="dxa"/>
            <w:vAlign w:val="bottom"/>
          </w:tcPr>
          <w:p>
            <w:pPr>
              <w:spacing w:after="0"/>
              <w:rPr>
                <w:sz w:val="16"/>
                <w:szCs w:val="16"/>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4.23</w:t>
            </w:r>
          </w:p>
        </w:tc>
        <w:tc>
          <w:tcPr>
            <w:tcW w:w="30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6"/>
                <w:szCs w:val="16"/>
                <w:color w:val="auto"/>
              </w:rPr>
              <w:t>Average common shares outstanding</w:t>
            </w:r>
          </w:p>
        </w:tc>
        <w:tc>
          <w:tcPr>
            <w:tcW w:w="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Diluted earnings per common share</w:t>
            </w: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340" w:type="dxa"/>
            <w:vAlign w:val="bottom"/>
            <w:gridSpan w:val="2"/>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2.04</w:t>
            </w:r>
          </w:p>
        </w:tc>
        <w:tc>
          <w:tcPr>
            <w:tcW w:w="22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3.67</w:t>
            </w:r>
          </w:p>
        </w:tc>
        <w:tc>
          <w:tcPr>
            <w:tcW w:w="22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4.49</w:t>
            </w:r>
          </w:p>
        </w:tc>
        <w:tc>
          <w:tcPr>
            <w:tcW w:w="140" w:type="dxa"/>
            <w:vAlign w:val="bottom"/>
          </w:tcPr>
          <w:p>
            <w:pPr>
              <w:spacing w:after="0"/>
              <w:rPr>
                <w:sz w:val="16"/>
                <w:szCs w:val="16"/>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4.18</w:t>
            </w:r>
          </w:p>
        </w:tc>
        <w:tc>
          <w:tcPr>
            <w:tcW w:w="30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6"/>
                <w:szCs w:val="16"/>
                <w:color w:val="auto"/>
              </w:rPr>
              <w:t>Average common and common equivalent shares outstanding</w:t>
            </w:r>
          </w:p>
        </w:tc>
        <w:tc>
          <w:tcPr>
            <w:tcW w:w="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Arial" w:cs="Arial" w:eastAsia="Arial" w:hAnsi="Arial"/>
                <w:sz w:val="16"/>
                <w:szCs w:val="16"/>
                <w:color w:val="auto"/>
              </w:rPr>
              <w:t>Dividends per common share</w:t>
            </w: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340" w:type="dxa"/>
            <w:vAlign w:val="bottom"/>
            <w:gridSpan w:val="2"/>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.48</w:t>
            </w:r>
          </w:p>
        </w:tc>
        <w:tc>
          <w:tcPr>
            <w:tcW w:w="22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.48</w:t>
            </w:r>
          </w:p>
        </w:tc>
        <w:tc>
          <w:tcPr>
            <w:tcW w:w="22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.64</w:t>
            </w:r>
          </w:p>
        </w:tc>
        <w:tc>
          <w:tcPr>
            <w:tcW w:w="140" w:type="dxa"/>
            <w:vAlign w:val="bottom"/>
          </w:tcPr>
          <w:p>
            <w:pPr>
              <w:spacing w:after="0"/>
              <w:rPr>
                <w:sz w:val="16"/>
                <w:szCs w:val="16"/>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.64</w:t>
            </w:r>
          </w:p>
        </w:tc>
        <w:tc>
          <w:tcPr>
            <w:tcW w:w="30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940"/>
          </w:cols>
          <w:pgMar w:left="320" w:top="459" w:right="6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87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53873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7"/>
          </w:tcPr>
          <w:p>
            <w:pPr>
              <w:ind w:left="20"/>
              <w:spacing w:after="0"/>
              <w:rPr>
                <w:sz w:val="20"/>
                <w:szCs w:val="20"/>
                <w:color w:val="auto"/>
              </w:rPr>
            </w:pPr>
            <w:r>
              <w:rPr>
                <w:rFonts w:ascii="Arial" w:cs="Arial" w:eastAsia="Arial" w:hAnsi="Arial"/>
                <w:sz w:val="14"/>
                <w:szCs w:val="14"/>
                <w:b w:val="1"/>
                <w:bCs w:val="1"/>
                <w:color w:val="auto"/>
              </w:rPr>
              <w:t>September 30, (Unaudited)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7"/>
          </w:tcPr>
          <w:p>
            <w:pPr>
              <w:ind w:left="20"/>
              <w:spacing w:after="0"/>
              <w:rPr>
                <w:sz w:val="20"/>
                <w:szCs w:val="20"/>
                <w:color w:val="auto"/>
              </w:rPr>
            </w:pPr>
            <w:r>
              <w:rPr>
                <w:rFonts w:ascii="Arial" w:cs="Arial" w:eastAsia="Arial" w:hAnsi="Arial"/>
                <w:sz w:val="14"/>
                <w:szCs w:val="14"/>
                <w:b w:val="1"/>
                <w:bCs w:val="1"/>
                <w:color w:val="auto"/>
              </w:rPr>
              <w:t>December 31, (Audited)</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  </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9"/>
              </w:rPr>
              <w:t>  </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9"/>
              </w:rPr>
              <w:t>  </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9"/>
              </w:rPr>
              <w:t>  </w:t>
            </w: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4"/>
              </w:rPr>
              <w:t>2023  </w:t>
            </w:r>
          </w:p>
        </w:tc>
        <w:tc>
          <w:tcPr>
            <w:tcW w:w="220" w:type="dxa"/>
            <w:vAlign w:val="bottom"/>
          </w:tcPr>
          <w:p>
            <w:pPr>
              <w:spacing w:after="0"/>
              <w:rPr>
                <w:sz w:val="14"/>
                <w:szCs w:val="14"/>
                <w:color w:val="auto"/>
              </w:rPr>
            </w:pPr>
          </w:p>
        </w:tc>
        <w:tc>
          <w:tcPr>
            <w:tcW w:w="8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7"/>
              </w:rPr>
              <w:t>2022  </w:t>
            </w:r>
          </w:p>
        </w:tc>
        <w:tc>
          <w:tcPr>
            <w:tcW w:w="240" w:type="dxa"/>
            <w:vAlign w:val="bottom"/>
          </w:tcPr>
          <w:p>
            <w:pPr>
              <w:spacing w:after="0"/>
              <w:rPr>
                <w:sz w:val="14"/>
                <w:szCs w:val="14"/>
                <w:color w:val="auto"/>
              </w:rPr>
            </w:pPr>
          </w:p>
        </w:tc>
        <w:tc>
          <w:tcPr>
            <w:tcW w:w="8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7"/>
              </w:rPr>
              <w:t>2022  </w:t>
            </w:r>
          </w:p>
        </w:tc>
        <w:tc>
          <w:tcPr>
            <w:tcW w:w="240" w:type="dxa"/>
            <w:vAlign w:val="bottom"/>
          </w:tcPr>
          <w:p>
            <w:pPr>
              <w:spacing w:after="0"/>
              <w:rPr>
                <w:sz w:val="14"/>
                <w:szCs w:val="14"/>
                <w:color w:val="auto"/>
              </w:rPr>
            </w:pPr>
          </w:p>
        </w:tc>
        <w:tc>
          <w:tcPr>
            <w:tcW w:w="9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4"/>
              </w:rPr>
              <w:t>2021  </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6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6380" w:type="dxa"/>
            <w:vAlign w:val="bottom"/>
          </w:tcPr>
          <w:p>
            <w:pPr>
              <w:spacing w:after="0" w:line="201" w:lineRule="exact"/>
              <w:rPr>
                <w:sz w:val="20"/>
                <w:szCs w:val="20"/>
                <w:color w:val="auto"/>
              </w:rPr>
            </w:pPr>
            <w:r>
              <w:rPr>
                <w:rFonts w:ascii="Arial" w:cs="Arial" w:eastAsia="Arial" w:hAnsi="Arial"/>
                <w:sz w:val="18"/>
                <w:szCs w:val="18"/>
                <w:color w:val="auto"/>
              </w:rPr>
              <w:t>FFELP Loans (net of allowance for losses of $220, $233, $222 and $262,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39,581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46,891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43,525</w:t>
            </w:r>
          </w:p>
        </w:tc>
        <w:tc>
          <w:tcPr>
            <w:tcW w:w="28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52,641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6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Private Education Loans (net of allowance for losses of $625, $852, $800 and $1,009,</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17,333</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19,151</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18,725</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20,171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Investments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176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Restricted cash and cash equivalents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1,824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2,548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3,272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Goodwill and acquired intangible assets, net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63,414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73,625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70,795</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80,605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4,662</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5,677</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5,870</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Long-term borrowings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54,907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63,998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61,026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74,488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60" w:type="dxa"/>
            <w:vAlign w:val="bottom"/>
            <w:gridSpan w:val="2"/>
          </w:tcPr>
          <w:p>
            <w:pPr>
              <w:ind w:left="18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60,516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70,652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67,818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77,997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6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par value $0.01 per share; 1.125 billion shares authorized:</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464 million, 461 million, 461 million and 459 million shares issued, respectively</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3,349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3,309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3,313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6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Accumulated other comprehensive income (loss) (net of tax expense (benefit) of $14,</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 $29 and $(45) respectively)</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4,685</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before treasury stock</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7,092</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Less: Common stock held in treasury at cost: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346 million, 312 million, 331 million and 305 million shares, respectively</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(5,183)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(4,830)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(4,917)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(4,495)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gridSpan w:val="2"/>
          </w:tcPr>
          <w:p>
            <w:pPr>
              <w:ind w:left="180"/>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2,898</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2,973</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gridSpan w:val="2"/>
          </w:tcPr>
          <w:p>
            <w:pPr>
              <w:ind w:left="180"/>
              <w:spacing w:after="0"/>
              <w:rPr>
                <w:sz w:val="20"/>
                <w:szCs w:val="20"/>
                <w:color w:val="auto"/>
              </w:rPr>
            </w:pPr>
            <w:r>
              <w:rPr>
                <w:rFonts w:ascii="Arial" w:cs="Arial" w:eastAsia="Arial" w:hAnsi="Arial"/>
                <w:sz w:val="18"/>
                <w:szCs w:val="18"/>
                <w:color w:val="auto"/>
              </w:rPr>
              <w:t>Total equity</w:t>
            </w: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2,898</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2,973</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63,414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73,625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70,795</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80,605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80" w:type="dxa"/>
            <w:vAlign w:val="bottom"/>
            <w:tcBorders>
              <w:bottom w:val="single" w:sz="8" w:color="auto"/>
            </w:tcBorders>
          </w:tcPr>
          <w:p>
            <w:pPr>
              <w:spacing w:after="0"/>
              <w:rPr>
                <w:sz w:val="13"/>
                <w:szCs w:val="13"/>
                <w:color w:val="auto"/>
              </w:rPr>
            </w:pPr>
          </w:p>
        </w:tc>
        <w:tc>
          <w:tcPr>
            <w:tcW w:w="63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6380" w:type="dxa"/>
            <w:vAlign w:val="bottom"/>
          </w:tcPr>
          <w:p>
            <w:pPr>
              <w:ind w:left="5200"/>
              <w:spacing w:after="0"/>
              <w:rPr>
                <w:sz w:val="20"/>
                <w:szCs w:val="20"/>
                <w:color w:val="auto"/>
              </w:rPr>
            </w:pPr>
            <w:r>
              <w:rPr>
                <w:rFonts w:ascii="Arial" w:cs="Arial" w:eastAsia="Arial" w:hAnsi="Arial"/>
                <w:sz w:val="18"/>
                <w:szCs w:val="18"/>
                <w:color w:val="auto"/>
              </w:rPr>
              <w:t>S-5</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i w:val="1"/>
          <w:iCs w:val="1"/>
          <w:color w:val="auto"/>
        </w:rPr>
        <w:t>Any investment in the notes involves a high degree of risk. You should carefully consider the risks described below and all of the information contained in this prospectus supplement, the accompanying prospectus, any free writing prospectus and the documents incorporated by reference herein and therein before deciding whether to purchase the notes. In addition, you should carefully consider, among other things, the matters discussed under “Risk Factors” and “Legal Proceedings” in our Annual Report on Form 10-K for the year ended December 31, 2022, our Quarterly Report on Form 10-Q for the quarter ended September 30, 2023 and in other documents that we file from time to time with the SEC, all of which are incorporated by reference in this prospectus supplement and the accompanying prospectus. The risks and uncertainties described below are not the only risks and uncertainties we face. Additional risks and uncertainties not presently known to us or that we currently deem immaterial may also impair our business operations. If any of the following risks actually occur, our business, financial condition and results of operations would suffer. The risks discussed below also include forward-looking statements and our actual results may differ substantially from those discussed in these forward-looking statements. See “Forward-Looking Statements” in this prospectus supplement and the accompanying prospectus.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debt is structurally subordinated to the debt and other liabilities of our subsidiaries.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notes are obligations exclusively of Navient Corporation. We are a holding company and, accordingly, substantially all of our operations are conducted through our subsidiaries. As a result, our debt is “structurally subordinated” to all existing and future debt, trade creditors, and other liabilities of our subsidiaries. Our rights, and hence the rights of our creditors, to participate in any distribution of assets of any subsidiary upon its liquidation or reorganization or otherwise would be subject to the prior claims of that subsidiary’s creditors, except to the extent that our claims as a creditor of such subsidiary may be recognized. The indenture that governs the notes does not restrict our or our subsidiaries’ ability to incur indebtedness, including secured indebtedness, to pay dividends or make distributions on, or redeem or repurchase our equity securities, or to engage in highly leveraged transactions that would increase the level of our indebtedness.</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depend upon our subsidiaries to service our debt.</w:t>
      </w:r>
    </w:p>
    <w:p>
      <w:pPr>
        <w:spacing w:after="0" w:line="117" w:lineRule="exact"/>
        <w:rPr>
          <w:sz w:val="20"/>
          <w:szCs w:val="20"/>
          <w:color w:val="auto"/>
        </w:rPr>
      </w:pPr>
    </w:p>
    <w:p>
      <w:pPr>
        <w:ind w:left="120" w:right="360" w:firstLine="440"/>
        <w:spacing w:after="0" w:line="311" w:lineRule="auto"/>
        <w:rPr>
          <w:sz w:val="20"/>
          <w:szCs w:val="20"/>
          <w:color w:val="auto"/>
        </w:rPr>
      </w:pPr>
      <w:r>
        <w:rPr>
          <w:rFonts w:ascii="Arial" w:cs="Arial" w:eastAsia="Arial" w:hAnsi="Arial"/>
          <w:sz w:val="16"/>
          <w:szCs w:val="16"/>
          <w:color w:val="auto"/>
        </w:rPr>
        <w:t>Our cash flow and our ability to service our debt, including the notes, is dependent upon the earnings of our subsidiaries. Our subsidiaries are separate and distinct legal entities. They have no obligation to pay any amounts due under the notes or to provide us with funds for our payment obligations. Payment to us by our subsidiaries will also be contingent upon our subsidiaries’ earnings and other business considerations.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substantial indebtedness could adversely affect our financial condition.</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will have a substantial amount of indebtedness, which could limit our ability to obtain additional financing for working capital, capital expenditures, stock repurchases, acquisitions, debt service requirements or other purposes. It may also increase our vulnerability to adverse economic, market and industry conditions, limit our flexibility in planning for, or reacting to, changes in our business operations or to our industry overall, and place us at a disadvantage in relation to our competitors that have lower debt levels. Any or all of the above events and/or factors could have an adverse effect on our results of operations and financial condition.</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issue additional notes.</w:t>
      </w:r>
    </w:p>
    <w:p>
      <w:pPr>
        <w:spacing w:after="0" w:line="117"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Under the terms of the indenture that governs the notes, we may from time to time without notice to, or the consent of, the holders of the applicable series of notes, create and issue additional notes of a new or existing series, which notes, if of an existing series, will be equal in rank to the notes of that series in all material respects so that the new notes may be consolidated and form a single series with such notes and have the same terms as to status, redemption or otherwise as such notes (except for the issue date and public offering price).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100"/>
          </w:cols>
          <w:pgMar w:left="320" w:top="459" w:right="4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Redemption may adversely affect your return on your notes.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notes are redeemable at our option, and therefore we may choose to redeem the notes at times when prevailing interest rates are relatively low. As a result, you may not be able to reinvest the proceeds you receive from the redemption in a comparable security at an effective interest rate as high as the interest rate on your notes being redeemed. Our ability to redeem the notes before the maturity date may affect the market value of the notes at any time when potential purchasers believe we are likely to redeem the notes.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An active trading market for the notes may not develop.</w:t>
      </w:r>
    </w:p>
    <w:p>
      <w:pPr>
        <w:spacing w:after="0" w:line="117" w:lineRule="exact"/>
        <w:rPr>
          <w:sz w:val="20"/>
          <w:szCs w:val="20"/>
          <w:color w:val="auto"/>
        </w:rPr>
      </w:pPr>
    </w:p>
    <w:p>
      <w:pPr>
        <w:ind w:left="120" w:right="200" w:firstLine="440"/>
        <w:spacing w:after="0" w:line="255" w:lineRule="auto"/>
        <w:rPr>
          <w:sz w:val="20"/>
          <w:szCs w:val="20"/>
          <w:color w:val="auto"/>
        </w:rPr>
      </w:pPr>
      <w:r>
        <w:rPr>
          <w:rFonts w:ascii="Arial" w:cs="Arial" w:eastAsia="Arial" w:hAnsi="Arial"/>
          <w:sz w:val="18"/>
          <w:szCs w:val="18"/>
          <w:color w:val="auto"/>
        </w:rPr>
        <w:t>The notes are a new issue of securities for which there is no established trading market. We do not intend to apply for listing of the notes on any securities exchange or for inclusion of the notes on any automated dealer quotation system. As a result, an active trading market for the notes may not develop and any such market, if it were to develop, may not be liquid or sustainable for any period of time. Future trading prices of the notes will depend on many factors, including, among other things, prevailing interest rates, the then-current ratings assigned to the notes, the market for similar securities and our performance. Any trading market that develops would be affected by many factors independent of and in addition to the foregoing, including:</w:t>
      </w:r>
    </w:p>
    <w:p>
      <w:pPr>
        <w:spacing w:after="0" w:line="98"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time remaining to the maturity of the notes;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outstanding amount of the notes;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terms related to redemption of the notes;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direction and volatility of market interest rates generally.</w:t>
      </w:r>
    </w:p>
    <w:p>
      <w:pPr>
        <w:spacing w:after="0" w:line="225"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underwriters have advised us that they currently intend to make a market in the notes, but they are not obligated to do so and may cease market-making at any time without notice, which could further negatively impact your ability to sell the notes or the prevailing market price at the time you choose to sell.</w:t>
      </w:r>
    </w:p>
    <w:p>
      <w:pPr>
        <w:spacing w:after="0" w:line="292" w:lineRule="exact"/>
        <w:rPr>
          <w:sz w:val="20"/>
          <w:szCs w:val="20"/>
          <w:color w:val="auto"/>
        </w:rPr>
      </w:pPr>
    </w:p>
    <w:p>
      <w:pPr>
        <w:ind w:left="560" w:right="80"/>
        <w:spacing w:after="0" w:line="277" w:lineRule="auto"/>
        <w:rPr>
          <w:sz w:val="20"/>
          <w:szCs w:val="20"/>
          <w:color w:val="auto"/>
        </w:rPr>
      </w:pPr>
      <w:r>
        <w:rPr>
          <w:rFonts w:ascii="Arial" w:cs="Arial" w:eastAsia="Arial" w:hAnsi="Arial"/>
          <w:sz w:val="18"/>
          <w:szCs w:val="18"/>
          <w:b w:val="1"/>
          <w:bCs w:val="1"/>
          <w:i w:val="1"/>
          <w:iCs w:val="1"/>
          <w:color w:val="auto"/>
        </w:rPr>
        <w:t>A downgrade, suspension or withdrawal of the rating assigned by a rating agency to the notes, or changes in the financial and credit markets, could cause the liquidity or market value of the notes to decline significantly.</w:t>
      </w:r>
    </w:p>
    <w:p>
      <w:pPr>
        <w:spacing w:after="0" w:line="62" w:lineRule="exact"/>
        <w:rPr>
          <w:sz w:val="20"/>
          <w:szCs w:val="20"/>
          <w:color w:val="auto"/>
        </w:rPr>
      </w:pPr>
    </w:p>
    <w:p>
      <w:pPr>
        <w:jc w:val="both"/>
        <w:ind w:left="120" w:right="540" w:firstLine="440"/>
        <w:spacing w:after="0" w:line="263" w:lineRule="auto"/>
        <w:rPr>
          <w:sz w:val="20"/>
          <w:szCs w:val="20"/>
          <w:color w:val="auto"/>
        </w:rPr>
      </w:pPr>
      <w:r>
        <w:rPr>
          <w:rFonts w:ascii="Arial" w:cs="Arial" w:eastAsia="Arial" w:hAnsi="Arial"/>
          <w:sz w:val="18"/>
          <w:szCs w:val="18"/>
          <w:color w:val="auto"/>
        </w:rPr>
        <w:t>We expect that the notes will be rated by one or more rating agencies. Any rating assigned to the notes may not remain, may be lowered or withdrawn entirely by a rating agency if, in that rating agency’s judgment, future circumstances relating to the basis of the rating, such as adverse changes in our business, warrant a change to the rating assigned.</w:t>
      </w:r>
    </w:p>
    <w:p>
      <w:pPr>
        <w:spacing w:after="0" w:line="184"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In addition, the condition of the financial and credit markets and prevailing interest rates have fluctuated in the past and are likely to fluctuate in the future. Any ratings downgrade of the notes or further disruptions in the financial and credit markets and future fluctuations in these markets and prevailing interest rates may have an adverse effect on the market value of the notes.</w:t>
      </w:r>
    </w:p>
    <w:p>
      <w:pPr>
        <w:spacing w:after="0" w:line="292" w:lineRule="exact"/>
        <w:rPr>
          <w:sz w:val="20"/>
          <w:szCs w:val="20"/>
          <w:color w:val="auto"/>
        </w:rPr>
      </w:pPr>
    </w:p>
    <w:p>
      <w:pPr>
        <w:ind w:left="560" w:right="600"/>
        <w:spacing w:after="0" w:line="277" w:lineRule="auto"/>
        <w:rPr>
          <w:sz w:val="20"/>
          <w:szCs w:val="20"/>
          <w:color w:val="auto"/>
        </w:rPr>
      </w:pPr>
      <w:r>
        <w:rPr>
          <w:rFonts w:ascii="Arial" w:cs="Arial" w:eastAsia="Arial" w:hAnsi="Arial"/>
          <w:sz w:val="18"/>
          <w:szCs w:val="18"/>
          <w:b w:val="1"/>
          <w:bCs w:val="1"/>
          <w:i w:val="1"/>
          <w:iCs w:val="1"/>
          <w:color w:val="auto"/>
        </w:rPr>
        <w:t>The provisions of the notes relating to change of control transactions will not necessarily protect you in the event of a highly leveraged transaction.</w:t>
      </w:r>
    </w:p>
    <w:p>
      <w:pPr>
        <w:spacing w:after="0" w:line="62"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change of control provisions in the terms of the notes will not necessarily afford you protection in the event of a highly leveraged transaction that may adversely affect you, including a takeover, reorganization, recapitalization, restructuring, merger or other similar transactions involving us. These transactions may not involve a change in voting power or beneficial ownership or result in a downgrade in the ratings of the notes, or, even if they do, may not necessarily constitute a Change of Control Triggering Event that affords you the protections described in this prospectus supplement. As a result, we could enter into any such transaction even though the transaction could increase the total amount of our outstanding indebtedness, adversely affect our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120"/>
          </w:cols>
          <w:pgMar w:left="320" w:top="459" w:right="4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20"/>
        <w:spacing w:after="0" w:line="286" w:lineRule="auto"/>
        <w:rPr>
          <w:sz w:val="20"/>
          <w:szCs w:val="20"/>
          <w:color w:val="auto"/>
        </w:rPr>
      </w:pPr>
      <w:r>
        <w:rPr>
          <w:rFonts w:ascii="Arial" w:cs="Arial" w:eastAsia="Arial" w:hAnsi="Arial"/>
          <w:sz w:val="17"/>
          <w:szCs w:val="17"/>
          <w:color w:val="auto"/>
        </w:rPr>
        <w:t>capital structure or credit rating or otherwise adversely affect the holders of the notes. Except as described under “Description of Notes—Repurchase Upon a Change of Control,” the indenture does not contain provisions that permit the holders of the notes to require us to repurchase the notes in the event of a takeover, reorganization, recapitalization, restructuring, merger or similar transaction.</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We may not be able to repurchase all of the notes upon a change of control, which would result in a default under each series of notes.</w:t>
      </w:r>
    </w:p>
    <w:p>
      <w:pPr>
        <w:spacing w:after="0" w:line="140"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We will be required to offer to repurchase the notes upon the occurrence of a Change of Control Triggering Event as provided in the indenture governing the notes. However, we may not have sufficient funds to repurchase the notes in cash at such time. In addition, our ability to repurchase the notes for cash may be limited by law or the terms of other agreements relating to our indebtedness outstanding at the time. The failure to make such repurchase would result in a default under the indenture.</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Illiquid market conditions may occur from time to time.</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From time to time, the secondary market for your notes may be adversely affected by periods of general market illiquidity or by events in the global financial markets in general or in the securities market in particular. Events involving limited liquidity, defaults, non-performance or other adverse developments that affect financial institutions or other companies in the financial services industry or the financial services industry generally, or concerns or rumors about any events of these kinds or other similar risks, have in the past and may in the future lead to market-wide liquidity problems. Specifically, if banks or financial institutions enter receivership or become insolvent in the future in response to financial conditions affecting the banking system or financial markets, the liquidity of the securities market may decline. Accordingly, you may not be able to sell your notes when you want to do so or you may be unable to obtain the price that you wish to receive for your notes and, as a result, you may suffer a loss on your investment.</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060"/>
          </w:cols>
          <w:pgMar w:left="320" w:top="459" w:right="51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estimate that the net proceeds from this offering, after deducting underwriters’ discounts and estimated offering expenses of approximately $    , will be approximately $    million. We intend to use the net proceeds from this offering for general corporate purposes, including debt repurchases which could include redemptions, open market debt repurchases or tender offers.</w:t>
      </w:r>
    </w:p>
    <w:p>
      <w:pPr>
        <w:spacing w:after="0" w:line="396"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The following table sets forth our cash and cash equivalents and our capitalization as of September 30, 2023 on an actual basis and as adjusted basis to give effect to this offering and the application of the net proceeds of this offering as described under “Use of Proceeds.” This table should be read in conjunction with “Management’s Discussion and Analysis of Financial Condition and Results of Operations” and the consolidated financial statements and notes thereto included in our Quarterly Report on Form 10-Q for the quarter ended September 30, 2023, which is incorporated by reference in this prospectus supplement and the accompanying prospectus.</w:t>
      </w:r>
    </w:p>
    <w:p>
      <w:pPr>
        <w:spacing w:after="0" w:line="195"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6"/>
              </w:rPr>
              <w:t>As of September 30, 2023</w:t>
            </w:r>
          </w:p>
        </w:tc>
      </w:tr>
      <w:tr>
        <w:trPr>
          <w:trHeight w:val="142"/>
        </w:trPr>
        <w:tc>
          <w:tcPr>
            <w:tcW w:w="6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tcPr>
          <w:p>
            <w:pPr>
              <w:jc w:val="right"/>
              <w:ind w:right="420"/>
              <w:spacing w:after="0" w:line="142" w:lineRule="exact"/>
              <w:rPr>
                <w:sz w:val="20"/>
                <w:szCs w:val="20"/>
                <w:color w:val="auto"/>
              </w:rPr>
            </w:pPr>
            <w:r>
              <w:rPr>
                <w:rFonts w:ascii="Arial" w:cs="Arial" w:eastAsia="Arial" w:hAnsi="Arial"/>
                <w:sz w:val="14"/>
                <w:szCs w:val="14"/>
                <w:b w:val="1"/>
                <w:bCs w:val="1"/>
                <w:color w:val="auto"/>
                <w:w w:val="88"/>
              </w:rPr>
              <w:t>Actual</w:t>
            </w:r>
          </w:p>
        </w:tc>
        <w:tc>
          <w:tcPr>
            <w:tcW w:w="2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As Adjusted</w:t>
            </w:r>
          </w:p>
        </w:tc>
        <w:tc>
          <w:tcPr>
            <w:tcW w:w="100" w:type="dxa"/>
            <w:vAlign w:val="bottom"/>
          </w:tcPr>
          <w:p>
            <w:pPr>
              <w:spacing w:after="0"/>
              <w:rPr>
                <w:sz w:val="12"/>
                <w:szCs w:val="12"/>
                <w:color w:val="auto"/>
              </w:rPr>
            </w:pPr>
          </w:p>
        </w:tc>
      </w:tr>
      <w:tr>
        <w:trPr>
          <w:trHeight w:val="196"/>
        </w:trPr>
        <w:tc>
          <w:tcPr>
            <w:tcW w:w="6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 millions, except share and per share amounts)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977</w:t>
            </w:r>
          </w:p>
        </w:tc>
        <w:tc>
          <w:tcPr>
            <w:tcW w:w="300" w:type="dxa"/>
            <w:vAlign w:val="bottom"/>
          </w:tcPr>
          <w:p>
            <w:pPr>
              <w:spacing w:after="0"/>
              <w:rPr>
                <w:sz w:val="18"/>
                <w:szCs w:val="18"/>
                <w:color w:val="auto"/>
              </w:rPr>
            </w:pPr>
          </w:p>
        </w:tc>
        <w:tc>
          <w:tcPr>
            <w:tcW w:w="1040" w:type="dxa"/>
            <w:vAlign w:val="bottom"/>
            <w:gridSpan w:val="2"/>
          </w:tcPr>
          <w:p>
            <w:pPr>
              <w:jc w:val="right"/>
              <w:ind w:right="60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cash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1,824</w:t>
            </w:r>
          </w:p>
        </w:tc>
        <w:tc>
          <w:tcPr>
            <w:tcW w:w="3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1,824</w:t>
            </w:r>
          </w:p>
        </w:tc>
      </w:tr>
      <w:tr>
        <w:trPr>
          <w:trHeight w:val="223"/>
        </w:trPr>
        <w:tc>
          <w:tcPr>
            <w:tcW w:w="6300" w:type="dxa"/>
            <w:vAlign w:val="bottom"/>
          </w:tcPr>
          <w:p>
            <w:pPr>
              <w:spacing w:after="0"/>
              <w:rPr>
                <w:sz w:val="20"/>
                <w:szCs w:val="20"/>
                <w:color w:val="auto"/>
              </w:rPr>
            </w:pPr>
            <w:r>
              <w:rPr>
                <w:rFonts w:ascii="Arial" w:cs="Arial" w:eastAsia="Arial" w:hAnsi="Arial"/>
                <w:sz w:val="18"/>
                <w:szCs w:val="18"/>
                <w:b w:val="1"/>
                <w:bCs w:val="1"/>
                <w:color w:val="auto"/>
              </w:rPr>
              <w:t>Debt:</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4,662</w:t>
            </w:r>
          </w:p>
        </w:tc>
        <w:tc>
          <w:tcPr>
            <w:tcW w:w="3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4,662</w:t>
            </w:r>
          </w:p>
        </w:tc>
      </w:tr>
      <w:tr>
        <w:trPr>
          <w:trHeight w:val="216"/>
        </w:trPr>
        <w:tc>
          <w:tcPr>
            <w:tcW w:w="6300" w:type="dxa"/>
            <w:vAlign w:val="bottom"/>
          </w:tcPr>
          <w:p>
            <w:pPr>
              <w:spacing w:after="0" w:line="216" w:lineRule="exact"/>
              <w:rPr>
                <w:sz w:val="20"/>
                <w:szCs w:val="20"/>
                <w:color w:val="auto"/>
              </w:rPr>
            </w:pPr>
            <w:r>
              <w:rPr>
                <w:rFonts w:ascii="Arial" w:cs="Arial" w:eastAsia="Arial" w:hAnsi="Arial"/>
                <w:sz w:val="17"/>
                <w:szCs w:val="17"/>
                <w:color w:val="auto"/>
              </w:rPr>
              <w:t>Long-term borrowings</w:t>
            </w:r>
            <w:r>
              <w:rPr>
                <w:rFonts w:ascii="Arial" w:cs="Arial" w:eastAsia="Arial" w:hAnsi="Arial"/>
                <w:sz w:val="25"/>
                <w:szCs w:val="25"/>
                <w:color w:val="auto"/>
                <w:vertAlign w:val="superscript"/>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54,907</w:t>
            </w:r>
          </w:p>
        </w:tc>
        <w:tc>
          <w:tcPr>
            <w:tcW w:w="30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54,907</w:t>
            </w:r>
          </w:p>
        </w:tc>
      </w:tr>
      <w:tr>
        <w:trPr>
          <w:trHeight w:val="236"/>
        </w:trPr>
        <w:tc>
          <w:tcPr>
            <w:tcW w:w="6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Notes offered hereby</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w:t>
            </w:r>
          </w:p>
        </w:tc>
        <w:tc>
          <w:tcPr>
            <w:tcW w:w="2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203"/>
        </w:trPr>
        <w:tc>
          <w:tcPr>
            <w:tcW w:w="6300" w:type="dxa"/>
            <w:vAlign w:val="bottom"/>
          </w:tcPr>
          <w:p>
            <w:pPr>
              <w:spacing w:after="0" w:line="203" w:lineRule="exact"/>
              <w:rPr>
                <w:sz w:val="20"/>
                <w:szCs w:val="20"/>
                <w:color w:val="auto"/>
              </w:rPr>
            </w:pPr>
            <w:r>
              <w:rPr>
                <w:rFonts w:ascii="Arial" w:cs="Arial" w:eastAsia="Arial" w:hAnsi="Arial"/>
                <w:sz w:val="18"/>
                <w:szCs w:val="18"/>
                <w:color w:val="auto"/>
              </w:rPr>
              <w:t>Total debt</w:t>
            </w:r>
          </w:p>
        </w:tc>
        <w:tc>
          <w:tcPr>
            <w:tcW w:w="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7"/>
              </w:rPr>
              <w:t>59,569</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6300" w:type="dxa"/>
            <w:vAlign w:val="bottom"/>
          </w:tcPr>
          <w:p>
            <w:pPr>
              <w:spacing w:after="0" w:line="201" w:lineRule="exact"/>
              <w:rPr>
                <w:sz w:val="20"/>
                <w:szCs w:val="20"/>
                <w:color w:val="auto"/>
              </w:rPr>
            </w:pPr>
            <w:r>
              <w:rPr>
                <w:rFonts w:ascii="Arial" w:cs="Arial" w:eastAsia="Arial" w:hAnsi="Arial"/>
                <w:sz w:val="18"/>
                <w:szCs w:val="18"/>
                <w:color w:val="auto"/>
              </w:rPr>
              <w:t>Common stock, par value $0.01 per share; 1.125 billion shares authorized;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300" w:type="dxa"/>
            <w:vAlign w:val="bottom"/>
          </w:tcPr>
          <w:p>
            <w:pPr>
              <w:ind w:left="180"/>
              <w:spacing w:after="0"/>
              <w:rPr>
                <w:sz w:val="20"/>
                <w:szCs w:val="20"/>
                <w:color w:val="auto"/>
              </w:rPr>
            </w:pPr>
            <w:r>
              <w:rPr>
                <w:rFonts w:ascii="Arial" w:cs="Arial" w:eastAsia="Arial" w:hAnsi="Arial"/>
                <w:sz w:val="18"/>
                <w:szCs w:val="18"/>
                <w:color w:val="auto"/>
              </w:rPr>
              <w:t>464 million shares issued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0"/>
                <w:szCs w:val="20"/>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3,349</w:t>
            </w:r>
          </w:p>
        </w:tc>
        <w:tc>
          <w:tcPr>
            <w:tcW w:w="3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3,349</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4,685</w:t>
            </w:r>
          </w:p>
        </w:tc>
        <w:tc>
          <w:tcPr>
            <w:tcW w:w="30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4,685</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(net of tax expense of $14)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Treasury stock at cost; 346 million shares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w w:val="94"/>
              </w:rPr>
              <w:t>(5,183)</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(5,183)</w:t>
            </w:r>
          </w:p>
        </w:tc>
      </w:tr>
      <w:tr>
        <w:trPr>
          <w:trHeight w:val="27"/>
        </w:trPr>
        <w:tc>
          <w:tcPr>
            <w:tcW w:w="6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2,898</w:t>
            </w:r>
          </w:p>
        </w:tc>
      </w:tr>
      <w:tr>
        <w:trPr>
          <w:trHeight w:val="223"/>
        </w:trPr>
        <w:tc>
          <w:tcPr>
            <w:tcW w:w="6300" w:type="dxa"/>
            <w:vAlign w:val="bottom"/>
          </w:tcPr>
          <w:p>
            <w:pPr>
              <w:spacing w:after="0"/>
              <w:rPr>
                <w:sz w:val="20"/>
                <w:szCs w:val="20"/>
                <w:color w:val="auto"/>
              </w:rPr>
            </w:pPr>
            <w:r>
              <w:rPr>
                <w:rFonts w:ascii="Arial" w:cs="Arial" w:eastAsia="Arial" w:hAnsi="Arial"/>
                <w:sz w:val="18"/>
                <w:szCs w:val="18"/>
                <w:b w:val="1"/>
                <w:bCs w:val="1"/>
                <w:color w:val="auto"/>
              </w:rPr>
              <w:t>Total capitalization</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62,467</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602"/>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2"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color w:val="auto"/>
        </w:rPr>
        <w:t>(1)</w:t>
        <w:tab/>
        <w:t>Long-term borrowings, excluding the notes offered hereby.</w:t>
      </w:r>
    </w:p>
    <w:p>
      <w:pPr>
        <w:spacing w:after="0" w:line="15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0840"/>
          </w:cols>
          <w:pgMar w:left="320" w:top="459" w:right="7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NOTES</w:t>
      </w:r>
    </w:p>
    <w:p>
      <w:pPr>
        <w:spacing w:after="0" w:line="229"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The following description is only a summary of certain provisions of the Indenture and the notes, copies of which are available upon request to us at the address set forth under “Where You Can Find More Information.” In this description, the term “Navient” refers only to Navient Corporation and not to any of its subsidiaries or affiliates. Certain capitalized terms used in this description but not defined below have the meanings assigned to them in the Indenture. We urge you to read the Indenture and the notes because they, and not this description, define your rights as holders of the notes.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Navient will issue the notes as a series of debt securities under a base indenture, dated as of July 18, 2014, between Navient, as the company, and The Bank of New York Mellon, as trustee (the “Trustee”), as supplemented by a supplemental indenture to be entered into between Navient and the Trustee. The term “Indenture” in this description of notes refers to the base indenture as supplemented by the supplemental indenture.</w:t>
      </w:r>
    </w:p>
    <w:p>
      <w:pPr>
        <w:spacing w:after="0" w:line="14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notes will mature on   , 2031. Interest (computed on the basis of a 360-day year consisting of twelve 30-day months) on the notes will accrue at the rate of % per year and will be payable semi-annually in arrears on each   and   , commencing on   , 20 ; interest payable on each interest payment date will include interest accrued from   , 2023, or from the most recent interest payment date to which interest has been paid or duly provided for.</w:t>
      </w:r>
    </w:p>
    <w:p>
      <w:pPr>
        <w:spacing w:after="0" w:line="18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Navient will make each interest payment to the holders of record of the notes on the immediately preceding   and   , as the case may be, commencing on   , 20 . The registered holder of a note will be treated as the owner of it for all purposes. Only registered holders will have rights under the Indenture.</w:t>
      </w:r>
    </w:p>
    <w:p>
      <w:pPr>
        <w:spacing w:after="0" w:line="184" w:lineRule="exact"/>
        <w:rPr>
          <w:sz w:val="20"/>
          <w:szCs w:val="20"/>
          <w:color w:val="auto"/>
        </w:rPr>
      </w:pPr>
    </w:p>
    <w:p>
      <w:pPr>
        <w:jc w:val="both"/>
        <w:ind w:left="120" w:right="400" w:firstLine="440"/>
        <w:spacing w:after="0" w:line="311" w:lineRule="auto"/>
        <w:rPr>
          <w:sz w:val="20"/>
          <w:szCs w:val="20"/>
          <w:color w:val="auto"/>
        </w:rPr>
      </w:pPr>
      <w:r>
        <w:rPr>
          <w:rFonts w:ascii="Arial" w:cs="Arial" w:eastAsia="Arial" w:hAnsi="Arial"/>
          <w:sz w:val="16"/>
          <w:szCs w:val="16"/>
          <w:color w:val="auto"/>
        </w:rPr>
        <w:t>The notes will be senior, unsecured obligations of Navient and will rank equally with all of Navient’s other existing and future unsecured and unsubordinated indebtedness. As of September 30, 2023, (i) we had an approximately $6.2 billion aggregate principal amount of unsecured senior indebtedness outstanding with which the notes will rank pari passu and (ii) our subsidiaries had no unsecured senior indebtedness outstanding.</w:t>
      </w:r>
    </w:p>
    <w:p>
      <w:pPr>
        <w:spacing w:after="0" w:line="149"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notes will be represented by Global Securities, which will be deposited with, or on behalf of, The Depository Trust Company (“DTC”), New York, New York, and registered in the name of DTC’s nominee. Each note represented by a Global Security is referred to herein as a “Book-Entry Note.”</w:t>
      </w:r>
    </w:p>
    <w:p>
      <w:pPr>
        <w:spacing w:after="0" w:line="184"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Indenture does not limit the amount of notes or other debt securities of Navient that may be issued under the Indenture. Navient may also at any time and from time to time, without notice to or consent of the holders, issue additional debt securities of the same tenor, coupon and other terms as the notes, (except for the issue date and public offering price) so that such debt securities and the notes offered pursuant to this prospectus supplement and the accompanying prospectus shall form a single series. References herein to the notes shall include (unless the context otherwise requires) any further notes issued as described in this paragraph.</w:t>
      </w:r>
    </w:p>
    <w:p>
      <w:pPr>
        <w:spacing w:after="0" w:line="188"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Unless otherwise provided and except with respect to Book-Entry Notes, principal of and premium, if any, and interest, if any, on the notes will be payable, and the transfer of notes will be registrable, at the Corporate Trust Office of the Trustee, except that, at the option of Navient, interest may be paid by mailing a check to the holder of the notes entitled thereto or, in accordance with arrangements satisfactory to the Trustee, at the option of the holder of the notes by wire transfer to an account designated by such holder.</w:t>
      </w:r>
    </w:p>
    <w:p>
      <w:pPr>
        <w:spacing w:after="0" w:line="18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For a description of payments of principal of, and premium, if any, and interest on, and transfer of, Book-Entry Notes and exchanges of Global Securities representing Book-Entry Notes, see “—Book-Entry, Delivery and Form.”</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20"/>
          </w:cols>
          <w:pgMar w:left="320" w:top="459" w:right="4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notes will be issued only in fully registered form without coupons only in denominations of $2,000 and in integral multiples of $1,000 in excess thereof.</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At any time on or after   2027, the Company may redeem on any one or more occasions all or a part of the notes upon no less than 10 nor more than 60 days’ notice, at the redemption prices (expressed as percentages of principal amount) set forth below plus accrued and unpaid interest thereon, if any, to, but excluding, the applicable redemption date (subject to the right of holders of the notes on the relevant record date to receive interest due on the relevant interest payment date occurring on or prior to the redemption date), if redeemed during the twelve-month period beginning on   of the years indicated below:</w:t>
      </w:r>
    </w:p>
    <w:p>
      <w:pPr>
        <w:spacing w:after="0" w:line="206"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4000" w:type="dxa"/>
            <w:vAlign w:val="bottom"/>
          </w:tcPr>
          <w:p>
            <w:pPr>
              <w:spacing w:after="0"/>
              <w:rPr>
                <w:sz w:val="20"/>
                <w:szCs w:val="20"/>
                <w:color w:val="auto"/>
              </w:rPr>
            </w:pPr>
            <w:r>
              <w:rPr>
                <w:rFonts w:ascii="Arial" w:cs="Arial" w:eastAsia="Arial" w:hAnsi="Arial"/>
                <w:sz w:val="14"/>
                <w:szCs w:val="14"/>
                <w:b w:val="1"/>
                <w:bCs w:val="1"/>
                <w:color w:val="auto"/>
              </w:rPr>
              <w:t>Year</w:t>
            </w:r>
          </w:p>
        </w:tc>
        <w:tc>
          <w:tcPr>
            <w:tcW w:w="3480" w:type="dxa"/>
            <w:vAlign w:val="bottom"/>
          </w:tcPr>
          <w:p>
            <w:pPr>
              <w:jc w:val="right"/>
              <w:ind w:right="115"/>
              <w:spacing w:after="0"/>
              <w:rPr>
                <w:sz w:val="20"/>
                <w:szCs w:val="20"/>
                <w:color w:val="auto"/>
              </w:rPr>
            </w:pPr>
            <w:r>
              <w:rPr>
                <w:rFonts w:ascii="Arial" w:cs="Arial" w:eastAsia="Arial" w:hAnsi="Arial"/>
                <w:sz w:val="14"/>
                <w:szCs w:val="14"/>
                <w:b w:val="1"/>
                <w:bCs w:val="1"/>
                <w:color w:val="auto"/>
              </w:rPr>
              <w:t>Percentage</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2028</w:t>
            </w:r>
          </w:p>
        </w:tc>
        <w:tc>
          <w:tcPr>
            <w:tcW w:w="34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2029 and thereafter</w:t>
            </w: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r>
    </w:tbl>
    <w:p>
      <w:pPr>
        <w:spacing w:after="0" w:line="20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Prior to   2027, the Company may redeem on any one or more occasions all or a part of the notes upon giving not less than 10 nor more than 60 days’ prior written notice, at a redemption price (expressed as a percentage of principal amount and rounded to three decimal places) equal to the greater of:</w:t>
      </w:r>
    </w:p>
    <w:p>
      <w:pPr>
        <w:spacing w:after="0" w:line="89" w:lineRule="exact"/>
        <w:rPr>
          <w:sz w:val="20"/>
          <w:szCs w:val="20"/>
          <w:color w:val="auto"/>
        </w:rPr>
      </w:pPr>
    </w:p>
    <w:p>
      <w:pPr>
        <w:ind w:left="1080" w:right="120" w:hanging="532"/>
        <w:spacing w:after="0" w:line="25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the sum of the present values of (x) the redemption price of the note at   2027 (such redemption price being set forth in the table appearing under the caption “—Optional Redemption” and (y) all required interest payments due on the note through   2027, discounted to the redemption date on a semi-annual basis (assuming a 360-day year consisting of twelve 30-day months) at the Treasury Rate plus   basis points less (b) interest accrued to the date of redemption, and</w:t>
      </w:r>
    </w:p>
    <w:p>
      <w:pPr>
        <w:spacing w:after="0" w:line="9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plus, in either case, accrued and unpaid interest thereon to the redemption date.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purposes of determining the optional redemption price, the following definitions are applicable:</w:t>
      </w:r>
    </w:p>
    <w:p>
      <w:pPr>
        <w:spacing w:after="0" w:line="225"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“Treasury Rate” means, with respect to any redemption date, the yield determined by the Company in accordance with the following two paragraphs.</w:t>
      </w:r>
    </w:p>
    <w:p>
      <w:pPr>
        <w:spacing w:after="0" w:line="170"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w:t>
      </w:r>
    </w:p>
    <w:p>
      <w:pPr>
        <w:spacing w:after="0" w:line="83" w:lineRule="exact"/>
        <w:rPr>
          <w:sz w:val="20"/>
          <w:szCs w:val="20"/>
          <w:color w:val="auto"/>
        </w:rPr>
      </w:pPr>
    </w:p>
    <w:p>
      <w:pPr>
        <w:ind w:left="1080" w:right="40" w:hanging="532"/>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yield for the Treasury constant maturity on H.15 exactly equal to the period from the redemption date to    2027 (the “Remaining Life”); or</w:t>
      </w:r>
    </w:p>
    <w:p>
      <w:pPr>
        <w:spacing w:after="0" w:line="75"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2027 on a straight-line basis (using the actual number of days) using such yields and rounding the result to three decimal places; or</w:t>
      </w:r>
    </w:p>
    <w:p>
      <w:pPr>
        <w:spacing w:after="0" w:line="92"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there is no such Treasury constant maturity on H.15 shorter than or longer than the Remaining Life, the yield for the single Treasury constant maturity on H.15 closest to the Remaining Life.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060"/>
          </w:cols>
          <w:pgMar w:left="320" w:top="459" w:right="51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4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2027, as applicable. If there is no United States Treasury security maturing on    2027 but there are two or more United States Treasury securities with a maturity date equally distant from    2027 one with a maturity date preceding     2027 and one with a maturity date following    2027, the Company shall select the United States Treasury security with a maturity date preceding    2027. If there are two or more United States Treasury securities maturing on    2027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7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Company’s actions and determinations in determining the redemption price shall be conclusive and binding for all purposes, absent manifest error. The Company will notify the Trustee of the redemption price promptly after the calculation thereof, and the Trustee may rely upon the redemption price contained in any such notice and the Trustee shall not be responsible for, or be liable in connection with, the calculation of such redemption price (or any component thereof) or for determining whether manifest error has occurred.</w:t>
      </w:r>
    </w:p>
    <w:p>
      <w:pPr>
        <w:spacing w:after="0" w:line="18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Notice of any redemption will be mailed or electronically delivered (or otherwise transmitted in accordance with the depositary’s procedures) at least 10 days but not more than 60 days before the redemption date to each holder of notes to be redeemed.</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the case of a partial redemption, selection of the notes for redemption will be made pro rata, by lot or by such other method as the Trustee in its sole discretion deems appropriate and fair.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w:t>
      </w:r>
    </w:p>
    <w:p>
      <w:pPr>
        <w:spacing w:after="0" w:line="192"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Unless the Company defaults in payment of the redemption price, on and after the redemption date interest will cease to accrue on the notes or portions thereof called for redemption.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Repurchase Upon a Change of Control</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If a Change of Control Triggering Event occurs, unless we have exercised our right, if any, to redeem the notes in full, we will offer (the “Change of Control Offer”) to repurchase any and all of each holder’s notes (equal to $2,000 or an integral multiple of $1,000 above that amount) at a repurchase price in cash equal to 101% of the aggregate principal amount of the notes repurchased plus accrued and unpaid interest, if any, thereon, to, but not including, the date of repurchase (the “Change of Control Payment”). Within 30 days following any Change of Control Triggering Event, we will be required to mail a notice to holders, with a copy to the trustee, describing the transaction or transactions that constitute the Change of Control Triggering Event and offering to</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00"/>
          </w:cols>
          <w:pgMar w:left="320" w:top="459" w:right="4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repurchase the notes on the date specified in the notice, which date will be no less than 30 days and no more than 60 days from the date such notice is mailed (the “Change of Control Payment Date”), pursuant to the procedures described in such notice.</w:t>
      </w:r>
    </w:p>
    <w:p>
      <w:pPr>
        <w:spacing w:after="0" w:line="170"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We must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Change of Control repurchase provisions of the notes, we will be required to comply with the applicable securities laws and regulations and will not be deemed to have breached our obligations under the Change of Control repurchase provisions of the notes by virtue of such conflicts.</w:t>
      </w:r>
    </w:p>
    <w:p>
      <w:pPr>
        <w:spacing w:after="0" w:line="18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will not be required to offer to repurchase the notes upon the occurrence of a Change of Control Triggering Event if a third party makes such an offer in the manner, at the times and otherwise in compliance with the requirements for an offer made by us and the third party repurchases on the applicable date all notes properly tendered and not withdrawn under its offer; provided that for all purposes of the notes and the Indenture governing the notes, a failure by such third party to comply with the requirements of such offer and to complete such offer shall be treated as a failure by us to comply with our obligations to offer to repurchase the notes unless we promptly make an offer to repurchase the notes at 101% of the principal amount thereof plus accrued and unpaid interest, if any, thereon, to, but not including, the date of repurchase, which shall be no later than 30 days after the third party’s scheduled Change of Control Payment Date.</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the Change of Control Payment Date, we will be required, to the extent lawful, to:</w:t>
      </w:r>
    </w:p>
    <w:p>
      <w:pPr>
        <w:spacing w:after="0" w:line="131"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accept or cause a third party to accept for payment all notes properly tendered pursuant to the Change of Control Offer;</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deposit or cause a third party to deposit with the paying agent an amount equal to the Change of Control Payment in respect of all notes properly tendered; and</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principal amount of notes being repurchased.</w:t>
      </w:r>
    </w:p>
    <w:p>
      <w:pPr>
        <w:spacing w:after="0" w:line="170"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If holders of not less than 90% in aggregate principal amount of the outstanding notes validly tender and do not withdraw such notes in a Change of Control Offer and we, or any third party making a Change of Control Offer in lieu of us as described above, purchases all of the notes validly tendered and not withdrawn by such holders, we or such third party will have the right, upon not less than 10 days nor more than 60 days’ prior notice, provided that such notice is given not more than 30 days following such purchase pursuant to the Change of Control Offer described above, to redeem all notes that remain outstanding following such purchase on a date (the “Second Change of Control Payment Date”) at a price in cash equal to the applicable Change of Control Payment in respect of the Second Change of Control Payment Date.</w:t>
      </w:r>
    </w:p>
    <w:p>
      <w:pPr>
        <w:spacing w:after="0" w:line="178"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The definition of Change of Control includes a phrase relating to the direct or indirect sale, lease, transfer, conveyance or other disposition of “all or substantially all” of the properties or assets of Navient and its subsidiaries taken as a whole. Although there is a limited body of case law interpreting the phrase “substantially all,” there is no precise, established definition of the phrase under applicable law. Accordingly, the applicability of the requirement that we offer to repurchase the notes as a result of a sale, lease, transfer, conveyance or other disposition of less than all of the assets of Navient and its subsidiaries taken as a whole to another Person (as defined in the Indenture governing the notes) or group may be uncertain.</w:t>
      </w:r>
    </w:p>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060"/>
          </w:cols>
          <w:pgMar w:left="320" w:top="459" w:right="51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purposes of the foregoing discussion of the applicable Change of Control provisions, the following definitions are applicable:</w:t>
      </w:r>
    </w:p>
    <w:p>
      <w:pPr>
        <w:spacing w:after="0" w:line="225"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“Board of Directors” means the board of directors or comparable governing body of Navient Corporation; provided that if Navient Corporation is a wholly-owned subsidiary of another person, the Board of Directors means the board of directors or comparable governing body of such person.</w:t>
      </w:r>
    </w:p>
    <w:p>
      <w:pPr>
        <w:spacing w:after="0" w:line="124"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“Change of Control” means the occurrence of any of the following: (1) direct or indirect sale, transfer, conveyance or other disposition (other than by way of merger or consolidation), in one or a series of related transactions, of all or substantially all of the properties or assets of Navient Corporation and its subsidiaries taken as a whole to any “person” (as that term is used in Section 13(d)(3) of the Exchange Act) other than to Navient Corporation or one of its subsidiaries; (2) the consummation of any transaction (including, without limitation, any merger or consolidation) the result of which is that any “person” (as that term is used in Section 13(d)(3) of the Exchange Act) other than Navient Corporation or one of its subsidiaries becomes the beneficial owner, directly or indirectly, of more than 50% of the then-outstanding number of shares of Navient Corporation’s voting stock; (3) Navient Corporation consolidates with, or merges with or into, any “person” (as that term is used in Section 13(d)(3) of the Exchange Act), or any “person” (as that term is used in Section 13(d)(3) of the Exchange Act) consolidates with, or merges with or into, Navient Corporation, in any such event pursuant to a transaction in which any of the outstanding voting stock of Navient Corporation or such other “person” (as that term is used in Section 13(d)(3) of the Exchange Act) is converted into or exchanged for cash, securities or other property, other than any such transaction where the shares of the voting stock of Navient Corporation outstanding immediately prior to such transaction constitute, or are converted into or exchanged for, a majority of the voting stock of the surviving “person” (as that term is used in Section 13(d)(3) of the Exchange Act) immediately after giving effect to such transaction; (4) the first day on which a majority of the members of Navient Corporation’s Board of Directors are not Continuing Directors; or (5) the adoption of a plan relating to the liquidation or dissolution of Navient Corporation; provided, however, that a transaction will not be deemed to involve a Change of Control if (A) we become a wholly owned subsidiary of a holding company and (B) (x) the holders of the voting stock of such holding company immediately following that transaction are substantially the same as the holders of Navient Corporation’s voting stock immediately prior to that transaction or (y) no person (other than a holding company satisfying the requirements of this sentence) becomes the beneficial owner of more than 50% of the then-outstanding number of shares of the voting stock of such holding company. For purposes of this definition, “voting stock” means capital stock or other equity interests of any class or kind the holders of which are ordinarily, in the absence of contingencies, entitled to vote for the election of directors (or persons performing similar functions) of Navient Corporation or the applicable holding company, even if the right to vote has been suspended by the happening of such a contingency.</w:t>
      </w:r>
    </w:p>
    <w:p>
      <w:pPr>
        <w:spacing w:after="0" w:line="39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“Change of Control Triggering Event” means the occurrence of both (i) a Change of Control and (ii) a Ratings Downgrade Event.</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“Continuing Directors” means, as of any date of determination, any member of the Board of Directors of Navient Corporation who (1) was a member of the Board of Directors of Navient Corporation on the date of the issuance of the notes; or (2) was nominated for election or elected to the Board of Directors of Navient Corporation with the approval of a majority of the Continuing Directors who were members of such Board of Directors of Navient Corporation at the time of such nomination or election (either by specific vote or by approval of Navient Corporation’s proxy statement in which such member was named as a nominee for election as a director).</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“Fitch” means Fitch Ratings, Inc., or any successor rating agency.</w:t>
      </w:r>
    </w:p>
    <w:p>
      <w:pPr>
        <w:spacing w:after="0" w:line="225"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“Investment Grade Rating” means a rating by Moody’s equal to or higher than Baa3 (or the equivalent under a successor rating category of Moody’s), a rating by S&amp;P equal to or higher than BBB- (or the equivalent under any successor rating category of S&amp;P), a rating by Fitch equal to or higher than BBB- (or the equivalent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00"/>
          </w:cols>
          <w:pgMar w:left="320" w:top="459" w:right="4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under any successor rating category of Fitch), and the equivalent investment grade credit rating from any replacement rating agency or rating agencies selected by us under the circumstances permitting us to select a replacement agency and in the manner for selecting a replacement agency, in each case as set forth in the definition of “Rating Agencies.”</w:t>
      </w:r>
    </w:p>
    <w:p>
      <w:pPr>
        <w:spacing w:after="0" w:line="18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“Moody’s” means Moody’s Investors Service, Inc., or any successor rating agency. “Navient Corporation” means Navient Corporation, or any successor.</w:t>
      </w:r>
    </w:p>
    <w:p>
      <w:pPr>
        <w:spacing w:after="0" w:line="170"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“Rating Agencies” means (1) Moody’s, S&amp;P and Fitch; and (2) if any or all of Moody’s, S&amp;P or Fitch ceases to rate the notes or fails to make a rating of the notes publicly available for reasons outside of our control, a “nationally recognized statistical rating organization” within the meaning of Section 3(a)(62) under the Exchange Act, that we select (pursuant to a resolution of the Board of Directors) as a replacement agency for any of Moody’s, S&amp;P or Fitch, or all of them, as the case may be.</w:t>
      </w:r>
    </w:p>
    <w:p>
      <w:pPr>
        <w:spacing w:after="0" w:line="18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“Ratings Downgrade Event” means, on any date during the Trigger Period, the notes being downgraded by at least one modifier (a modifier being plus, neutral or minus for S&amp;P or Fitch, 1, 2 or 3 for Moody’s and a similar modifier by any other Rating Agency) by any two of the three Rating Agencies from the rating on the notes by each such Rating Agency on the date prior to the first day of the Trigger Period; provided that no Ratings Downgrade Event shall be deemed to occur, if either (i) the rating on the notes by each Rating Agency that downgraded its rating is an Investment Grade Rating after the downgrade or (ii) in respect of a particular Change of Control, the Rating Agency or Agencies (as applicable) that downgraded the notes announce or confirm or inform the Trustee in writing that the reduction was not the result, in whole or in part, of any event or circumstance comprised of, or arising as a result of, or in respect of, the applicable Change of Control.</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“S&amp;P” means S&amp;P Global Ratings, or any successor rating agency.</w:t>
      </w:r>
    </w:p>
    <w:p>
      <w:pPr>
        <w:spacing w:after="0" w:line="225"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“Trigger Period” means the period commencing one day prior to the first public announcement by Navient Corporation of a Change of Control or an arrangement that could result in a Change of Control and ending 60 days following consummation of the Change of Control (which period will be extended following consummation of a Change of Control for so long as the rating of the notes is under announced consideration for possible downgrade by any of the Rating Agencies as the result, in whole or in part, of any event or circumstance comprised of, or arising as a result of, or in respect of, the applicable Change of Control).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Indenture will contain certain covenants, including, among others, those described below. Except as set forth below, Navient will not be restricted by the Indenture from incurring any type of indebtedness or other obligation, from paying dividends or making distributions on its capital stock or from purchasing or redeeming its capital stock. In addition, except as described under “—Repurchase Upon a Change of Control,” the Indenture will not contain any provisions that would require Navient to repurchase or redeem or otherwise modify the terms of any of the notes upon a change in control or other events involving Navient which may adversely affect the creditworthiness of the notes. The Indenture will not restrict the ability of Navient or its subsidiaries to transfer assets to and among Navient’s subsidiaries.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 Consolidation and Sale of Assets</w:t>
      </w:r>
    </w:p>
    <w:p>
      <w:pPr>
        <w:spacing w:after="0" w:line="121"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Navient will not consolidate or merge with or into any other entity, or sell, convey, transfer or lease all or substantially all its assets to another entity, unless:</w:t>
      </w:r>
    </w:p>
    <w:p>
      <w:pPr>
        <w:spacing w:after="0" w:line="76" w:lineRule="exact"/>
        <w:rPr>
          <w:sz w:val="20"/>
          <w:szCs w:val="20"/>
          <w:color w:val="auto"/>
        </w:rPr>
      </w:pPr>
    </w:p>
    <w:p>
      <w:pPr>
        <w:ind w:left="1080" w:right="160" w:hanging="424"/>
        <w:spacing w:after="0" w:line="311"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either Navient shall be the continuing entity, or the successor, transferee or lessee entity (if other than Navient) shall be organized and existing under the laws of the United States or any state thereof and expressly assume prior to or simultaneously with such consolidation, merger, sale, conveyance, transfer or lease, all obligations under the Indenture and the notes to be performed or observed by Navient;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20"/>
          </w:cols>
          <w:pgMar w:left="320" w:top="459" w:right="4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immediately after such consolidation, merger, sale, conveyance, transfer or lease Navient or the successor, transferee or lessee entity would not be in default in the performance of any covenant or condition of the Indenture; and</w:t>
      </w:r>
    </w:p>
    <w:p>
      <w:pPr>
        <w:spacing w:after="0" w:line="75"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Navient shall have delivered to the Trustee an officer’s certificate and an opinion of counsel, each stating that such consolidation, merger, conveyance or transfer and such supplemental indenture comply with the relevant section of the Indenture and that all conditions precedent provided for relating to such transaction have been complied with.</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 Event of Default with respect to the notes is defined as follows:</w:t>
      </w:r>
    </w:p>
    <w:p>
      <w:pPr>
        <w:spacing w:after="0" w:line="131"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pay interest on the notes, which continues for 30 days;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pay principal of or premium, if any, on the notes at maturity, redemption, acceleration or otherwise;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pay sinking fund installment, if any, which continues for 30 days;</w:t>
      </w:r>
    </w:p>
    <w:p>
      <w:pPr>
        <w:spacing w:after="0" w:line="130"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perform or breach of any covenant of Navient in the Indenture (other than a default in the performance or breach of a covenant included in the Indenture solely for the benefit of debt securities of Navient other than the notes offered pursuant to this prospectus supplement), which continues for 90 days after written notice has been given to Navient by the Trustee or to Navient and the Trustee by the holders of at least 25% in aggregate principal amount of the notes then outstanding; and</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of Navient.</w:t>
      </w:r>
    </w:p>
    <w:p>
      <w:pPr>
        <w:spacing w:after="0" w:line="225"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The Indenture provides that, if any Event of Default with respect to the notes occurs and is continuing, either the Trustee or the holders of not less than 25% in principal amount of the notes then outstanding may declare the principal amount of (and all accrued and unpaid interest and premium, if any, on) all notes to be due and payable immediately, but under certain conditions such declaration may be rescinded and annulled and past defaults (except, unless theretofore cured, a default in payment of principal of or premium, if any, or interest, if any, on the notes and certain other specified defaults) may be waived by the holders of not less than a majority in principal amount of the notes on behalf of the holders of all the notes.</w:t>
      </w:r>
    </w:p>
    <w:p>
      <w:pPr>
        <w:spacing w:after="0" w:line="16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Within 90 days after the occurrence of a default, and if known to the Trustee, the Trustee shall give notice to the holders of the notes of the default, unless such default shall have been cured or waived before the giving of such notice. Except in the case of a default in payment of the principal of, premium, if any, or interest on the notes, the Trustee shall be protected in withholding such notice, if the Trustee in good faith determines that the withholding of such notice is in the interests of the holders. For purposes of the provision described in this paragraph, the term default with respect to any notes means any event which is, or after notice or lapse of time or both, would become an “Event of Default” specified in the Indenture with respect to the notes.</w:t>
      </w:r>
    </w:p>
    <w:p>
      <w:pPr>
        <w:spacing w:after="0" w:line="192"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The Trustee is required, during an Event of Default, to act with the standard of care provided in the Trust Indenture Act of 1939, as amended (the “Trust Indenture Act”). The Indenture provides that the holders of a majority in principal amount of the notes may direct the time, method and place of conducting any proceeding for any remedy available to the Trustee, or exercising any trust or power conferred on the Trustee with respect to the notes. However, the Indenture contains a provision entitling the Trustee to be indemnified to its satisfaction by holders of the notes before proceeding to exercise any right or power vested in it under the Indenture at the request or direction of the holders of the notes. The terms of the indemnification required by the Trustee will depend on the nature of the right or power requested or directed to be exercised by the holders and the circumstances that exist at that time. Generally, the Trustee would expect to be fully protected for all actions.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20"/>
          </w:cols>
          <w:pgMar w:left="320" w:top="459" w:right="4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Modifications and amendments may be made by Navient and the Trustee to the Indenture, without the consent of any holder of the notes, to, among other things:</w:t>
      </w:r>
    </w:p>
    <w:p>
      <w:pPr>
        <w:spacing w:after="0" w:line="76"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add to the covenants and agreements of Navient and to add Events of Default, in each case for the protection or benefit of the holders;</w:t>
      </w:r>
    </w:p>
    <w:p>
      <w:pPr>
        <w:spacing w:after="0" w:line="153" w:lineRule="exact"/>
        <w:rPr>
          <w:rFonts w:ascii="Arial" w:cs="Arial" w:eastAsia="Arial" w:hAnsi="Arial"/>
          <w:sz w:val="16"/>
          <w:szCs w:val="16"/>
          <w:color w:val="auto"/>
        </w:rPr>
      </w:pPr>
    </w:p>
    <w:p>
      <w:pPr>
        <w:ind w:left="1080" w:right="58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evidence the succession of another corporation to Navient, or successive successions, and the assumption by such successor of the covenants and obligations of Navient;</w:t>
      </w:r>
    </w:p>
    <w:p>
      <w:pPr>
        <w:spacing w:after="0" w:line="75" w:lineRule="exact"/>
        <w:rPr>
          <w:rFonts w:ascii="Arial" w:cs="Arial" w:eastAsia="Arial" w:hAnsi="Arial"/>
          <w:sz w:val="18"/>
          <w:szCs w:val="18"/>
          <w:color w:val="auto"/>
        </w:rPr>
      </w:pPr>
    </w:p>
    <w:p>
      <w:pPr>
        <w:jc w:val="both"/>
        <w:ind w:left="1080" w:right="320" w:hanging="424"/>
        <w:spacing w:after="0" w:line="342"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evidence and provide for the acceptance of appointment under the Indenture by a successor Trustee and to add to or change any of the provisions of the Indenture as shall be necessary for or facilitate the administration of the trusts thereunder by more than one Trustee;</w:t>
      </w:r>
    </w:p>
    <w:p>
      <w:pPr>
        <w:spacing w:after="0" w:line="29" w:lineRule="exact"/>
        <w:rPr>
          <w:rFonts w:ascii="Arial" w:cs="Arial" w:eastAsia="Arial" w:hAnsi="Arial"/>
          <w:sz w:val="16"/>
          <w:szCs w:val="16"/>
          <w:color w:val="auto"/>
        </w:rPr>
      </w:pPr>
    </w:p>
    <w:p>
      <w:pPr>
        <w:ind w:left="1080" w:right="26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secure the notes or to add guarantors or co-obligors with respect to the notes or release guarantors from their guarantees of the notes in accordance with the terms of the notes;</w:t>
      </w:r>
    </w:p>
    <w:p>
      <w:pPr>
        <w:spacing w:after="0" w:line="75"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cure any ambiguity or inconsistency or to correct or supplement any provision contained in the Indenture which may be defective or inconsistent with any other provision in the Indenture or to conform the terms in the Indenture to the description of the terms of the notes in the prospectus supplement;</w:t>
      </w:r>
    </w:p>
    <w:p>
      <w:pPr>
        <w:spacing w:after="0" w:line="89"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 to or change or eliminate any provision of the Indenture as shall be necessary or desirable in accordance with any amendments to the Trust Indenture Act;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any change that does not adversely affect in any material respect the interests of the holders of the notes;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for uncertificated securities in addition to certificated securities; or</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permit or facilitate the defeasance and discharge of the notes provided that any such action shall not adversely affect the interests of the holders of the notes or any other series of securities issued under the Indenture.</w:t>
      </w:r>
    </w:p>
    <w:p>
      <w:pPr>
        <w:spacing w:after="0" w:line="170"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Indenture contains provisions permitting Navient and the Trustee, with the consent of the holders of a majority in aggregate in principal amount of the notes then outstanding to execute supplemental indentures adding any provisions to or changing or eliminating any of the provisions of the Indenture or modifying the rights of the holders of the notes, except that no such supplemental indenture may, without the consent of the holder of each note affected thereby:</w:t>
      </w:r>
    </w:p>
    <w:p>
      <w:pPr>
        <w:spacing w:after="0" w:line="92" w:lineRule="exact"/>
        <w:rPr>
          <w:sz w:val="20"/>
          <w:szCs w:val="20"/>
          <w:color w:val="auto"/>
        </w:rPr>
      </w:pPr>
    </w:p>
    <w:p>
      <w:pPr>
        <w:ind w:left="1080" w:hanging="424"/>
        <w:spacing w:after="0" w:line="263"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extend the stated maturity of the principal of, or any installment of interest on, the notes, or reduce the principal amount thereof or interest thereon or any premium payable on redemption of the notes or change the currency in which the principal of and premium, if any, or interest on the notes is denominated or payable;</w:t>
      </w:r>
    </w:p>
    <w:p>
      <w:pPr>
        <w:spacing w:after="0" w:line="89"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 the percentage in principal amount of the notes, the consent of whose holders is required for any supplemental indenture or for waiver of compliance with certain provisions of the Indenture or certain defaults thereunder;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reduce the percentage of holders of the notes required to consent to any waiver of defaults, covenants or supplemental indentures; or</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modify, without the written consent of the Trustee, the rights, duties or immunities of the Trustee.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holders of a majority in aggregate principal amount of the outstanding notes may, on behalf of all the holders of all notes:</w:t>
      </w:r>
    </w:p>
    <w:p>
      <w:pPr>
        <w:spacing w:after="0" w:line="131" w:lineRule="exact"/>
        <w:rPr>
          <w:sz w:val="20"/>
          <w:szCs w:val="20"/>
          <w:color w:val="auto"/>
        </w:rPr>
      </w:pPr>
    </w:p>
    <w:p>
      <w:pPr>
        <w:ind w:left="5460" w:right="1880" w:hanging="4804"/>
        <w:spacing w:after="0" w:line="449" w:lineRule="auto"/>
        <w:tabs>
          <w:tab w:leader="none" w:pos="1094" w:val="left"/>
        </w:tabs>
        <w:numPr>
          <w:ilvl w:val="0"/>
          <w:numId w:val="15"/>
        </w:numPr>
        <w:rPr>
          <w:rFonts w:ascii="Arial" w:cs="Arial" w:eastAsia="Arial" w:hAnsi="Arial"/>
          <w:sz w:val="18"/>
          <w:szCs w:val="18"/>
          <w:color w:val="auto"/>
        </w:rPr>
      </w:pPr>
      <w:r>
        <w:rPr>
          <w:rFonts w:ascii="Arial" w:cs="Arial" w:eastAsia="Arial" w:hAnsi="Arial"/>
          <w:sz w:val="18"/>
          <w:szCs w:val="18"/>
          <w:color w:val="auto"/>
        </w:rPr>
        <w:t>waive compliance by Navient with certain restrictive provisions of the Indenture, as detailed in the Indenture; or S-17</w:t>
      </w:r>
    </w:p>
    <w:p>
      <w:pPr>
        <w:sectPr>
          <w:pgSz w:w="11900" w:h="16838" w:orient="portrait"/>
          <w:cols w:equalWidth="0" w:num="1">
            <w:col w:w="11040"/>
          </w:cols>
          <w:pgMar w:left="320" w:top="459" w:right="5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40" w:hanging="424"/>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waive any past default or event of default under the Indenture and its consequences, except a default or event of default in the payment of any amount due with respect to any note, or in respect of any provision which under the Indenture cannot be modified or amended without the consent of the holder of each outstanding note affected.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Satisfaction and Discharge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Indenture will cease to be of further effect if:</w:t>
      </w:r>
    </w:p>
    <w:p>
      <w:pPr>
        <w:spacing w:after="0" w:line="131" w:lineRule="exact"/>
        <w:rPr>
          <w:sz w:val="20"/>
          <w:szCs w:val="20"/>
          <w:color w:val="auto"/>
        </w:rPr>
      </w:pPr>
    </w:p>
    <w:p>
      <w:pPr>
        <w:ind w:left="1080" w:right="280" w:hanging="424"/>
        <w:spacing w:after="0" w:line="308" w:lineRule="auto"/>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all notes (other than destroyed, lost or stolen notes which have been replaced or paid and notes, the payment for which has been held in trust and thereafter repaid to Navient or discharged from such trust) have been delivered to the Trustee for cancellation; or</w:t>
      </w:r>
    </w:p>
    <w:p>
      <w:pPr>
        <w:spacing w:after="0" w:line="51" w:lineRule="exact"/>
        <w:rPr>
          <w:rFonts w:ascii="Arial" w:cs="Arial" w:eastAsia="Arial" w:hAnsi="Arial"/>
          <w:sz w:val="17"/>
          <w:szCs w:val="17"/>
          <w:color w:val="auto"/>
        </w:rPr>
      </w:pPr>
    </w:p>
    <w:p>
      <w:pPr>
        <w:ind w:left="1080" w:right="140" w:hanging="424"/>
        <w:spacing w:after="0" w:line="25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notes not previously delivered to the Trustee for cancellation have become due and payable or are by their terms to become due and payable at their stated maturity within one year or, if redeemable at the option of Navient, are to be called for redemption within one year under arrangements satisfactory to the Trustee and Navient has deposited with the Trustee, as trust funds, an amount sufficient to pay and discharge the entire indebtedness on the notes for principal and any premium and interest to the date of such deposit or to maturity or redemption, as the case may be.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Such trust may only be established if:</w:t>
      </w:r>
    </w:p>
    <w:p>
      <w:pPr>
        <w:spacing w:after="0" w:line="131"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Navient has paid or caused to be paid all other sums payable by Navient under the Indenture; and</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Navient has delivered to the Trustee an officer’s certificate and an opinion of counsel, each stating that all conditions precedent provided for in the Indenture relating to the satisfaction and discharge of the Indenture have been complied with.</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Indenture provides that the terms of the notes may provide Navient with the option to discharge its indebtedness represented by such notes or to cease to be obligated to comply with certain covenants under the Indenture. Navient, in order to exercise such option, will be required to deposit with the Trustee money and/or U.S. government obligations which, through the payment of interest and principal in respect thereof in accordance with their terms, will provide money in an amount sufficient to pay the principal of and premium, if any, and interest on, the notes at the stated maturity of such payments in accordance with the terms of the Indenture and such notes.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Such trust may only be established if:</w:t>
      </w:r>
    </w:p>
    <w:p>
      <w:pPr>
        <w:spacing w:after="0" w:line="131" w:lineRule="exact"/>
        <w:rPr>
          <w:sz w:val="20"/>
          <w:szCs w:val="20"/>
          <w:color w:val="auto"/>
        </w:rPr>
      </w:pPr>
    </w:p>
    <w:p>
      <w:pPr>
        <w:ind w:left="1080" w:hanging="424"/>
        <w:spacing w:after="0" w:line="263"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 default or event that with notice or lapse of time or both would become an event of default shall have occurred and be continuing on the date of such deposit (other than a default resulting from the borrowing of funds and the grant of any related liens to be applied to such deposit);</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Navient has delivered to the Trustee:</w:t>
      </w:r>
    </w:p>
    <w:p>
      <w:pPr>
        <w:spacing w:after="0" w:line="130" w:lineRule="exact"/>
        <w:rPr>
          <w:rFonts w:ascii="Arial" w:cs="Arial" w:eastAsia="Arial" w:hAnsi="Arial"/>
          <w:sz w:val="18"/>
          <w:szCs w:val="18"/>
          <w:color w:val="auto"/>
        </w:rPr>
      </w:pPr>
    </w:p>
    <w:p>
      <w:pPr>
        <w:ind w:left="1080" w:hanging="424"/>
        <w:spacing w:after="0" w:line="286" w:lineRule="auto"/>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 opinion of counsel, stating that the holders of the notes will not recognize income, gain or loss for U.S. federal income tax purposes as a result of Navient’s exercise of this defeasance option and will be subject to U.S. federal income tax on the same amounts and in the same manner and at the same times as would have been the case if Navient had not exercised this option; and</w:t>
      </w:r>
    </w:p>
    <w:p>
      <w:pPr>
        <w:spacing w:after="0" w:line="70" w:lineRule="exact"/>
        <w:rPr>
          <w:rFonts w:ascii="Arial" w:cs="Arial" w:eastAsia="Arial" w:hAnsi="Arial"/>
          <w:sz w:val="17"/>
          <w:szCs w:val="17"/>
          <w:color w:val="auto"/>
        </w:rPr>
      </w:pPr>
    </w:p>
    <w:p>
      <w:pPr>
        <w:ind w:left="1080" w:right="16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the case of the notes being discharged, accompanied by a ruling to that effect received from or published by the U.S. Internal Revenue Service (the “IRS”).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Trustee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Trustee may resign or be removed with respect to the notes and a successor trustee may be appointed to act with respect to such notes.</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00"/>
          </w:cols>
          <w:pgMar w:left="320" w:top="459" w:right="4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Delivery and Form</w:t>
      </w:r>
    </w:p>
    <w:p>
      <w:pPr>
        <w:spacing w:after="0" w:line="121"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The notes will be represented by one or more permanent global notes in definitive, fully registered form without interest coupons. Upon issuance, the notes will be deposited with The Bank of New York Mellon, as Trustee, as custodian for DTC, and registered in the name of DTC or its nominee.</w:t>
      </w:r>
    </w:p>
    <w:p>
      <w:pPr>
        <w:spacing w:after="0" w:line="124" w:lineRule="exact"/>
        <w:rPr>
          <w:sz w:val="20"/>
          <w:szCs w:val="20"/>
          <w:color w:val="auto"/>
        </w:rPr>
      </w:pPr>
    </w:p>
    <w:p>
      <w:pPr>
        <w:jc w:val="both"/>
        <w:ind w:left="120" w:right="80" w:firstLine="440"/>
        <w:spacing w:after="0" w:line="259" w:lineRule="auto"/>
        <w:rPr>
          <w:sz w:val="20"/>
          <w:szCs w:val="20"/>
          <w:color w:val="auto"/>
        </w:rPr>
      </w:pPr>
      <w:r>
        <w:rPr>
          <w:rFonts w:ascii="Arial" w:cs="Arial" w:eastAsia="Arial" w:hAnsi="Arial"/>
          <w:sz w:val="18"/>
          <w:szCs w:val="18"/>
          <w:color w:val="auto"/>
        </w:rPr>
        <w:t>Ownership of beneficial interests in a global note will be limited to persons who have accounts with DTC, which we refer to as “participants,” or persons who hold interests through participants. Ownership of beneficial interests in a global note will be shown on, and the transfer of that ownership will be effected only through, records maintained by DTC or its nominee (with respect to interests of participants) and the records of participants (with respect to interests of persons other than participants).</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So long as DTC, or its nominee, is the registered owner or holder of any of the notes, DTC or that nominee as the case may be, will be considered the sole owner or holder of such notes represented by the global note for all purposes under the Indenture and the notes. No beneficial owner of an interest in a global note will be able to transfer such interest except in accordance with DTC’s applicable procedures, in addition to those provided for under the Indenture.</w:t>
      </w:r>
    </w:p>
    <w:p>
      <w:pPr>
        <w:spacing w:after="0" w:line="18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Payments of the principal of, and interest on, a global note will be made to DTC or its nominee, as the case may be, as the registered owner thereof. None of the Trustee, any paying agent, or we, or any of their or our agents, will have any responsibility or liability for any aspect of the records relating to or payments made on account of beneficial ownership interests in a global note or for maintaining, supervising or reviewing any records relating to such beneficial ownership interests.</w:t>
      </w:r>
    </w:p>
    <w:p>
      <w:pPr>
        <w:spacing w:after="0" w:line="187" w:lineRule="exact"/>
        <w:rPr>
          <w:sz w:val="20"/>
          <w:szCs w:val="20"/>
          <w:color w:val="auto"/>
        </w:rPr>
      </w:pPr>
    </w:p>
    <w:p>
      <w:pPr>
        <w:ind w:left="120" w:right="300" w:firstLine="440"/>
        <w:spacing w:after="0" w:line="296" w:lineRule="auto"/>
        <w:rPr>
          <w:sz w:val="20"/>
          <w:szCs w:val="20"/>
          <w:color w:val="auto"/>
        </w:rPr>
      </w:pPr>
      <w:r>
        <w:rPr>
          <w:rFonts w:ascii="Arial" w:cs="Arial" w:eastAsia="Arial" w:hAnsi="Arial"/>
          <w:sz w:val="16"/>
          <w:szCs w:val="16"/>
          <w:color w:val="auto"/>
        </w:rPr>
        <w:t>We expect that DTC or its nominee, upon receipt of any payment of principal or interest in respect of a global note, will credit participants’ accounts with payments in amounts proportionate to their respective beneficial interests in the principal amount of such global note as shown on the records of DTC or its nominee. We also expect that payments by participants to owners of beneficial interests in such global note held through such participants will be governed by standing instructions and customary practices, as is now the case with securities held for the accounts of customers registered in the names of nominees for such customers. Such payments will be the responsibility of such participants.</w:t>
      </w:r>
    </w:p>
    <w:p>
      <w:pPr>
        <w:spacing w:after="0" w:line="16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Transfers between participants in DTC will be effected in the ordinary way in accordance with DTC rules and procedures and will be settled in same-day funds.</w:t>
      </w:r>
    </w:p>
    <w:p>
      <w:pPr>
        <w:spacing w:after="0" w:line="170"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We expect that DTC will take any action permitted to be taken by a holder of notes only at the direction of one or more participants to whose account the DTC interests in a global note is credited and only in respect of such portion of the aggregate principal amount of notes as to which such participant or participants has or have given such direction. However, if there is an event of default under the notes, DTC will exchange the applicable global note for certificated notes, which it will distribute to its participants.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global note is exchangeable for definitive notes in registered certificated form if:</w:t>
      </w:r>
    </w:p>
    <w:p>
      <w:pPr>
        <w:spacing w:after="0" w:line="131" w:lineRule="exact"/>
        <w:rPr>
          <w:sz w:val="20"/>
          <w:szCs w:val="20"/>
          <w:color w:val="auto"/>
        </w:rPr>
      </w:pPr>
    </w:p>
    <w:p>
      <w:pPr>
        <w:ind w:left="1080" w:right="74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DTC (i) notifies us that it is unwilling or unable to continue as depositary for the global notes, and we fail to appoint a successor depositary, or (ii) has ceased to be a clearing agency registered under the Exchange Act;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 our option, we notify the trustees in writing that we have elected to cause the issuance of the certificated securities;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there has occurred and is continuing a default or event of default with respect to the notes.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addition, beneficial interests in a global note may be exchanged for certificated securities upon prior written notice given to the trustees by or on behalf of DTC in accordance with the Indenture.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060"/>
          </w:cols>
          <w:pgMar w:left="320" w:top="459" w:right="51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In all cases, certificated securities delivered in exchange for any beneficial interests in global notes will be registered in the names, and issued in any approved denominations, requested by or on behalf of the depositary (in accordance with its customary procedures). Certificated securities may be presented for registration, transfer and exchange at The Bank of New York Mellon, New York, New York, or the office or agency designated for such purpose.</w:t>
      </w:r>
    </w:p>
    <w:p>
      <w:pPr>
        <w:spacing w:after="0" w:line="187" w:lineRule="exact"/>
        <w:rPr>
          <w:sz w:val="20"/>
          <w:szCs w:val="20"/>
          <w:color w:val="auto"/>
        </w:rPr>
      </w:pPr>
    </w:p>
    <w:p>
      <w:pPr>
        <w:ind w:left="120" w:right="200" w:firstLine="440"/>
        <w:spacing w:after="0" w:line="272" w:lineRule="auto"/>
        <w:rPr>
          <w:sz w:val="20"/>
          <w:szCs w:val="20"/>
          <w:color w:val="auto"/>
        </w:rPr>
      </w:pPr>
      <w:r>
        <w:rPr>
          <w:rFonts w:ascii="Arial" w:cs="Arial" w:eastAsia="Arial" w:hAnsi="Arial"/>
          <w:sz w:val="17"/>
          <w:szCs w:val="17"/>
          <w:color w:val="auto"/>
        </w:rPr>
        <w:t>DTC has advised us that: DTC is a limited purpose trust company organized under the laws of the State of New York, a “banking organization” within the meaning of New York Banking Law, a member of the Federal Reserve System, a “clearing corporation” within the meaning of the Uniform Commercial Code and a “Clearing Agency” registered pursuant to the provisions of Section 17A of the Exchange Act. DTC was created to hold securities for its participants and facilitate the clearance and settlement of securities transactions between participants through electronic book-entry changes in accounts of its participants, thereby eliminating the need for physical movement of certificates. Indirect access to the DTC system is available to others such as banks, brokers, dealers and trust companies and certain other organizations that clear through or maintain a custodial relationship with a participant, either directly or indirectly, whom we refer to as indirect participants.</w:t>
      </w:r>
    </w:p>
    <w:p>
      <w:pPr>
        <w:spacing w:after="0" w:line="177"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Although DTC is expected to follow the foregoing procedures in order to facilitate transfers of interests in a global note among participants of DTC, they are under no obligation to perform or continue to perform such procedures, and such procedures may be discontinued at any time. None of the trustee, the paying agent, or we, or any of their or our agents, will have any responsibility for the performance by DTC or its participants or indirect participants of their respective obligations under the rules and procedures governing their operations.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Same Day Settlement and Payment</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will make payments in respect of the notes (including principal, interest and premium, if any) at the Corporate Trust Office of the Trustee except that, at the option of Navient, we will make payments of interest by check mailed to the registered address of the holder of the notes entitled thereto or, in accordance with arrangements satisfactory to the Trustee, at the option of the holder of the notes by wire transfer to an account designated by such holder. The notes represented by the global notes are expected to trade in DTC’s Same Day Funds Settlement System, and any permitted secondary market trading activity in the notes will, therefore, be required by DTC to be settled in immediately available funds. We expect that secondary trading in any certificated securities will also be settled in immediately available funds.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Euroclear and Clearstream</w:t>
      </w:r>
    </w:p>
    <w:p>
      <w:pPr>
        <w:spacing w:after="0" w:line="12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Investors may hold interests in the notes outside the United States through Euroclear or Clearstream if they are participants in those systems, or indirectly through organizations which are participants in those systems.</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Euroclear and Clearstream will hold interests on behalf of their participants through customers’ securities accounts in Euroclear’s and Clearstream’s names on the books of their respective depositaries which in turn will hold such positions in customers’ securities accounts in the names of the nominees of the depositaries on the books of DTC. The following is based on information furnished by Euroclear or Clearstream, as the case may be.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Euroclear has advised us that:</w:t>
      </w:r>
    </w:p>
    <w:p>
      <w:pPr>
        <w:spacing w:after="0" w:line="131" w:lineRule="exact"/>
        <w:rPr>
          <w:sz w:val="20"/>
          <w:szCs w:val="20"/>
          <w:color w:val="auto"/>
        </w:rPr>
      </w:pPr>
    </w:p>
    <w:p>
      <w:pPr>
        <w:ind w:left="1080" w:right="160" w:hanging="424"/>
        <w:spacing w:after="0" w:line="263"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 was created in 1968 to hold securities for participants of Euroclear and to clear and settle transactions between Euroclear participants through simultaneous electronic book-entry delivery against payment, thereby eliminating the need for physical movement of certificates and any risk from lack of simultaneous transfers of securities and cash;</w:t>
      </w:r>
    </w:p>
    <w:p>
      <w:pPr>
        <w:spacing w:after="0" w:line="89"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Euroclear includes various other services, including securities lending and borrowing and interfaces with domestic markets in several countries;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20"/>
          </w:cols>
          <w:pgMar w:left="320" w:top="459" w:right="4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20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Euroclear is operated by Euroclear Bank S.A./ N.V., as operator of the Euroclear System (the “Euroclear Operator”), under contract with Euroclear Clearance Systems S.C., a Belgian cooperative corporation (the “Cooperative”);</w:t>
      </w:r>
    </w:p>
    <w:p>
      <w:pPr>
        <w:spacing w:after="0" w:line="75" w:lineRule="exact"/>
        <w:rPr>
          <w:rFonts w:ascii="Arial" w:cs="Arial" w:eastAsia="Arial" w:hAnsi="Arial"/>
          <w:sz w:val="18"/>
          <w:szCs w:val="18"/>
          <w:color w:val="auto"/>
        </w:rPr>
      </w:pPr>
    </w:p>
    <w:p>
      <w:pPr>
        <w:ind w:left="1080" w:right="160" w:hanging="424"/>
        <w:spacing w:after="0" w:line="279" w:lineRule="auto"/>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Euroclear Operator conducts all operations,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and may include underwriters of securities offered by this prospectus supplement;</w:t>
      </w:r>
    </w:p>
    <w:p>
      <w:pPr>
        <w:spacing w:after="0" w:line="76" w:lineRule="exact"/>
        <w:rPr>
          <w:rFonts w:ascii="Arial" w:cs="Arial" w:eastAsia="Arial" w:hAnsi="Arial"/>
          <w:sz w:val="17"/>
          <w:szCs w:val="17"/>
          <w:color w:val="auto"/>
        </w:rPr>
      </w:pPr>
    </w:p>
    <w:p>
      <w:pPr>
        <w:ind w:left="1080" w:right="68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Indirect access to Euroclear is also available to other firms that clear through or maintain a custodial relationship with a Euroclear participant, either directly or indirectly;</w:t>
      </w:r>
    </w:p>
    <w:p>
      <w:pPr>
        <w:spacing w:after="0" w:line="75"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Securities clearance accounts and cash accounts with the Euroclear Operator are governed by the Terms and Conditions Governing Use of Euroclear and the related Operating Procedures of the Euroclear System, and applicable Belgian law (collectively, the “Terms and Conditions”);</w:t>
      </w:r>
    </w:p>
    <w:p>
      <w:pPr>
        <w:spacing w:after="0" w:line="89" w:lineRule="exact"/>
        <w:rPr>
          <w:rFonts w:ascii="Arial" w:cs="Arial" w:eastAsia="Arial" w:hAnsi="Arial"/>
          <w:sz w:val="18"/>
          <w:szCs w:val="18"/>
          <w:color w:val="auto"/>
        </w:rPr>
      </w:pPr>
    </w:p>
    <w:p>
      <w:pPr>
        <w:jc w:val="both"/>
        <w:ind w:left="1080" w:right="40" w:hanging="424"/>
        <w:spacing w:after="0" w:line="311"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Terms and Conditions govern transfers of securities and cash within Euroclear, withdrawals of securities and cash from Euroclear, and receipts of payments with respect to securities in Euroclear. The Euroclear Operator acts under the Terms and Conditions only on behalf of Euroclear participants, and has no record of or relationship with persons holding through Euroclear participants; and</w:t>
      </w:r>
    </w:p>
    <w:p>
      <w:pPr>
        <w:spacing w:after="0" w:line="54" w:lineRule="exact"/>
        <w:rPr>
          <w:rFonts w:ascii="Arial" w:cs="Arial" w:eastAsia="Arial" w:hAnsi="Arial"/>
          <w:sz w:val="16"/>
          <w:szCs w:val="16"/>
          <w:color w:val="auto"/>
        </w:rPr>
      </w:pPr>
    </w:p>
    <w:p>
      <w:pPr>
        <w:ind w:left="108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Distributions with respect to securities held beneficially through Euroclear will be credited to the cash accounts of Euroclear participants in accordance with the Terms and Conditions, to the extent received by the U.S. depositary for Euroclear.</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Clearstream has advised us that:</w:t>
      </w:r>
    </w:p>
    <w:p>
      <w:pPr>
        <w:spacing w:after="0" w:line="131" w:lineRule="exact"/>
        <w:rPr>
          <w:sz w:val="20"/>
          <w:szCs w:val="20"/>
          <w:color w:val="auto"/>
        </w:rPr>
      </w:pPr>
    </w:p>
    <w:p>
      <w:pPr>
        <w:ind w:left="1080" w:right="160" w:hanging="424"/>
        <w:spacing w:after="0" w:line="286" w:lineRule="auto"/>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It is incorporated under the laws of Luxembourg as a professional depositary and holds securities for its participating organizations and facilitates the clearance and settlement of securities transactions between Clearstream participants through electronic book-entry changes in accounts of Clearstream participants, thereby eliminating the need for physical movement of certificates;</w:t>
      </w:r>
    </w:p>
    <w:p>
      <w:pPr>
        <w:spacing w:after="0" w:line="70" w:lineRule="exact"/>
        <w:rPr>
          <w:rFonts w:ascii="Arial" w:cs="Arial" w:eastAsia="Arial" w:hAnsi="Arial"/>
          <w:sz w:val="17"/>
          <w:szCs w:val="17"/>
          <w:color w:val="auto"/>
        </w:rPr>
      </w:pPr>
    </w:p>
    <w:p>
      <w:pPr>
        <w:ind w:left="1080" w:right="20" w:hanging="424"/>
        <w:spacing w:after="0" w:line="342"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Clearstream provides to Clearstream participants, among other things, services for safekeeping, administration, clearance and settlement of internationally traded securities and securities lending and borrowing. Clearstream interfaces with domestic markets in several countries;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a professional depositary, Clearstream is subject to regulation by the Luxembourg Monetary Institute;</w:t>
      </w:r>
    </w:p>
    <w:p>
      <w:pPr>
        <w:spacing w:after="0" w:line="130" w:lineRule="exact"/>
        <w:rPr>
          <w:rFonts w:ascii="Arial" w:cs="Arial" w:eastAsia="Arial" w:hAnsi="Arial"/>
          <w:sz w:val="18"/>
          <w:szCs w:val="18"/>
          <w:color w:val="auto"/>
        </w:rPr>
      </w:pPr>
    </w:p>
    <w:p>
      <w:pPr>
        <w:ind w:left="1080" w:right="320" w:hanging="424"/>
        <w:spacing w:after="0" w:line="26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Clearstream participants are recognized financial institutions around the world, including underwriters, securities brokers and dealers, banks, trust companies, clearing corporations and certain other organizations and may include underwriters of securities offered by this prospectus supplement;</w:t>
      </w:r>
    </w:p>
    <w:p>
      <w:pPr>
        <w:spacing w:after="0" w:line="89"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Indirect access to Clearstream is also available to others, such as banks, brokers, dealers and trust companies that clear through or maintain a custodial relationship with a Clearstream participant either directly or indirectly; and</w:t>
      </w:r>
    </w:p>
    <w:p>
      <w:pPr>
        <w:spacing w:after="0" w:line="75" w:lineRule="exact"/>
        <w:rPr>
          <w:rFonts w:ascii="Arial" w:cs="Arial" w:eastAsia="Arial" w:hAnsi="Arial"/>
          <w:sz w:val="18"/>
          <w:szCs w:val="18"/>
          <w:color w:val="auto"/>
        </w:rPr>
      </w:pPr>
    </w:p>
    <w:p>
      <w:pPr>
        <w:ind w:left="1080" w:right="740" w:hanging="424"/>
        <w:spacing w:after="0" w:line="342"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Distributions with respect to the securities held beneficially through Clearstream will be credited to cash accounts of Clearstream participants in accordance with its rules and procedures, to the extent received by the U.S. depositary for Clearstream.</w:t>
      </w:r>
    </w:p>
    <w:p>
      <w:pPr>
        <w:spacing w:after="0" w:line="124"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We have provided the following descriptions of the operations and procedures of Euroclear and Clearstream solely as a matter of convenience. These operations and procedures are solely within the control of Euroclear and Clearstream and are subject to change by them from time to time. Neither we, the underwriters, nor the Trustee take any responsibility for these operations or procedures, and you are urged to contact Euroclear or Clearstream or their respective participants directly to discuss these matters.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20"/>
          </w:cols>
          <w:pgMar w:left="320" w:top="459" w:right="4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Secondary market trading between Euroclear participants and Clearstream participants will occur in the ordinary way in accordance with the applicable rules and operating procedures of Euroclear and Clearstream and will be settled using the procedures applicable to conventional eurobonds in immediately available funds.</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Cross-market transfers between persons holding directly or indirectly through DTC, on the one hand, and directly or indirectly through Euroclear or Clearstream participants, on the other, will be effected within DTC in accordance with DTC’s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notes in DTC, and making or receiving payment in accordance with normal procedures. Euroclear participants and Clearstream participants may not deliver instructions directly to their respective U.S. depositaries.</w:t>
      </w:r>
    </w:p>
    <w:p>
      <w:pPr>
        <w:spacing w:after="0" w:line="192"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Because of time-zone differences, credits of securities received in Euroclear or Clearstream as a result of a transaction with a DTC participant will be made during subsequent securities settlement processing and dated the business day following the DTC settlement date. Such credits, or any transactions in the securities settled during such processing, will be reported to the relevant Euroclear participants or Clearstream participants on that business day. Cash received in Euroclear or Clearstream as a result of sales of securities by or through a Euroclear participant or a Clearstream participant to a DTC participant will be received with value on the business day of settlement in DTC but will be available in the relevant Euroclear or Clearstream cash account only as of the business day following settlement in DTC.</w:t>
      </w:r>
    </w:p>
    <w:p>
      <w:pPr>
        <w:spacing w:after="0" w:line="178"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Although DTC, Euroclear and Clearstream have agreed to the foregoing procedures in order to facilitate transfers of securities among participants of DTC, Euroclear and Clearstream, they are under no obligation to perform or continue to perform such procedures and they may discontinue the procedures at any time.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080"/>
          </w:cols>
          <w:pgMar w:left="320" w:top="459" w:right="49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UNITED STATES FEDERAL INCOME TAX CONSIDERATIONS FOR NON-U.S. HOLDERS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following is a summary of the U.S. federal income tax considerations generally applicable to an investment in the notes by Non-U.S. Holders (as defined herein). The summary is based on the Code, U.S. Treasury regulations promulgated thereunder, judicial decisions, published positions of the IRS and other applicable authorities, all as in effect as of the date hereof and all of which are subject to change or differing interpretations (possibly on a retroactive basis). This discussion does not address all aspects of U.S. federal income taxation that may be relevant to a particular person or persons subject to special treatment under U.S. federal income tax laws (such as broker dealers, traders in securities that elect to use a mark-to-market method of accounting, financial institutions, regulated investment companies, real estate investment trusts, tax-exempt organizations, insurance companies, persons who hold notes as part of a hedging, integrated, straddle, conversion or constructive sale transaction for U.S. federal income tax purposes, persons subject to the alternative minimum or the Medicare tax on certain investment income, U.S. expatriates, controlled foreign corporations, passive foreign investment companies or persons that are, or hold their notes through, partnerships or other pass-through entities) all of whom may be subject to tax rules that differ from those summarized below. Moreover, this discussion does not address any foreign, state or local tax considerations, or any U.S. federal tax considerations other than U.S. federal income tax considerations. No assurance can be given that the IRS would not assert, or that a court would not sustain, a position contrary to any of those set forth below.</w:t>
      </w:r>
    </w:p>
    <w:p>
      <w:pPr>
        <w:spacing w:after="0" w:line="168"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In addition, this discussion deals only with certain U.S. federal income tax considerations for a holder that acquires the notes in the initial offering at their issue price and holds the notes as capital assets within the meaning of the Code (generally, property held for investment).</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summary is based on current U.S. federal income tax law, which is subject to change, possibly with retroactive effect.</w:t>
      </w:r>
    </w:p>
    <w:p>
      <w:pPr>
        <w:spacing w:after="0" w:line="225"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EACH PROSPECTIVE PURCHASER OF THE NOTES SHOULD CONSULT ITS TAX ADVISOR CONCERNING THE U.S. FEDERAL, STATE, LOCAL AND FOREIGN TAX CONSIDERATIONS OF AN INVESTMENT IN SUCH NOTES.</w:t>
      </w:r>
    </w:p>
    <w:p>
      <w:pPr>
        <w:spacing w:after="0" w:line="170"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A “U.S. Holder” means a beneficial owner of a note (as determined for U.S. federal income tax purposes) that, for U.S. federal income tax purposes, is:</w:t>
      </w:r>
    </w:p>
    <w:p>
      <w:pPr>
        <w:spacing w:after="0" w:line="76"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corporation created or organized in or under the laws of the United States or any state thereof or the District of Columbia;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jc w:val="both"/>
        <w:ind w:left="1080" w:right="100" w:hanging="424"/>
        <w:spacing w:after="0" w:line="263"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trust, (i) the administration of which is subject to the primary supervision of a court within the United States and for which one or more U.S. persons have the authority to control all substantial decisions, or (ii) that has a valid election in effect under applicable U.S. Treasury regulations to be treated as a U.S. person.</w:t>
      </w:r>
    </w:p>
    <w:p>
      <w:pPr>
        <w:spacing w:after="0" w:line="184"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A “Non-U.S. Holder” means any beneficial owner of a note (as determined for U.S. federal income tax purposes) that is not a U.S. Holder or a partnership (or any other entity or arrangement treated as a partnership for U.S. federal income tax purposes). If a partnership (or any other entity or arrangement treated as a partnership for U.S. federal income tax purposes) holds a note, the U.S. federal income tax treatment of a partner generally will depend upon the status of the partner and the activities of the partnership. A partner of a partnership holding a note should consult its tax advisor concerning the U.S. federal income and other tax considerations of its investment in the notes.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00"/>
          </w:cols>
          <w:pgMar w:left="320" w:top="459" w:right="4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Considerations for Non-U.S. Holders</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i w:val="1"/>
          <w:iCs w:val="1"/>
          <w:color w:val="auto"/>
        </w:rPr>
        <w:t>Interest</w:t>
      </w:r>
      <w:r>
        <w:rPr>
          <w:rFonts w:ascii="Arial" w:cs="Arial" w:eastAsia="Arial" w:hAnsi="Arial"/>
          <w:sz w:val="18"/>
          <w:szCs w:val="18"/>
          <w:color w:val="auto"/>
        </w:rPr>
        <w:t>. A Non-U.S. Holder will generally not be subject to U.S. federal income or withholding tax on interest paid or accrued on a note if: (1)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is not effectively connected with the conduct of a trade or business by the Non-U.S. Holder within the United States and, if required by an applicable income tax treaty, the interest is not attributable to a permanent establishment or fixed base maintained by the Non-U.S. Holder in the United States and (2) the Non-U.S. Holder satisfies the following requirements:</w:t>
      </w:r>
    </w:p>
    <w:p>
      <w:pPr>
        <w:spacing w:after="0" w:line="92" w:lineRule="exact"/>
        <w:rPr>
          <w:sz w:val="20"/>
          <w:szCs w:val="20"/>
          <w:color w:val="auto"/>
        </w:rPr>
      </w:pPr>
    </w:p>
    <w:p>
      <w:pPr>
        <w:ind w:left="1080" w:right="32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Non-U.S. Holder does not actually or constructively own stock representing 10% or more of the total combined voting power of all classes of our stock entitled to vote;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Non-U.S. Holder is not a controlled foreign corporation related to us (directly or indirectly) through stock ownership;</w:t>
      </w:r>
    </w:p>
    <w:p>
      <w:pPr>
        <w:spacing w:after="0" w:line="130" w:lineRule="exact"/>
        <w:rPr>
          <w:rFonts w:ascii="Arial" w:cs="Arial" w:eastAsia="Arial" w:hAnsi="Arial"/>
          <w:sz w:val="18"/>
          <w:szCs w:val="18"/>
          <w:color w:val="auto"/>
        </w:rPr>
      </w:pPr>
    </w:p>
    <w:p>
      <w:pPr>
        <w:ind w:left="1080" w:right="20" w:hanging="532"/>
        <w:spacing w:after="0" w:line="275" w:lineRule="auto"/>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either (A) the Non-U.S. Holder certifies to its non-U.S. status and that no withholding is required pursuant to FATCA (discussed below) on IRS Form W-8BEN or W-8BEN-E (or a substantially similar form), as applicable, or (B) a securities clearing organization or certain other financial institutions holding the note on behalf of the Non-U.S. Holder certifies on IRS Form W-8IMY that such certification has been received by it and furnishes us or our paying agent with a copy of the IRS Form W-8IMY together with the W-8BEN or W-8BEN-E of the beneficial owner, together with a withholding statement, if applicable; and</w:t>
      </w:r>
    </w:p>
    <w:p>
      <w:pPr>
        <w:spacing w:after="0" w:line="81" w:lineRule="exact"/>
        <w:rPr>
          <w:rFonts w:ascii="Arial" w:cs="Arial" w:eastAsia="Arial" w:hAnsi="Arial"/>
          <w:sz w:val="17"/>
          <w:szCs w:val="17"/>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or our paying agent do not have actual knowledge or reason to know that the beneficial owner of the note is a U.S. person.</w:t>
      </w:r>
    </w:p>
    <w:p>
      <w:pPr>
        <w:spacing w:after="0" w:line="225"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If a Non-U.S. Holder cannot satisfy the requirements described in clause (1) above, please see the discussion set forth under the heading “U.S. Trade or Business” below. If a Non-U.S. Holder cannot satisfy the requirements described in clause (2) above and does not establish that the interest is effectively connected with the Non-U.S. Holder’s conduct of a trade or business in the United States or if required by an applicable income tax treaty, that the interest is attributable to a permanent establishment or fixed base maintained by the Non-U.S. Holder in the United States, interest on the notes generally will be subject to U.S. federal withholding tax at a 30% rate (or such lower rate as may be specified by an applicable income tax treaty, provided certain certification requirements are met).</w:t>
      </w:r>
    </w:p>
    <w:p>
      <w:pPr>
        <w:spacing w:after="0" w:line="192"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i w:val="1"/>
          <w:iCs w:val="1"/>
          <w:color w:val="auto"/>
        </w:rPr>
        <w:t>Sale, Exchange, Retirement, Redemption or Other Taxable Disposition of a Note</w:t>
      </w:r>
      <w:r>
        <w:rPr>
          <w:rFonts w:ascii="Arial" w:cs="Arial" w:eastAsia="Arial" w:hAnsi="Arial"/>
          <w:sz w:val="16"/>
          <w:szCs w:val="16"/>
          <w:color w:val="auto"/>
        </w:rPr>
        <w:t>. A Non-U.S. Holder generally will not be subject to U.S. federal</w:t>
      </w:r>
      <w:r>
        <w:rPr>
          <w:rFonts w:ascii="Arial" w:cs="Arial" w:eastAsia="Arial" w:hAnsi="Arial"/>
          <w:sz w:val="16"/>
          <w:szCs w:val="16"/>
          <w:i w:val="1"/>
          <w:iCs w:val="1"/>
          <w:color w:val="auto"/>
        </w:rPr>
        <w:t xml:space="preserve"> </w:t>
      </w:r>
      <w:r>
        <w:rPr>
          <w:rFonts w:ascii="Arial" w:cs="Arial" w:eastAsia="Arial" w:hAnsi="Arial"/>
          <w:sz w:val="16"/>
          <w:szCs w:val="16"/>
          <w:color w:val="auto"/>
        </w:rPr>
        <w:t>income or withholding tax on the receipt of payments of principal on a note or on any gain recognized upon the sale, exchange, retirement, redemption or other taxable disposition of a note, unless in the case where (i) such gain is effectively connected with the conduct by such Non-U.S. Holder of a trade or business within the United States and, if required by an applicable income tax treaty, such gain is attributable to a permanent establishment or fixed base maintained by the Non-U.S. Holder within the United States or (ii) such Non-U.S. Holder is an individual who is present in the United States for 183 days or more in the taxable year of disposition, and certain other conditions are met. In the case described in (ii), the Non-U.S. Holder will generally be subject to 30% tax (or lower applicable treaty rate) on any capital gain recognized on the sale or other taxable disposition of a note, which may be offset by certain U.S.-source capital losses. Proceeds from the sale or other taxable disposition of a note that are attributable to accrued but unpaid interest will generally be subject to, or exempt from, tax to the same extent as described above with respect to interest paid on a note.</w:t>
      </w:r>
    </w:p>
    <w:p>
      <w:pPr>
        <w:spacing w:after="0" w:line="16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i w:val="1"/>
          <w:iCs w:val="1"/>
          <w:color w:val="auto"/>
        </w:rPr>
        <w:t>U.S. Trade or Business</w:t>
      </w:r>
      <w:r>
        <w:rPr>
          <w:rFonts w:ascii="Arial" w:cs="Arial" w:eastAsia="Arial" w:hAnsi="Arial"/>
          <w:sz w:val="18"/>
          <w:szCs w:val="18"/>
          <w:color w:val="auto"/>
        </w:rPr>
        <w:t>. If a Non-U.S. Holder is engaged in a trade or business in the United States, and if interest or gain on a note is effectively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connected with the conduct of such trade or business and, where required by an applicable income tax treaty, is attributable to a permanent establishment or fixed base maintained by the Non-U.S. Holder within the United States, the Non-U.S. Holder generally will be subject to U.S. federal income tax on the receipt or accrual of such interest or the recognition of gain upon the sale or other taxable disposition of the note on a net basis in the same manner as if such holder were a U.S. Holder. If such interest or gain is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20"/>
          </w:cols>
          <w:pgMar w:left="320" w:top="459"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recognized by a Non-U.S. Holder that is classified as a non-U.S. corporation, such corporation may also be subject to an additional U.S. federal branch profits tax at a 30% rate (or such lower rate as may be specified by an applicable income tax treaty). Non-U.S. Holders should consult their tax advisors with respect to other U.S. tax considerations of the ownership and disposition of the notes.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Account Tax Compliance Act</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Under the provisions of U.S. federal income tax law commonly known as “FATCA,” withholding at a rate of 30% generally will be required in certain circumstances on interest in respect of the notes held by or through certain foreign financial institutions (including investment funds), unless such institution (i)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 (ii) 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or other guidance, may modify these requirements. Accordingly, the entity through which each note is held will affect the determination of whether such withholding is required. Similarly, in certain circumstances, interest in respect of the notes held by an investor that is a non-financial non-U.S. entity that does not qualify under certain exemptions generally will be subject to withholding at a rate of 30%, unless such entity either (i) certifies to us or our paying agent that such entity does not have any “substantial United States owners” or (ii) provides certain information regarding the entity’s “substantial United States owners,” which we or our paying agent will in turn provide to the IRS. We will not pay additional amounts to Non-U.S. Holders in respect of any amounts withheld. Prospective investors should consult their tax advisors regarding the possible implications of these rules on their investment in the notes.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20"/>
          </w:cols>
          <w:pgMar w:left="320" w:top="459" w:right="4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Under the terms and subject to the conditions contained in an underwriting agreement dated the date of this prospectus supplement, the underwriters named below, for whom BofA Securities, Inc., Barclays Capital Inc., J.P. Morgan Securities LLC and RBC Capital Markets, LLC are acting as the representatives, have severally agreed to purchase, and we have agreed to sell to them, severally, the principal amount of notes set forth opposite their names below:</w:t>
      </w:r>
    </w:p>
    <w:p>
      <w:pPr>
        <w:spacing w:after="0" w:line="205"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Underwriters</w:t>
            </w:r>
          </w:p>
        </w:tc>
        <w:tc>
          <w:tcPr>
            <w:tcW w:w="30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w w:val="94"/>
              </w:rPr>
              <w:t>Principal amount of notes</w:t>
            </w:r>
          </w:p>
        </w:tc>
      </w:tr>
      <w:tr>
        <w:trPr>
          <w:trHeight w:val="203"/>
        </w:trPr>
        <w:tc>
          <w:tcPr>
            <w:tcW w:w="39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BofA Securities, Inc.</w:t>
            </w:r>
          </w:p>
        </w:tc>
        <w:tc>
          <w:tcPr>
            <w:tcW w:w="19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ind w:left="280"/>
              <w:spacing w:after="0" w:line="203" w:lineRule="exact"/>
              <w:rPr>
                <w:sz w:val="20"/>
                <w:szCs w:val="20"/>
                <w:color w:val="auto"/>
              </w:rPr>
            </w:pPr>
            <w:r>
              <w:rPr>
                <w:rFonts w:ascii="Arial" w:cs="Arial" w:eastAsia="Arial" w:hAnsi="Arial"/>
                <w:sz w:val="18"/>
                <w:szCs w:val="18"/>
                <w:color w:val="auto"/>
                <w:w w:val="91"/>
              </w:rPr>
              <w:t>       </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1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1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RBC Capital Markets, LLC</w:t>
            </w:r>
          </w:p>
        </w:tc>
        <w:tc>
          <w:tcPr>
            <w:tcW w:w="1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28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underwriters are offering the notes subject to their acceptance of the notes from us and subject to prior sale. The underwriting agreement provides that the obligations of the several underwriters to pay for and accept delivery of the notes offered by this prospectus supplement are subject to the approval of certain legal matters by their counsel and to certain other conditions. The underwriters are obligated to take and pay for all of the notes offered by this prospectus supplement if any such notes are taken.</w:t>
      </w:r>
    </w:p>
    <w:p>
      <w:pPr>
        <w:spacing w:after="0" w:line="18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The underwriters initially propose to offer the notes directly to the public at the public offering price set forth on the cover page of this prospectus supplement and may offer the notes to certain dealers at a price that represents a concession not in excess of  % of the principal amount of the notes. Any such dealers may resell the notes purchased from the underwriters to certain other brokers or dealers at a discount not to exceed  % of the principal amount of the notes. After the initial offering of the notes, the offering price and other selling terms may from time to time be varied by the representatives. The underwriters may offer and sell the notes through certain of their affiliates.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the underwriting discount that we will pay to the underwriters in connection with this offering:</w:t>
      </w:r>
    </w:p>
    <w:p>
      <w:pPr>
        <w:spacing w:after="0" w:line="248" w:lineRule="exact"/>
        <w:rPr>
          <w:sz w:val="20"/>
          <w:szCs w:val="20"/>
          <w:color w:val="auto"/>
        </w:rPr>
      </w:pPr>
    </w:p>
    <w:tbl>
      <w:tblPr>
        <w:tblLayout w:type="fixed"/>
        <w:tblInd w:w="188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Note Paid by Us</w:t>
            </w:r>
          </w:p>
        </w:tc>
      </w:tr>
      <w:tr>
        <w:trPr>
          <w:trHeight w:val="209"/>
        </w:trPr>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note</w:t>
            </w:r>
          </w:p>
        </w:tc>
        <w:tc>
          <w:tcPr>
            <w:tcW w:w="124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74"/>
              </w:rPr>
              <w:t>   %</w:t>
            </w:r>
          </w:p>
        </w:tc>
        <w:tc>
          <w:tcPr>
            <w:tcW w:w="200" w:type="dxa"/>
            <w:vAlign w:val="bottom"/>
            <w:tcBorders>
              <w:top w:val="single" w:sz="8" w:color="CCEEFF"/>
            </w:tcBorders>
            <w:shd w:val="clear" w:color="auto" w:fill="CCEEFF"/>
          </w:tcPr>
          <w:p>
            <w:pPr>
              <w:spacing w:after="0"/>
              <w:rPr>
                <w:sz w:val="18"/>
                <w:szCs w:val="18"/>
                <w:color w:val="auto"/>
              </w:rPr>
            </w:pP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Total</w:t>
            </w: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Expenses associated with this offering to be paid by us, other than underwriting discounts, are estimated to be approximately $    .</w:t>
      </w:r>
    </w:p>
    <w:p>
      <w:pPr>
        <w:spacing w:after="0" w:line="23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In connection with the offering of the notes, the underwriters may engage in transactions that stabilize, maintain or otherwise affect the price of the notes. Specifically, the underwriters may over allot in connection with the offering of the notes, creating a syndicate short position. In addition, the underwriters may bid for, and purchase, notes in the open market to cover syndicate short positions or to stabilize the price of the notes. The underwriters may also impose a penalty bid. This occurs when a certain underwriter repays to the underwriters a portion of the underwriting discount received by it because the representatives have repurchased notes sold by or for the account of such underwriter in stabilizing or short covering transactions. Finally, the underwriting syndicate may reclaim selling concessions allowed for distributing the notes in the offering of the notes, if the syndicate repurchases previously distributed notes in syndicate covering transactions, stabilization transactions or otherwise. Any of these activities may stabilize or maintain the market price of the notes above independent market levels. The underwriters are not required to engage in any of these activities, and may end any of them at any time.</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00"/>
          </w:cols>
          <w:pgMar w:left="320" w:top="459" w:right="4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which the underwriters may be required to make in respect of any such liabilities.</w:t>
      </w:r>
    </w:p>
    <w:p>
      <w:pPr>
        <w:spacing w:after="0" w:line="170"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Prior to the offering, there have been no active markets for the notes. The underwriters have advised us that certain of the underwriters presently intend to make markets in the notes as permitted by applicable laws and regulations. Such underwriters are not obligated, however, to make the markets in the notes and any such market making may be discontinued at any time at the discretion of such underwriters. Accordingly, no assurance can be given as to the liquidity of, or trading markets for, the notes.</w:t>
      </w:r>
    </w:p>
    <w:p>
      <w:pPr>
        <w:spacing w:after="0" w:line="18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the issuer and its affiliates, for which they received or may in the future receive customary fees and expenses. 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or its affiliates. If the underwriters or their affiliates have a lending relationship with us, certain of those underwriters or their affiliates routinely hedge, and certain other of those underwriters or their affiliates may hedge, their credit exposure to us consistent with their customary risk management policies. Typically, the underwriters and their affiliates would hedge such exposure by entering into transactions which consist of either the purchase of credit default swaps or the creation of short positions in our securities or the securities of our affiliates, including potentially the notes offered hereby. Any such credit default swaps or short positions could adversely affect future trading prices of the notes offered hereby. The underwriters and certain of their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286" w:lineRule="exact"/>
        <w:rPr>
          <w:sz w:val="20"/>
          <w:szCs w:val="20"/>
          <w:color w:val="auto"/>
        </w:rPr>
      </w:pPr>
    </w:p>
    <w:p>
      <w:pPr>
        <w:jc w:val="center"/>
        <w:ind w:right="9440"/>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jc w:val="center"/>
        <w:ind w:right="946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7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or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8"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140"/>
          </w:cols>
          <w:pgMar w:left="320" w:top="459" w:right="4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The notes are not intended to be offered, sold or otherwise made available to and should not be offered, sold or otherwise made available to any EEA Retail Investor in the European Economic Area (the “EEA”). For these purposes, an “EEA Retail Investor” means a person who is one (or more) of the following: (i) a retail client as defined in point (11) of Article 4(1) of Directive 2014/65/EU (as amended, “MiFID II”); or (ii) a customer within the meaning of Directive (EU) 2016/97, (as amended), where that customer would not qualify as a professional client as defined in point (10) of Article 4(1) of MiFID II; or (iii) not a qualified investor as defined in Article 2 of Regulation (EU) 2017/1129 (as amended, the “Prospectus Regulation”). Consequently no key information document required by Regulation (EU) No 1286/2014 (as amended, the “EU PRIIPs Regulation”) for offering or selling the notes or otherwise making them available to EEA Retail Investor in the EEA has been prepared and therefore offering or selling the notes or otherwise making them available to any EEA Retail Investor in the EEA may be unlawful under the EU PRIIPs Regulation.</w:t>
      </w:r>
    </w:p>
    <w:p>
      <w:pPr>
        <w:spacing w:after="0" w:line="16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Each underwriter has represented, warranted and agreed that it has not offered, sold or otherwise made available and will not offer, sell or otherwise make available any notes to any EEA Retail Investor in the European Economic Area. For the purposes of this provision, the expression “offer” includes the communication in any form and by any means of sufficient information on the terms of the offer and the notes to be offered so as to enable an investor to decide to purchase or subscribe for the notes.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notes are not intended to be offered, sold or otherwise made available to and should not be offered, sold or otherwise made available to any UK Retail Investor in the United Kingdom (the “UK”). For these purposes, a “UK Retail Investor” means a person who is one (or more) of the following: (i) a retail client as defined in point (8) of Article 2 of Regulation (EU) 2017/565 as it forms part of UK domestic law by virtue of the European Union (Withdrawal) Act 2018 (as amended, the “EUWA”); or (ii) a customer within the meaning of the provisions of the Financial Services and Markets Act 2000 (as amended, the “FSMA”) and any rules or regulations made under the FSMA to implement Directive (EU) 2016/97, where that customer would not qualify as a professional client, as defined in point (8) of Article 2(1) of Regulation (EU) No 600/2014 as it forms part of UK domestic law by virtue of the EUWA; or (iii) not a qualified investor as defined in Article 2 of Regulation (EU) 2017/1129 as it forms part of UK domestic law by virtue of the EUWA.</w:t>
      </w:r>
    </w:p>
    <w:p>
      <w:pPr>
        <w:spacing w:after="0" w:line="192"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Consequently, no key information document required by Regulation (EU) No 1286/2014 as it forms part of UK domestic law by virtue of the EUWA (as amended,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UK Financial Promotion Regime.</w:t>
      </w:r>
    </w:p>
    <w:p>
      <w:pPr>
        <w:spacing w:after="0" w:line="117" w:lineRule="exact"/>
        <w:rPr>
          <w:sz w:val="20"/>
          <w:szCs w:val="20"/>
          <w:color w:val="auto"/>
        </w:rPr>
      </w:pPr>
    </w:p>
    <w:p>
      <w:pPr>
        <w:jc w:val="both"/>
        <w:ind w:left="120" w:right="100" w:firstLine="440"/>
        <w:spacing w:after="0" w:line="286" w:lineRule="auto"/>
        <w:rPr>
          <w:sz w:val="20"/>
          <w:szCs w:val="20"/>
          <w:color w:val="auto"/>
        </w:rPr>
      </w:pPr>
      <w:r>
        <w:rPr>
          <w:rFonts w:ascii="Arial" w:cs="Arial" w:eastAsia="Arial" w:hAnsi="Arial"/>
          <w:sz w:val="16"/>
          <w:szCs w:val="16"/>
          <w:color w:val="auto"/>
        </w:rPr>
        <w:t>The communication of this prospectus supplement and any other document in connection with the offering and issuance of the notes is directed only to persons who: (i) are outside of the United Kingdom; (ii) have professional experience in matters relating to investments and are persons falling within Article 19(5) of the Financial Services and Markets Act 2000 (Financial Promotion) Order 2005 (as amended, the “Order”); or (iii) are persons falling within Article 49(2) of the Order or (iii) are persons to whom this prospectus supplement may otherwise lawfully be issued or passed on; or</w:t>
      </w:r>
    </w:p>
    <w:p>
      <w:pPr>
        <w:spacing w:after="0" w:line="1" w:lineRule="exact"/>
        <w:rPr>
          <w:sz w:val="20"/>
          <w:szCs w:val="20"/>
          <w:color w:val="auto"/>
        </w:rPr>
      </w:pPr>
    </w:p>
    <w:p>
      <w:pPr>
        <w:ind w:left="120" w:right="140" w:hanging="4"/>
        <w:spacing w:after="0" w:line="302" w:lineRule="auto"/>
        <w:tabs>
          <w:tab w:leader="none" w:pos="425" w:val="left"/>
        </w:tabs>
        <w:numPr>
          <w:ilvl w:val="0"/>
          <w:numId w:val="26"/>
        </w:numPr>
        <w:rPr>
          <w:rFonts w:ascii="Arial" w:cs="Arial" w:eastAsia="Arial" w:hAnsi="Arial"/>
          <w:sz w:val="16"/>
          <w:szCs w:val="16"/>
          <w:color w:val="auto"/>
        </w:rPr>
      </w:pPr>
      <w:r>
        <w:rPr>
          <w:rFonts w:ascii="Arial" w:cs="Arial" w:eastAsia="Arial" w:hAnsi="Arial"/>
          <w:sz w:val="16"/>
          <w:szCs w:val="16"/>
          <w:color w:val="auto"/>
        </w:rPr>
        <w:t>are any other persons to whom it may otherwise lawfully be communicated or directed (all such persons together being referred to as “Relevant Persons”). A person who is not a Relevant Person should not act or rely on this Offering Circular or any of its contents. Any investment or investment activity to which this Offering Circular relates is available only to Relevant Persons and will be engaged in only with Relevant Persons.</w:t>
      </w:r>
    </w:p>
    <w:p>
      <w:pPr>
        <w:spacing w:after="0" w:line="8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060"/>
          </w:cols>
          <w:pgMar w:left="320" w:top="459" w:right="51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Relevant Persons should note that all, or most, of the protections offered by the United Kingdom regulatory system will not apply to an investment in the notes and that compensation will not be available under the United Kingdom Financial Services Compensation Scheme.</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ind w:left="1080" w:right="2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it has not offered, sold or otherwise made available and will not offer, sell or otherwise make available any notes to any UK Retail Investor in the UK. For the purposes of this provision, the expression “offer” includes the communication in any form and by any means of sufficient information on the terms of the offer and the notes to be offered so as to enable an investor to decide to purchase or subscribe for the notes;</w:t>
      </w:r>
    </w:p>
    <w:p>
      <w:pPr>
        <w:spacing w:after="0" w:line="92" w:lineRule="exact"/>
        <w:rPr>
          <w:rFonts w:ascii="Arial" w:cs="Arial" w:eastAsia="Arial" w:hAnsi="Arial"/>
          <w:sz w:val="18"/>
          <w:szCs w:val="18"/>
          <w:color w:val="auto"/>
        </w:rPr>
      </w:pPr>
    </w:p>
    <w:p>
      <w:pPr>
        <w:ind w:left="1080" w:right="60" w:hanging="532"/>
        <w:spacing w:after="0" w:line="263"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any notes in circumstances in which section 21(1) of the FSMA does not apply to us; and</w:t>
      </w:r>
    </w:p>
    <w:p>
      <w:pPr>
        <w:spacing w:after="0" w:line="89"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notes in, from or otherwise involving the United Kingdom.</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The notes may not be offered or sold by means of any document other than (i) in circumstances which do not constitute an offer to the public within the meaning of the Companies Ordinance (Cap.32, Laws of Hong Kong), or (ii)to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(Cap.571, Laws of Hong Kong) and any rules made thereunder.</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The notes have not been and will not be registered under the Financial Instruments and Exchange Law of Japan (the Financial Instruments and Exchange Law) and each underwriter has agreed that it will not offer or sell any notes,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This prospectus supplement has not been registered as a prospectus under the Securities and Futures Act, Chapter 289 of Singapore, which we refer to as the SFA, by the Monetary Authority of Singapore, and the offer of the notes in Singapore is made primarily pursuant to the exemptions under Sections 274 and 275 of the SFA. Accordingly, this prospectus supplement or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any person in Singapore other than (a) to an institutional investor as defined in the SFA, which we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120"/>
          </w:cols>
          <w:pgMar w:left="320" w:top="459" w:right="4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refer to as an Institutional Investor, pursuant to Section 274 of the SFA, (b) to an accredited investor as defined in the SFA, which we refer to as an Accredited Investor, or other relevant person as defined in Section 275(2) of the SFA, which we refer to as a Relevant Person, and pursuant to Section 275(1) of the SFA, or to any person pursuant to an offer referred to in Section 275(1A) of the SFA, and in accordance with the conditions specified in Section 275 of the SFA, or (c) otherwise pursuant to, and in accordance with, the conditions of any other applicable exemption or provision of the SFA.</w:t>
      </w:r>
    </w:p>
    <w:p>
      <w:pPr>
        <w:spacing w:after="0" w:line="188"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i w:val="1"/>
          <w:iCs w:val="1"/>
          <w:color w:val="auto"/>
        </w:rPr>
        <w:t>Singapore Securities and Futures Act Product Classification</w:t>
      </w:r>
      <w:r>
        <w:rPr>
          <w:rFonts w:ascii="Arial" w:cs="Arial" w:eastAsia="Arial" w:hAnsi="Arial"/>
          <w:sz w:val="18"/>
          <w:szCs w:val="18"/>
          <w:color w:val="auto"/>
        </w:rPr>
        <w:t>—Solely for the purposes of its obligations pursuant to sections 309B(1)(a) and</w:t>
      </w:r>
      <w:r>
        <w:rPr>
          <w:rFonts w:ascii="Arial" w:cs="Arial" w:eastAsia="Arial" w:hAnsi="Arial"/>
          <w:sz w:val="18"/>
          <w:szCs w:val="18"/>
          <w:i w:val="1"/>
          <w:iCs w:val="1"/>
          <w:color w:val="auto"/>
        </w:rPr>
        <w:t xml:space="preserve"> </w:t>
      </w:r>
      <w:r>
        <w:rPr>
          <w:rFonts w:ascii="Arial" w:cs="Arial" w:eastAsia="Arial" w:hAnsi="Arial"/>
          <w:sz w:val="18"/>
          <w:szCs w:val="18"/>
          <w:color w:val="auto"/>
        </w:rPr>
        <w:t>309B(1)(c) of the SFA, the Company has determined, and hereby notifies all relevant persons (as defined in Section 309A of the SFA) that the notes are “prescribed capital markets products”(as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Switzerland</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notes may not be publicly offered, directly or indirectly, in Switzerland within the meaning of the Swiss Financial Services Act (the “FinSA”) and will not be admitted to trading on any trading venue (exchange or multilateral trading facility) in Switzerland. Neither this prospectus supplement nor any other offering or marketing material relating to the notes constitutes a prospectus as such term is understood pursuant to the FinSA, and neither this prospectus supplement nor any other offering or marketing material relating to the notes may be publicly distributed or otherwise made publicly available in Switzerland.</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Dubai International Financial Centre</w:t>
      </w:r>
    </w:p>
    <w:p>
      <w:pPr>
        <w:spacing w:after="0" w:line="117" w:lineRule="exact"/>
        <w:rPr>
          <w:sz w:val="20"/>
          <w:szCs w:val="20"/>
          <w:color w:val="auto"/>
        </w:rPr>
      </w:pPr>
    </w:p>
    <w:p>
      <w:pPr>
        <w:ind w:left="120" w:right="160" w:firstLine="440"/>
        <w:spacing w:after="0" w:line="272" w:lineRule="auto"/>
        <w:rPr>
          <w:sz w:val="20"/>
          <w:szCs w:val="20"/>
          <w:color w:val="auto"/>
        </w:rPr>
      </w:pPr>
      <w:r>
        <w:rPr>
          <w:rFonts w:ascii="Arial" w:cs="Arial" w:eastAsia="Arial" w:hAnsi="Arial"/>
          <w:sz w:val="17"/>
          <w:szCs w:val="17"/>
          <w:color w:val="auto"/>
        </w:rPr>
        <w:t>This prospectus supplement relates to an Exempt Offer in accordance with the Markets Rules 2012 of the Dubai Financial Services Authority (“DFSA”). This prospectus supplement is intended for distribution only to persons of a type specified in the Markets Rules 2012 of the DFSA. It must not be delivered to, or relied on by, any other person. The DFSA has no responsibility for reviewing or verifying any prospectus supplements in connection with Exempt Offers. The DFSA has not approved this prospectus supplement nor taken steps to verify the information set forth herein and has no responsibility for this prospectus supplement. The notes to which this prospectus supplement relates may be illiquid or subject to restrictions on their resale. Prospective purchasers of the notes offered should conduct their own due diligence on the notes. If you do not understand the contents of this prospectus supplement, you should consult an authorized financial advisor.</w:t>
      </w:r>
    </w:p>
    <w:p>
      <w:pPr>
        <w:spacing w:after="0" w:line="17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In relation to its use in the Dubai International Financial Centre (“DIFC”), this prospectus supplement is strictly private and confidential and is being distributed to a limited number of investors and must not be provided to any person other than the original recipient, and may not be reproduced or used for any other purpose. The interests in the notes may not be offered or sold directly or indirectly to the public in the DIFC.</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United Arab Emirates</w:t>
      </w:r>
    </w:p>
    <w:p>
      <w:pPr>
        <w:spacing w:after="0" w:line="117"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The notes have not been, and are not being, publicly offered, sold, promoted or advertised in the United Arab Emirates (including the Abu Dhabi Global Market and the Dubai International Financial Centre) other than in compliance with the laws, regulations and rules of the United Arab Emirates, the Abu Dhabi Global Market and the Dubai International Financial Centre governing the issue, offering and sale of securities. Further, this prospectus supplement, the accompanying prospectus and any other offering or marketing material relating to the notes or the offering do not constitute a public offer of securities in the United Arab Emirates (including the Abu Dhabi Global Market and the Dubai International Financial Centre) and are not intended to be a public offer. This prospectus supplement, the accompanying prospectus and any other offering or marketing material relating to the notes or the offering have not been approved by or filed with the Central Bank of the United Arab Emirates, the Securities and Commodities Authority, the Financial Services Regulatory Authority or the Dubai Financial Services Authority.</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120"/>
          </w:cols>
          <w:pgMar w:left="320" w:top="459" w:right="4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The validity of the notes offered in this offering and certain other legal matters will be passed upon for us by Skadden, Arps, Slate, Meagher &amp; Flom LLP, New York, New York. Certain legal matters relating to the offering of the notes will be passed upon for the underwriters by Cadwalader, Wickersham &amp; Taft LLP.</w:t>
      </w:r>
    </w:p>
    <w:p>
      <w:pPr>
        <w:spacing w:after="0" w:line="3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consolidated financial statements of Navient Corporation and subsidiaries as of December 31, 2022 and 2021, and for each of the years in the three-year period ended December 31, 2022, and management’s assessment of the effectiveness of internal control over financial reporting as of December 31, 2022 have been incorporated by reference herein in reliance upon the reports of KPMG LLP, independent registered public accounting firm, incorporated by reference herein, and upon the authority of said firm as experts in accounting and auditing.</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060"/>
          </w:cols>
          <w:pgMar w:left="320" w:top="459" w:right="51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 xml:space="preserve">We file annual, quarterly and current reports, proxy statements and other information with the SEC under the Exchange Act. You may access electronically without charge any documents filed by us at the SEC’s website, </w:t>
      </w:r>
      <w:r>
        <w:rPr>
          <w:rFonts w:ascii="Arial" w:cs="Arial" w:eastAsia="Arial" w:hAnsi="Arial"/>
          <w:sz w:val="16"/>
          <w:szCs w:val="16"/>
          <w:u w:val="single" w:color="auto"/>
          <w:color w:val="auto"/>
        </w:rPr>
        <w:t>www.sec.gov</w:t>
      </w:r>
      <w:r>
        <w:rPr>
          <w:rFonts w:ascii="Arial" w:cs="Arial" w:eastAsia="Arial" w:hAnsi="Arial"/>
          <w:sz w:val="16"/>
          <w:szCs w:val="16"/>
          <w:color w:val="auto"/>
        </w:rPr>
        <w:t xml:space="preserve">. The SEC’s website contains reports, proxy and information statements, and other information regarding issuers that file electronically with the SEC, including Navient Corporation. Our common shares are listed and traded on the NASDAQ. You may also inspect the information we file with the SEC at the NASDAQ’s offices at One Liberty Plaza, 165 Broadway, New York, New York 10006. Information about us, including our SEC filings, is also available at our internet site at </w:t>
      </w:r>
      <w:r>
        <w:rPr>
          <w:rFonts w:ascii="Arial" w:cs="Arial" w:eastAsia="Arial" w:hAnsi="Arial"/>
          <w:sz w:val="16"/>
          <w:szCs w:val="16"/>
          <w:u w:val="single" w:color="auto"/>
          <w:color w:val="auto"/>
        </w:rPr>
        <w:t>http://www.navient.com</w:t>
      </w:r>
      <w:r>
        <w:rPr>
          <w:rFonts w:ascii="Arial" w:cs="Arial" w:eastAsia="Arial" w:hAnsi="Arial"/>
          <w:sz w:val="16"/>
          <w:szCs w:val="16"/>
          <w:color w:val="auto"/>
        </w:rPr>
        <w:t>. However, the information on our internet site is not part of this prospectus supplement or the accompanying prospectus.</w:t>
      </w:r>
    </w:p>
    <w:p>
      <w:pPr>
        <w:spacing w:after="0" w:line="164" w:lineRule="exact"/>
        <w:rPr>
          <w:sz w:val="20"/>
          <w:szCs w:val="20"/>
          <w:color w:val="auto"/>
        </w:rPr>
      </w:pPr>
    </w:p>
    <w:p>
      <w:pPr>
        <w:ind w:left="120" w:right="200" w:firstLine="440"/>
        <w:spacing w:after="0" w:line="272" w:lineRule="auto"/>
        <w:rPr>
          <w:sz w:val="20"/>
          <w:szCs w:val="20"/>
          <w:color w:val="auto"/>
        </w:rPr>
      </w:pPr>
      <w:r>
        <w:rPr>
          <w:rFonts w:ascii="Arial" w:cs="Arial" w:eastAsia="Arial" w:hAnsi="Arial"/>
          <w:sz w:val="17"/>
          <w:szCs w:val="17"/>
          <w:color w:val="auto"/>
        </w:rPr>
        <w:t>The SEC allows us to “incorporate by reference” documents we file with the SEC into this prospectus supplement and the accompanying prospectus, which means that we can disclose important information to you by referring you to another document filed separately with the SEC. The information incorporated by reference is considered part of this prospectus supplement and the accompanying prospectus. If any statement in this prospectus supplement, the accompanying prospectus or any document incorporated by reference is inconsistent with a statement in another document having a later date—for example, a document incorporated by reference in the accompanying prospectus—the statement in the document having the later date modifies or supersedes the earlier statement. Any statement so modified or superseded shall not be deemed, except as so modified or superseded, to constitute a part of this prospectus supplement or the accompanying prospectus.</w:t>
      </w:r>
    </w:p>
    <w:p>
      <w:pPr>
        <w:spacing w:after="0" w:line="17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incorporate by reference into this prospectus supplement and the accompanying prospectus the documents listed below and all documents we subsequently file with the SEC pursuant to Sections 13(a), 13(c), 14 or 15(d) of the Exchange Act, prior to the completion of the offering of all securities covered by this prospectus supplement (other than documents or information deemed to have been furnished and not filed in accordance with SEC rules):</w:t>
      </w:r>
    </w:p>
    <w:p>
      <w:pPr>
        <w:spacing w:after="0" w:line="92"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54">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2022, filed with the SEC on February 24, 2023;</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8"/>
        </w:numPr>
        <w:rPr>
          <w:rFonts w:ascii="Arial" w:cs="Arial" w:eastAsia="Arial" w:hAnsi="Arial"/>
          <w:sz w:val="18"/>
          <w:szCs w:val="18"/>
          <w:color w:val="0000EE"/>
        </w:rPr>
      </w:pPr>
      <w:r>
        <w:rPr>
          <w:rFonts w:ascii="Arial" w:cs="Arial" w:eastAsia="Arial" w:hAnsi="Arial"/>
          <w:sz w:val="18"/>
          <w:szCs w:val="18"/>
          <w:color w:val="auto"/>
        </w:rPr>
        <w:t xml:space="preserve">our Quarterly Reports on Form 10-Q for the quarters ended March 31, 2023, June 30, 2023 and September 30, 2023 filed with the SEC on </w:t>
      </w:r>
      <w:hyperlink r:id="rId55">
        <w:r>
          <w:rPr>
            <w:rFonts w:ascii="Arial" w:cs="Arial" w:eastAsia="Arial" w:hAnsi="Arial"/>
            <w:sz w:val="18"/>
            <w:szCs w:val="18"/>
            <w:u w:val="single" w:color="auto"/>
            <w:color w:val="0000EE"/>
          </w:rPr>
          <w:t>April 26, 2023</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56">
        <w:r>
          <w:rPr>
            <w:rFonts w:ascii="Arial" w:cs="Arial" w:eastAsia="Arial" w:hAnsi="Arial"/>
            <w:sz w:val="18"/>
            <w:szCs w:val="18"/>
            <w:u w:val="single" w:color="auto"/>
            <w:color w:val="0000EE"/>
          </w:rPr>
          <w:t xml:space="preserve">July 26, 2023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57">
        <w:r>
          <w:rPr>
            <w:rFonts w:ascii="Arial" w:cs="Arial" w:eastAsia="Arial" w:hAnsi="Arial"/>
            <w:sz w:val="18"/>
            <w:szCs w:val="18"/>
            <w:u w:val="single" w:color="auto"/>
            <w:color w:val="0000EE"/>
          </w:rPr>
          <w:t>October 25, 2023</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respectively;</w:t>
      </w:r>
    </w:p>
    <w:p>
      <w:pPr>
        <w:spacing w:after="0" w:line="75" w:lineRule="exact"/>
        <w:rPr>
          <w:rFonts w:ascii="Arial" w:cs="Arial" w:eastAsia="Arial" w:hAnsi="Arial"/>
          <w:sz w:val="18"/>
          <w:szCs w:val="18"/>
          <w:color w:val="0000EE"/>
        </w:rPr>
      </w:pPr>
    </w:p>
    <w:p>
      <w:pPr>
        <w:ind w:left="1080" w:hanging="424"/>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our Current Reports on Form 8-K to the extent filed with the SEC on </w:t>
      </w:r>
      <w:hyperlink r:id="rId58">
        <w:r>
          <w:rPr>
            <w:rFonts w:ascii="Arial" w:cs="Arial" w:eastAsia="Arial" w:hAnsi="Arial"/>
            <w:sz w:val="16"/>
            <w:szCs w:val="16"/>
            <w:u w:val="single" w:color="auto"/>
            <w:color w:val="0000EE"/>
          </w:rPr>
          <w:t>May 4, 2023</w:t>
        </w:r>
      </w:hyperlink>
      <w:r>
        <w:rPr>
          <w:rFonts w:ascii="Arial" w:cs="Arial" w:eastAsia="Arial" w:hAnsi="Arial"/>
          <w:sz w:val="16"/>
          <w:szCs w:val="16"/>
          <w:color w:val="auto"/>
        </w:rPr>
        <w:t xml:space="preserve">, </w:t>
      </w:r>
      <w:hyperlink r:id="rId59">
        <w:r>
          <w:rPr>
            <w:rFonts w:ascii="Arial" w:cs="Arial" w:eastAsia="Arial" w:hAnsi="Arial"/>
            <w:sz w:val="16"/>
            <w:szCs w:val="16"/>
            <w:u w:val="single" w:color="auto"/>
            <w:color w:val="0000EE"/>
          </w:rPr>
          <w:t>May 16, 2023</w:t>
        </w:r>
      </w:hyperlink>
      <w:r>
        <w:rPr>
          <w:rFonts w:ascii="Arial" w:cs="Arial" w:eastAsia="Arial" w:hAnsi="Arial"/>
          <w:sz w:val="16"/>
          <w:szCs w:val="16"/>
          <w:color w:val="auto"/>
        </w:rPr>
        <w:t xml:space="preserve">, </w:t>
      </w:r>
      <w:hyperlink r:id="rId60">
        <w:r>
          <w:rPr>
            <w:rFonts w:ascii="Arial" w:cs="Arial" w:eastAsia="Arial" w:hAnsi="Arial"/>
            <w:sz w:val="16"/>
            <w:szCs w:val="16"/>
            <w:u w:val="single" w:color="auto"/>
            <w:color w:val="0000EE"/>
          </w:rPr>
          <w:t>May 31, 2023</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r:id="rId61">
        <w:r>
          <w:rPr>
            <w:rFonts w:ascii="Arial" w:cs="Arial" w:eastAsia="Arial" w:hAnsi="Arial"/>
            <w:sz w:val="16"/>
            <w:szCs w:val="16"/>
            <w:u w:val="single" w:color="auto"/>
            <w:color w:val="0000EE"/>
          </w:rPr>
          <w:t>June 9, 2023</w:t>
        </w:r>
      </w:hyperlink>
      <w:r>
        <w:rPr>
          <w:rFonts w:ascii="Arial" w:cs="Arial" w:eastAsia="Arial" w:hAnsi="Arial"/>
          <w:sz w:val="16"/>
          <w:szCs w:val="16"/>
          <w:color w:val="auto"/>
        </w:rPr>
        <w:t>; and</w:t>
      </w:r>
    </w:p>
    <w:p>
      <w:pPr>
        <w:spacing w:after="0" w:line="153" w:lineRule="exact"/>
        <w:rPr>
          <w:rFonts w:ascii="Arial" w:cs="Arial" w:eastAsia="Arial" w:hAnsi="Arial"/>
          <w:sz w:val="16"/>
          <w:szCs w:val="16"/>
          <w:color w:val="auto"/>
        </w:rPr>
      </w:pPr>
    </w:p>
    <w:p>
      <w:pPr>
        <w:ind w:left="1080" w:right="4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our </w:t>
      </w:r>
      <w:hyperlink r:id="rId62">
        <w:r>
          <w:rPr>
            <w:rFonts w:ascii="Arial" w:cs="Arial" w:eastAsia="Arial" w:hAnsi="Arial"/>
            <w:sz w:val="18"/>
            <w:szCs w:val="18"/>
            <w:u w:val="single" w:color="auto"/>
            <w:color w:val="0000EE"/>
          </w:rPr>
          <w:t>Definitive Proxy Statement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on Schedule 14A, filed on April 13, 2023 (solely to the extent incorporated by reference into Part III of our Annual Report on Form 10-K for the year ended December 31, 2022).</w:t>
      </w:r>
    </w:p>
    <w:p>
      <w:pPr>
        <w:spacing w:after="0" w:line="170" w:lineRule="exact"/>
        <w:rPr>
          <w:rFonts w:ascii="Arial" w:cs="Arial" w:eastAsia="Arial" w:hAnsi="Arial"/>
          <w:sz w:val="16"/>
          <w:szCs w:val="16"/>
          <w:color w:val="auto"/>
        </w:rPr>
      </w:pPr>
    </w:p>
    <w:p>
      <w:pPr>
        <w:jc w:val="both"/>
        <w:ind w:left="120" w:right="300" w:firstLine="440"/>
        <w:spacing w:after="0" w:line="311" w:lineRule="auto"/>
        <w:rPr>
          <w:sz w:val="20"/>
          <w:szCs w:val="20"/>
          <w:color w:val="auto"/>
        </w:rPr>
      </w:pPr>
      <w:r>
        <w:rPr>
          <w:rFonts w:ascii="Arial" w:cs="Arial" w:eastAsia="Arial" w:hAnsi="Arial"/>
          <w:sz w:val="16"/>
          <w:szCs w:val="16"/>
          <w:color w:val="auto"/>
        </w:rPr>
        <w:t>We will provide, without charge, upon written or oral request, a copy of any or all of the documents that are incorporated by reference into this prospectus supplement or the accompanying prospectus, excluding any exhibits to those documents unless the exhibit is specifically incorporated by reference as an exhibit in this prospectus supplement or the accompanying prospectus. You should direct requests for documents to:</w:t>
      </w:r>
    </w:p>
    <w:p>
      <w:pPr>
        <w:spacing w:after="0" w:line="149" w:lineRule="exact"/>
        <w:rPr>
          <w:rFonts w:ascii="Arial" w:cs="Arial" w:eastAsia="Arial" w:hAnsi="Arial"/>
          <w:sz w:val="16"/>
          <w:szCs w:val="16"/>
          <w:color w:val="auto"/>
        </w:rPr>
      </w:pPr>
    </w:p>
    <w:p>
      <w:pPr>
        <w:jc w:val="center"/>
        <w:ind w:right="-119"/>
        <w:spacing w:after="0"/>
        <w:rPr>
          <w:sz w:val="20"/>
          <w:szCs w:val="20"/>
          <w:color w:val="auto"/>
        </w:rPr>
      </w:pPr>
      <w:r>
        <w:rPr>
          <w:rFonts w:ascii="Arial" w:cs="Arial" w:eastAsia="Arial" w:hAnsi="Arial"/>
          <w:sz w:val="18"/>
          <w:szCs w:val="18"/>
          <w:color w:val="auto"/>
        </w:rPr>
        <w:t>Navient Corporation</w:t>
      </w:r>
    </w:p>
    <w:p>
      <w:pPr>
        <w:spacing w:after="0" w:line="23" w:lineRule="exact"/>
        <w:rPr>
          <w:rFonts w:ascii="Arial" w:cs="Arial" w:eastAsia="Arial" w:hAnsi="Arial"/>
          <w:sz w:val="16"/>
          <w:szCs w:val="16"/>
          <w:color w:val="auto"/>
        </w:rPr>
      </w:pPr>
    </w:p>
    <w:p>
      <w:pPr>
        <w:jc w:val="center"/>
        <w:ind w:right="-119"/>
        <w:spacing w:after="0"/>
        <w:rPr>
          <w:sz w:val="20"/>
          <w:szCs w:val="20"/>
          <w:color w:val="auto"/>
        </w:rPr>
      </w:pPr>
      <w:r>
        <w:rPr>
          <w:rFonts w:ascii="Arial" w:cs="Arial" w:eastAsia="Arial" w:hAnsi="Arial"/>
          <w:sz w:val="18"/>
          <w:szCs w:val="18"/>
          <w:color w:val="auto"/>
        </w:rPr>
        <w:t>13865 Sunrise Valley Drive</w:t>
      </w:r>
    </w:p>
    <w:p>
      <w:pPr>
        <w:spacing w:after="0" w:line="9" w:lineRule="exact"/>
        <w:rPr>
          <w:rFonts w:ascii="Arial" w:cs="Arial" w:eastAsia="Arial" w:hAnsi="Arial"/>
          <w:sz w:val="16"/>
          <w:szCs w:val="16"/>
          <w:color w:val="auto"/>
        </w:rPr>
      </w:pPr>
    </w:p>
    <w:p>
      <w:pPr>
        <w:jc w:val="center"/>
        <w:ind w:right="-119"/>
        <w:spacing w:after="0"/>
        <w:rPr>
          <w:sz w:val="20"/>
          <w:szCs w:val="20"/>
          <w:color w:val="auto"/>
        </w:rPr>
      </w:pPr>
      <w:r>
        <w:rPr>
          <w:rFonts w:ascii="Arial" w:cs="Arial" w:eastAsia="Arial" w:hAnsi="Arial"/>
          <w:sz w:val="18"/>
          <w:szCs w:val="18"/>
          <w:color w:val="auto"/>
        </w:rPr>
        <w:t>Herndon, Virginia 20171</w:t>
      </w:r>
    </w:p>
    <w:p>
      <w:pPr>
        <w:spacing w:after="0" w:line="9" w:lineRule="exact"/>
        <w:rPr>
          <w:rFonts w:ascii="Arial" w:cs="Arial" w:eastAsia="Arial" w:hAnsi="Arial"/>
          <w:sz w:val="16"/>
          <w:szCs w:val="16"/>
          <w:color w:val="auto"/>
        </w:rPr>
      </w:pPr>
    </w:p>
    <w:p>
      <w:pPr>
        <w:jc w:val="center"/>
        <w:ind w:right="-119"/>
        <w:spacing w:after="0"/>
        <w:rPr>
          <w:sz w:val="20"/>
          <w:szCs w:val="20"/>
          <w:color w:val="auto"/>
        </w:rPr>
      </w:pPr>
      <w:r>
        <w:rPr>
          <w:rFonts w:ascii="Arial" w:cs="Arial" w:eastAsia="Arial" w:hAnsi="Arial"/>
          <w:sz w:val="18"/>
          <w:szCs w:val="18"/>
          <w:color w:val="auto"/>
        </w:rPr>
        <w:t>Attention: Corporate Secretary</w:t>
      </w:r>
    </w:p>
    <w:p>
      <w:pPr>
        <w:spacing w:after="0" w:line="9" w:lineRule="exact"/>
        <w:rPr>
          <w:rFonts w:ascii="Arial" w:cs="Arial" w:eastAsia="Arial" w:hAnsi="Arial"/>
          <w:sz w:val="16"/>
          <w:szCs w:val="16"/>
          <w:color w:val="auto"/>
        </w:rPr>
      </w:pPr>
    </w:p>
    <w:p>
      <w:pPr>
        <w:jc w:val="center"/>
        <w:ind w:right="-119"/>
        <w:spacing w:after="0"/>
        <w:rPr>
          <w:sz w:val="20"/>
          <w:szCs w:val="20"/>
          <w:color w:val="auto"/>
        </w:rPr>
      </w:pPr>
      <w:r>
        <w:rPr>
          <w:rFonts w:ascii="Arial" w:cs="Arial" w:eastAsia="Arial" w:hAnsi="Arial"/>
          <w:sz w:val="18"/>
          <w:szCs w:val="18"/>
          <w:color w:val="auto"/>
        </w:rPr>
        <w:t>Telephone: (703) 810-3000</w:t>
      </w:r>
    </w:p>
    <w:p>
      <w:pPr>
        <w:spacing w:after="0" w:line="143" w:lineRule="exact"/>
        <w:rPr>
          <w:rFonts w:ascii="Arial" w:cs="Arial" w:eastAsia="Arial" w:hAnsi="Arial"/>
          <w:sz w:val="16"/>
          <w:szCs w:val="16"/>
          <w:color w:val="auto"/>
        </w:rPr>
      </w:pPr>
    </w:p>
    <w:p>
      <w:pPr>
        <w:jc w:val="center"/>
        <w:ind w:right="-11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140"/>
          </w:cols>
          <w:pgMar w:left="320" w:top="459" w:right="4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205740</wp:posOffset>
            </wp:positionV>
            <wp:extent cx="1808480" cy="3003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180848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79"/>
        <w:spacing w:after="0"/>
        <w:rPr>
          <w:sz w:val="20"/>
          <w:szCs w:val="20"/>
          <w:color w:val="auto"/>
        </w:rPr>
      </w:pPr>
      <w:r>
        <w:rPr>
          <w:rFonts w:ascii="Arial" w:cs="Arial" w:eastAsia="Arial" w:hAnsi="Arial"/>
          <w:sz w:val="43"/>
          <w:szCs w:val="43"/>
          <w:b w:val="1"/>
          <w:bCs w:val="1"/>
          <w:color w:val="auto"/>
        </w:rPr>
        <w:t>NAVIENT CORPORATION</w:t>
      </w: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Debt Securities</w:t>
      </w:r>
    </w:p>
    <w:p>
      <w:pPr>
        <w:spacing w:after="0" w:line="38"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Common Stock</w:t>
      </w:r>
    </w:p>
    <w:p>
      <w:pPr>
        <w:spacing w:after="0" w:line="10"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offer, issue and sell, together or separately:</w:t>
      </w:r>
    </w:p>
    <w:p>
      <w:pPr>
        <w:spacing w:after="0" w:line="131"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debt securities, which may be issued in one or more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shares of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shares of preferred stock, which may be issued in one or more series;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warrants to purchase shares of common stock, shares of preferred stock, debt securities or units of two or more of these types of securities;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units, each representing a combination of two or more of the foregoing securities.</w:t>
      </w:r>
    </w:p>
    <w:p>
      <w:pPr>
        <w:spacing w:after="0" w:line="225"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We will provide the specific prices and terms of these securities in one or more supplements to this prospectus at the time of offering. You should read this prospectus and any accompanying prospectus supplement carefully before you make your investment decision. We refer to our debt securities, common stock, preferred stock, warrants and units collectively as the “securities.” Any or all of the securities may be offered and sold separately or together. The debt securities and preferred stock may be convertible into or exchangeable or exercisable for other securities. We will provide specific terms of these securities, and the manner in which these securities will be offered, in supplements to this prospectus. The prospectus supplements may also add, update or change information contained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207645</wp:posOffset>
            </wp:positionV>
            <wp:extent cx="1474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9"/>
          <w:szCs w:val="19"/>
          <w:b w:val="1"/>
          <w:bCs w:val="1"/>
          <w:color w:val="auto"/>
        </w:rPr>
        <w:t>Investing in our securities involves risks. You should carefully read this prospectus and the applicable prospectus supplement, including the section entitled “</w:t>
      </w:r>
      <w:r>
        <w:rPr>
          <w:rFonts w:ascii="Arial" w:cs="Arial" w:eastAsia="Arial" w:hAnsi="Arial"/>
          <w:sz w:val="19"/>
          <w:szCs w:val="19"/>
          <w:b w:val="1"/>
          <w:bCs w:val="1"/>
          <w:u w:val="single" w:color="auto"/>
          <w:color w:val="0000EE"/>
        </w:rPr>
        <w:t>Risk Factors</w:t>
      </w:r>
      <w:r>
        <w:rPr>
          <w:rFonts w:ascii="Arial" w:cs="Arial" w:eastAsia="Arial" w:hAnsi="Arial"/>
          <w:sz w:val="19"/>
          <w:szCs w:val="19"/>
          <w:b w:val="1"/>
          <w:bCs w:val="1"/>
          <w:color w:val="auto"/>
        </w:rPr>
        <w:t>” beginning on page 5 of this prospectus, the section entitled “Risk Factors” in the applicable prospectus supplement and risk factors in our periodic reports and other information filed with the Securities and Exchange Commission before investing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189230</wp:posOffset>
            </wp:positionV>
            <wp:extent cx="1474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We may offer securities through underwriting syndicates managed or co-managed by one or more underwriters or dealers, through agents or directly to purchasers. If required, the prospectus supplement for each offering of securities will describe the plan of distribution for that offering. For general information about the distribution of securities offered, please see “Plan of Distribution” in this prospectus.</w:t>
      </w:r>
    </w:p>
    <w:p>
      <w:pPr>
        <w:spacing w:after="0" w:line="165"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Our common stock is listed on NASDAQ under the trading symbol “NAVI.” Each prospectus supplement will indicate whether the securities offered thereby will be listed on any securities exchange.</w:t>
      </w:r>
    </w:p>
    <w:p>
      <w:pPr>
        <w:spacing w:after="0" w:line="166" w:lineRule="exact"/>
        <w:rPr>
          <w:sz w:val="20"/>
          <w:szCs w:val="20"/>
          <w:color w:val="auto"/>
        </w:rPr>
      </w:pPr>
    </w:p>
    <w:p>
      <w:pPr>
        <w:ind w:left="120" w:right="80" w:firstLine="44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or any accompanying prospectus supplement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217805</wp:posOffset>
            </wp:positionV>
            <wp:extent cx="14744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This prospectus is dated April 20, 2023</w:t>
      </w:r>
    </w:p>
    <w:p>
      <w:pPr>
        <w:sectPr>
          <w:pgSz w:w="11900" w:h="16838" w:orient="portrait"/>
          <w:cols w:equalWidth="0" w:num="1">
            <w:col w:w="11060"/>
          </w:cols>
          <w:pgMar w:left="320" w:top="459" w:right="51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180" w:type="dxa"/>
            <w:vAlign w:val="bottom"/>
            <w:gridSpan w:val="5"/>
          </w:tcPr>
          <w:p>
            <w:pPr>
              <w:ind w:left="74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412"/>
        </w:trPr>
        <w:tc>
          <w:tcPr>
            <w:tcW w:w="3800" w:type="dxa"/>
            <w:vAlign w:val="bottom"/>
            <w:gridSpan w:val="14"/>
            <w:vMerge w:val="restart"/>
          </w:tcPr>
          <w:p>
            <w:pPr>
              <w:spacing w:after="0"/>
              <w:rPr>
                <w:sz w:val="20"/>
                <w:szCs w:val="20"/>
                <w:color w:val="auto"/>
              </w:rPr>
            </w:pPr>
            <w:r>
              <w:rPr>
                <w:rFonts w:ascii="Arial" w:cs="Arial" w:eastAsia="Arial" w:hAnsi="Arial"/>
                <w:sz w:val="18"/>
                <w:szCs w:val="18"/>
                <w:color w:val="0000EE"/>
              </w:rPr>
              <w:t>ABOUT THIS PROSPECTUS</w:t>
            </w:r>
          </w:p>
        </w:tc>
        <w:tc>
          <w:tcPr>
            <w:tcW w:w="74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420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5"/>
        </w:trPr>
        <w:tc>
          <w:tcPr>
            <w:tcW w:w="3800" w:type="dxa"/>
            <w:vAlign w:val="bottom"/>
            <w:gridSpan w:val="14"/>
            <w:vMerge w:val="continue"/>
          </w:tcPr>
          <w:p>
            <w:pPr>
              <w:spacing w:after="0"/>
              <w:rPr>
                <w:sz w:val="13"/>
                <w:szCs w:val="13"/>
                <w:color w:val="auto"/>
              </w:rPr>
            </w:pPr>
          </w:p>
        </w:tc>
        <w:tc>
          <w:tcPr>
            <w:tcW w:w="7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1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gridSpan w:val="14"/>
          </w:tcPr>
          <w:p>
            <w:pPr>
              <w:spacing w:after="0"/>
              <w:rPr>
                <w:sz w:val="20"/>
                <w:szCs w:val="20"/>
                <w:color w:val="auto"/>
              </w:rPr>
            </w:pPr>
            <w:r>
              <w:rPr>
                <w:rFonts w:ascii="Arial" w:cs="Arial" w:eastAsia="Arial" w:hAnsi="Arial"/>
                <w:sz w:val="18"/>
                <w:szCs w:val="18"/>
                <w:color w:val="0000EE"/>
              </w:rPr>
              <w:t>FORWARD-LOOKING STATEMENTS</w:t>
            </w:r>
          </w:p>
        </w:tc>
        <w:tc>
          <w:tcPr>
            <w:tcW w:w="7180" w:type="dxa"/>
            <w:vAlign w:val="bottom"/>
            <w:gridSpan w:val="5"/>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2920" w:type="dxa"/>
            <w:vAlign w:val="bottom"/>
            <w:tcBorders>
              <w:top w:val="single" w:sz="8" w:color="0000EE"/>
            </w:tcBorders>
            <w:gridSpan w:val="12"/>
          </w:tcPr>
          <w:p>
            <w:pPr>
              <w:spacing w:after="0" w:line="196" w:lineRule="exact"/>
              <w:rPr>
                <w:sz w:val="20"/>
                <w:szCs w:val="20"/>
                <w:color w:val="auto"/>
              </w:rPr>
            </w:pPr>
            <w:r>
              <w:rPr>
                <w:rFonts w:ascii="Arial" w:cs="Arial" w:eastAsia="Arial" w:hAnsi="Arial"/>
                <w:sz w:val="18"/>
                <w:szCs w:val="18"/>
                <w:color w:val="0000EE"/>
              </w:rPr>
              <w:t>ABOUT NAVIENT CORPORATION</w:t>
            </w:r>
          </w:p>
        </w:tc>
        <w:tc>
          <w:tcPr>
            <w:tcW w:w="880" w:type="dxa"/>
            <w:vAlign w:val="bottom"/>
            <w:gridSpan w:val="2"/>
          </w:tcPr>
          <w:p>
            <w:pPr>
              <w:spacing w:after="0"/>
              <w:rPr>
                <w:sz w:val="17"/>
                <w:szCs w:val="17"/>
                <w:color w:val="auto"/>
              </w:rPr>
            </w:pPr>
          </w:p>
        </w:tc>
        <w:tc>
          <w:tcPr>
            <w:tcW w:w="718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740" w:type="dxa"/>
            <w:vAlign w:val="bottom"/>
            <w:tcBorders>
              <w:top w:val="single" w:sz="8" w:color="0000EE"/>
            </w:tcBorders>
            <w:gridSpan w:val="10"/>
          </w:tcPr>
          <w:p>
            <w:pPr>
              <w:spacing w:after="0" w:line="196" w:lineRule="exact"/>
              <w:rPr>
                <w:sz w:val="20"/>
                <w:szCs w:val="20"/>
                <w:color w:val="auto"/>
              </w:rPr>
            </w:pPr>
            <w:r>
              <w:rPr>
                <w:rFonts w:ascii="Arial" w:cs="Arial" w:eastAsia="Arial" w:hAnsi="Arial"/>
                <w:sz w:val="18"/>
                <w:szCs w:val="18"/>
                <w:color w:val="0000EE"/>
              </w:rPr>
              <w:t>RISK FACTORS</w:t>
            </w:r>
          </w:p>
        </w:tc>
        <w:tc>
          <w:tcPr>
            <w:tcW w:w="1060" w:type="dxa"/>
            <w:vAlign w:val="bottom"/>
            <w:gridSpan w:val="4"/>
          </w:tcPr>
          <w:p>
            <w:pPr>
              <w:spacing w:after="0"/>
              <w:rPr>
                <w:sz w:val="17"/>
                <w:szCs w:val="17"/>
                <w:color w:val="auto"/>
              </w:rPr>
            </w:pPr>
          </w:p>
        </w:tc>
        <w:tc>
          <w:tcPr>
            <w:tcW w:w="718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1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0"/>
              </w:rPr>
              <w:t>USE OF PROCEEDS</w:t>
            </w:r>
          </w:p>
        </w:tc>
        <w:tc>
          <w:tcPr>
            <w:tcW w:w="2220" w:type="dxa"/>
            <w:vAlign w:val="bottom"/>
            <w:gridSpan w:val="10"/>
          </w:tcPr>
          <w:p>
            <w:pPr>
              <w:spacing w:after="0"/>
              <w:rPr>
                <w:sz w:val="17"/>
                <w:szCs w:val="17"/>
                <w:color w:val="auto"/>
              </w:rPr>
            </w:pPr>
          </w:p>
        </w:tc>
        <w:tc>
          <w:tcPr>
            <w:tcW w:w="718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240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4"/>
              </w:rPr>
              <w:t>SECURITIES WE MAY OFFER</w:t>
            </w:r>
          </w:p>
        </w:tc>
        <w:tc>
          <w:tcPr>
            <w:tcW w:w="1400" w:type="dxa"/>
            <w:vAlign w:val="bottom"/>
            <w:gridSpan w:val="6"/>
          </w:tcPr>
          <w:p>
            <w:pPr>
              <w:spacing w:after="0"/>
              <w:rPr>
                <w:sz w:val="17"/>
                <w:szCs w:val="17"/>
                <w:color w:val="auto"/>
              </w:rPr>
            </w:pPr>
          </w:p>
        </w:tc>
        <w:tc>
          <w:tcPr>
            <w:tcW w:w="718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302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4"/>
              </w:rPr>
              <w:t>DESCRIPTION OF DEBT SECURITIES</w:t>
            </w:r>
          </w:p>
        </w:tc>
        <w:tc>
          <w:tcPr>
            <w:tcW w:w="780" w:type="dxa"/>
            <w:vAlign w:val="bottom"/>
          </w:tcPr>
          <w:p>
            <w:pPr>
              <w:spacing w:after="0"/>
              <w:rPr>
                <w:sz w:val="17"/>
                <w:szCs w:val="17"/>
                <w:color w:val="auto"/>
              </w:rPr>
            </w:pPr>
          </w:p>
        </w:tc>
        <w:tc>
          <w:tcPr>
            <w:tcW w:w="718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3800" w:type="dxa"/>
            <w:vAlign w:val="bottom"/>
            <w:gridSpan w:val="14"/>
          </w:tcPr>
          <w:p>
            <w:pPr>
              <w:spacing w:after="0" w:line="196" w:lineRule="exact"/>
              <w:rPr>
                <w:sz w:val="20"/>
                <w:szCs w:val="20"/>
                <w:color w:val="auto"/>
              </w:rPr>
            </w:pPr>
            <w:r>
              <w:rPr>
                <w:rFonts w:ascii="Arial" w:cs="Arial" w:eastAsia="Arial" w:hAnsi="Arial"/>
                <w:sz w:val="18"/>
                <w:szCs w:val="18"/>
                <w:color w:val="0000EE"/>
              </w:rPr>
              <w:t>DESCRIPTION OF CAPITAL STOCK</w:t>
            </w:r>
          </w:p>
        </w:tc>
        <w:tc>
          <w:tcPr>
            <w:tcW w:w="718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2480" w:type="dxa"/>
            <w:vAlign w:val="bottom"/>
            <w:tcBorders>
              <w:top w:val="single" w:sz="8" w:color="0000EE"/>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4"/>
              </w:rPr>
              <w:t>DESCRIPTION OF WARRANTS</w:t>
            </w:r>
          </w:p>
        </w:tc>
        <w:tc>
          <w:tcPr>
            <w:tcW w:w="380" w:type="dxa"/>
            <w:vAlign w:val="bottom"/>
            <w:tcBorders>
              <w:top w:val="single" w:sz="8" w:color="0000EE"/>
            </w:tcBorders>
            <w:gridSpan w:val="2"/>
          </w:tcPr>
          <w:p>
            <w:pPr>
              <w:spacing w:after="0"/>
              <w:rPr>
                <w:sz w:val="17"/>
                <w:szCs w:val="17"/>
                <w:color w:val="auto"/>
              </w:rPr>
            </w:pPr>
          </w:p>
        </w:tc>
        <w:tc>
          <w:tcPr>
            <w:tcW w:w="940" w:type="dxa"/>
            <w:vAlign w:val="bottom"/>
            <w:gridSpan w:val="3"/>
          </w:tcPr>
          <w:p>
            <w:pPr>
              <w:spacing w:after="0"/>
              <w:rPr>
                <w:sz w:val="17"/>
                <w:szCs w:val="17"/>
                <w:color w:val="auto"/>
              </w:rPr>
            </w:pPr>
          </w:p>
        </w:tc>
        <w:tc>
          <w:tcPr>
            <w:tcW w:w="718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202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4"/>
              </w:rPr>
              <w:t>DESCRIPTION OF UNITS</w:t>
            </w:r>
          </w:p>
        </w:tc>
        <w:tc>
          <w:tcPr>
            <w:tcW w:w="1780" w:type="dxa"/>
            <w:vAlign w:val="bottom"/>
            <w:gridSpan w:val="9"/>
          </w:tcPr>
          <w:p>
            <w:pPr>
              <w:spacing w:after="0"/>
              <w:rPr>
                <w:sz w:val="17"/>
                <w:szCs w:val="17"/>
                <w:color w:val="auto"/>
              </w:rPr>
            </w:pPr>
          </w:p>
        </w:tc>
        <w:tc>
          <w:tcPr>
            <w:tcW w:w="718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3800" w:type="dxa"/>
            <w:vAlign w:val="bottom"/>
            <w:gridSpan w:val="14"/>
          </w:tcPr>
          <w:p>
            <w:pPr>
              <w:spacing w:after="0" w:line="196" w:lineRule="exact"/>
              <w:rPr>
                <w:sz w:val="20"/>
                <w:szCs w:val="20"/>
                <w:color w:val="auto"/>
              </w:rPr>
            </w:pPr>
            <w:r>
              <w:rPr>
                <w:rFonts w:ascii="Arial" w:cs="Arial" w:eastAsia="Arial" w:hAnsi="Arial"/>
                <w:sz w:val="18"/>
                <w:szCs w:val="18"/>
                <w:color w:val="0000EE"/>
              </w:rPr>
              <w:t>PLAN OF DISTRIBUTION</w:t>
            </w:r>
          </w:p>
        </w:tc>
        <w:tc>
          <w:tcPr>
            <w:tcW w:w="718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6"/>
              </w:rPr>
              <w:t>LEGAL MATTERS</w:t>
            </w:r>
          </w:p>
        </w:tc>
        <w:tc>
          <w:tcPr>
            <w:tcW w:w="580" w:type="dxa"/>
            <w:vAlign w:val="bottom"/>
            <w:tcBorders>
              <w:top w:val="single" w:sz="8" w:color="0000EE"/>
            </w:tcBorders>
            <w:gridSpan w:val="3"/>
          </w:tcPr>
          <w:p>
            <w:pPr>
              <w:spacing w:after="0"/>
              <w:rPr>
                <w:sz w:val="17"/>
                <w:szCs w:val="17"/>
                <w:color w:val="auto"/>
              </w:rPr>
            </w:pPr>
          </w:p>
        </w:tc>
        <w:tc>
          <w:tcPr>
            <w:tcW w:w="1760" w:type="dxa"/>
            <w:vAlign w:val="bottom"/>
            <w:gridSpan w:val="8"/>
          </w:tcPr>
          <w:p>
            <w:pPr>
              <w:spacing w:after="0"/>
              <w:rPr>
                <w:sz w:val="17"/>
                <w:szCs w:val="17"/>
                <w:color w:val="auto"/>
              </w:rPr>
            </w:pPr>
          </w:p>
        </w:tc>
        <w:tc>
          <w:tcPr>
            <w:tcW w:w="718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3800" w:type="dxa"/>
            <w:vAlign w:val="bottom"/>
            <w:gridSpan w:val="14"/>
          </w:tcPr>
          <w:p>
            <w:pPr>
              <w:spacing w:after="0" w:line="196" w:lineRule="exact"/>
              <w:rPr>
                <w:sz w:val="20"/>
                <w:szCs w:val="20"/>
                <w:color w:val="auto"/>
              </w:rPr>
            </w:pPr>
            <w:r>
              <w:rPr>
                <w:rFonts w:ascii="Arial" w:cs="Arial" w:eastAsia="Arial" w:hAnsi="Arial"/>
                <w:sz w:val="18"/>
                <w:szCs w:val="18"/>
                <w:color w:val="0000EE"/>
              </w:rPr>
              <w:t>EXPERTS</w:t>
            </w:r>
          </w:p>
        </w:tc>
        <w:tc>
          <w:tcPr>
            <w:tcW w:w="718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040" w:type="dxa"/>
            <w:vAlign w:val="bottom"/>
            <w:gridSpan w:val="13"/>
          </w:tcPr>
          <w:p>
            <w:pPr>
              <w:spacing w:after="0" w:line="20" w:lineRule="exact"/>
              <w:rPr>
                <w:sz w:val="1"/>
                <w:szCs w:val="1"/>
                <w:color w:val="auto"/>
              </w:rPr>
            </w:pPr>
          </w:p>
        </w:tc>
        <w:tc>
          <w:tcPr>
            <w:tcW w:w="71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6"/>
              </w:rPr>
              <w:t>WHERE YOU CAN FIND MORE INFORMATION</w:t>
            </w:r>
          </w:p>
        </w:tc>
        <w:tc>
          <w:tcPr>
            <w:tcW w:w="718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This prospectus is part of an “automatic shelf” registration statement that we filed with the Securities and Exchange Commission (the “SEC”) as a “well-known seasoned issuer” as defined in Rule 405 under the Securities Act of 1933, as amended (the “Securities Act”), using a “shelf” registration process. Under this process, we may sell from time to time any combination of the securities described in this prospectus. This prospectus only provides you with a general description of the securities that we may offer. Each time we sell securities, we will provide a supplement to this prospectus that contains specific information about the terms of that offering, including the specific amounts, prices and terms of the securities offered. The prospectus supplement may also add, update or change information contained in this prospectus. You should carefully read both this prospectus, any accompanying prospectus supplement and any free writing prospectus prepared by or on behalf of us, together with the additional information described under the heading “Where You Can Find More Information.”</w:t>
      </w:r>
    </w:p>
    <w:p>
      <w:pPr>
        <w:spacing w:after="0" w:line="178"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We have not authorized anyone to provide you with any information other than that contained in or incorporated by reference into this prospectus, any accompanying prospectus supplement and any free writing prospectus prepared by or on behalf of us. We take no responsibility for, and can provide no assurance as to the reliability of, any other information that others may give you. We are not making offers to sell the securities in any jurisdiction in which an offer or solicitation is not authorized or in which the person making such offer or solicitation is not qualified to do so or to anyone to whom it is unlawful to make an offer or solicitation.</w:t>
      </w:r>
    </w:p>
    <w:p>
      <w:pPr>
        <w:spacing w:after="0" w:line="188"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information in this prospectus is accurate as of the date on the front cover. You should not assume that the information contained in this prospectus is accurate as of any other date.</w:t>
      </w:r>
    </w:p>
    <w:p>
      <w:pPr>
        <w:spacing w:after="0" w:line="170"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When used in this prospectus, the terms “Navient,” the “Company,” “we,” “our” and “us” refer to Navient Corporation and its consolidated subsidiaries, unless otherwise specified or the context otherwise requires.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00"/>
          </w:cols>
          <w:pgMar w:left="320" w:top="459" w:right="4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This prospectus and any accompanying prospectus supplement and any information incorporated by reference herein or therein contain forward-looking statements relating to future events or our future results. These statements are forward-looking statements within the meaning of Section 27A of the Securities Act and Section 21E of the Securities Exchange Act of 1934, as amended (the “Exchange Act”), and are intended to come within the safe harbor protection provided by those sections. Statements that are not historical facts, including statements about our beliefs, opinions or expectations and statements that assume or are dependent upon future events, are forward-looking statements and often contain words such as “expect,” “anticipate,” “intend,” “plan,” “believe,” “seek,” “see,” “will,” “would,” “may,” “could,” “should,” “goals” or “target.” Such statements are based on management’s expectations as of the date of this prospectus and involve many risks and uncertainties that could cause our actual results to differ materially from those expressed or implied in our forward-looking statements. Such risks and uncertainties are discussed more fully under the caption “Risk Factors” included in our Annual Report on Form 10-K for the year ended December 31, 2022 and include, but are not limited to the following:</w:t>
      </w:r>
    </w:p>
    <w:p>
      <w:pPr>
        <w:spacing w:after="0" w:line="72"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continuing impacts of the COVID-19 pandemic and related risks;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economic conditions, including the potential impact of persistent inflation and increasing interest rates on Navient and its clients and customers and on the creditworthiness of third parties;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defaults on education loans held by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 and availability of funding in the capital markets;</w:t>
      </w:r>
    </w:p>
    <w:p>
      <w:pPr>
        <w:spacing w:after="0" w:line="130" w:lineRule="exact"/>
        <w:rPr>
          <w:rFonts w:ascii="Arial" w:cs="Arial" w:eastAsia="Arial" w:hAnsi="Arial"/>
          <w:sz w:val="18"/>
          <w:szCs w:val="18"/>
          <w:color w:val="auto"/>
        </w:rPr>
      </w:pPr>
    </w:p>
    <w:p>
      <w:pPr>
        <w:ind w:left="1080" w:right="80" w:hanging="424"/>
        <w:spacing w:after="0" w:line="308" w:lineRule="auto"/>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changes in the general interest rate environment, including the availability of any relevant money-market index rate, including LIBOR, or the relationship between the relevant money-market index rate and the rate at which our assets are priced;</w:t>
      </w:r>
    </w:p>
    <w:p>
      <w:pPr>
        <w:spacing w:after="0" w:line="51" w:lineRule="exact"/>
        <w:rPr>
          <w:rFonts w:ascii="Arial" w:cs="Arial" w:eastAsia="Arial" w:hAnsi="Arial"/>
          <w:sz w:val="17"/>
          <w:szCs w:val="17"/>
          <w:color w:val="auto"/>
        </w:rPr>
      </w:pPr>
    </w:p>
    <w:p>
      <w:pPr>
        <w:ind w:left="1080" w:right="20" w:hanging="424"/>
        <w:spacing w:after="0" w:line="301"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unanticipated repayment trends on education loans including prepayments or deferrals resulting from new interpretations of current laws, rules or regulations or future laws, executive orders or other policy initiatives which operate to encourage or require consolidation, abolish existing or create additional income-based repayment or debt forgiveness programs or establish other policies and programs which may increase the prepayment rates on education loans and accelerate repayment of the bonds in our securitization trusts;</w:t>
      </w:r>
    </w:p>
    <w:p>
      <w:pPr>
        <w:spacing w:after="0" w:line="62" w:lineRule="exact"/>
        <w:rPr>
          <w:rFonts w:ascii="Arial" w:cs="Arial" w:eastAsia="Arial" w:hAnsi="Arial"/>
          <w:sz w:val="16"/>
          <w:szCs w:val="16"/>
          <w:color w:val="auto"/>
        </w:rPr>
      </w:pPr>
    </w:p>
    <w:p>
      <w:pPr>
        <w:jc w:val="both"/>
        <w:ind w:left="1080" w:right="60" w:hanging="424"/>
        <w:spacing w:after="0" w:line="263"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unhedged Floor Income, the additional spread earned on certain loans under the Federal Family Education Loan Program between the stated fixed rate of interest and the underlying variable debt interest rate expense, is dependent on the future interest rate environment and therefore is variable;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reduction in our credit ratings;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 market conditions or an inability to effectively manage our liquidity risk could negatively impact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interest rate characteristics of our assets do not always match those of our funding arrangements;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use of derivatives exposes us to credit and market risk;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continually and effectively align our cost structure with our business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failure or breach of our operating systems, infrastructure or information technology systems;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failure by any third party providing us material services or products or a breach or violation of law by one of these third parties;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to applicable laws, rules, regulations and government policies and expanded regulatory and governmental oversight;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work with government clients exposes us to additional risks inherent in the government contracting environment;</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80"/>
          </w:cols>
          <w:pgMar w:left="320" w:top="459" w:right="49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shareholder activism;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shareholders’ percentage ownership in Navient may be diluted in the future;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reputational risk and social factors;</w:t>
      </w:r>
    </w:p>
    <w:p>
      <w:pPr>
        <w:spacing w:after="0" w:line="130" w:lineRule="exact"/>
        <w:rPr>
          <w:rFonts w:ascii="Arial" w:cs="Arial" w:eastAsia="Arial" w:hAnsi="Arial"/>
          <w:sz w:val="18"/>
          <w:szCs w:val="18"/>
          <w:color w:val="auto"/>
        </w:rPr>
      </w:pPr>
    </w:p>
    <w:p>
      <w:pPr>
        <w:ind w:left="1080" w:right="72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obligations owed to parties under various transaction agreements that were executed as part of the spin-off of Navient from SLM Corporation;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acquisitions or strategic investments that we pursue.</w:t>
      </w:r>
    </w:p>
    <w:p>
      <w:pPr>
        <w:spacing w:after="0" w:line="22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preparation of our consolidated financial statements also requires management to make certain estimates and assumptions including estimates and assumptions about future events. These estimates or assumptions may prove to be incorrect and actual results could differ materially. All forward-looking statements contained in this prospectus are qualified by these cautionary statements and are made only as of the date of this document. We do not undertake any obligation to update or revise these forward-looking statements except as required by law.</w:t>
      </w:r>
    </w:p>
    <w:p>
      <w:pPr>
        <w:spacing w:after="0" w:line="171"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Given these risks and uncertainties, readers are cautioned not to place undue reliance on such forward-looking statements. For more information regarding these risks and uncertainties as well as certain additional risks that we face, investors should review the risks described in this prospectus and in the applicable prospectus supplement and those incorporated by reference into this prospectus, including those risks in our Annual Report on Form 10-K for the year ended December 31, 2022 and subsequent reports and registration statements filed from time to time with the SEC.</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80"/>
          </w:cols>
          <w:pgMar w:left="320" w:top="459" w:right="49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NAVIENT CORPORATION</w:t>
      </w:r>
    </w:p>
    <w:p>
      <w:pPr>
        <w:spacing w:after="0" w:line="229"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Navient Corporation is a leading provider of education loan management and business processing solutions for education, healthcare, and government clients at the federal, state, and local levels. We help our clients and millions of Americans achieve success through technology-enabled financing, services and support.</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 xml:space="preserve">Our principal executive offices are located at 123 Justison Street, Wilmington, Delaware 19801. Our telephone number is (302) 283-8000. Our website address is </w:t>
      </w:r>
      <w:r>
        <w:rPr>
          <w:rFonts w:ascii="Arial" w:cs="Arial" w:eastAsia="Arial" w:hAnsi="Arial"/>
          <w:sz w:val="18"/>
          <w:szCs w:val="18"/>
          <w:u w:val="single" w:color="auto"/>
          <w:color w:val="auto"/>
        </w:rPr>
        <w:t>www.navient.com</w:t>
      </w:r>
      <w:r>
        <w:rPr>
          <w:rFonts w:ascii="Arial" w:cs="Arial" w:eastAsia="Arial" w:hAnsi="Arial"/>
          <w:sz w:val="18"/>
          <w:szCs w:val="18"/>
          <w:color w:val="auto"/>
        </w:rPr>
        <w:t>. Information on, or accessible through, our website does not constitute part of this prospectus or any accompanying prospectus supplement.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Investing in our securities involves risk. Before you decide to invest in our securities, you should carefully consider the specific risks set forth under the caption “Risk Factors” included in our most recent, and subsequent, Annual Reports on Form 10-K, in our most recent, and subsequent, Quarterly Reports on Form 10-Q and in our other filings with the SEC that are incorporated by reference in this prospectus and any accompanying prospectus supplement. Before making an investment decision, you should carefully consider these risks as well as other information we include or incorporate by reference in this prospectus and any accompanying prospectus supplement. These risks could materially affect our business, financial condition or results of operations and cause the value of our securities to decline. You could lose all or part of your investment.</w:t>
      </w:r>
    </w:p>
    <w:p>
      <w:pPr>
        <w:spacing w:after="0" w:line="9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00"/>
          </w:cols>
          <w:pgMar w:left="320" w:top="459" w:right="77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Except as otherwise set forth in any accompanying prospectus supplement, we expect to use the net proceeds from the sale of securities for general corporate purposes, including the financing of our operations and debt repurchases.</w:t>
      </w:r>
    </w:p>
    <w:p>
      <w:pPr>
        <w:spacing w:after="0" w:line="10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60"/>
          </w:cols>
          <w:pgMar w:left="320" w:top="459" w:right="101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SECURITIES WE MAY OFFER</w:t>
      </w:r>
    </w:p>
    <w:p>
      <w:pPr>
        <w:spacing w:after="0" w:line="229"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This prospectus contains summary descriptions of the debt securities, preferred stock, common stock, warrants and units that may be offered and sold from time to time. These summary descriptions are not meant to be complete descriptions of each security. However, at the time of an offering and sale, this prospectus together with the accompanying prospectus supplement will contain the material terms of the securities being offered.</w:t>
      </w:r>
    </w:p>
    <w:p>
      <w:pPr>
        <w:spacing w:after="0" w:line="8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320" w:top="459" w:right="5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We may offer debt securities in one or more series, which may be senior, subordinated or junior subordinated, and which may be convertible into another security.</w:t>
      </w:r>
    </w:p>
    <w:p>
      <w:pPr>
        <w:spacing w:after="0" w:line="170"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following description briefly sets forth certain general terms and provisions of the debt securities. The particular terms of the debt securities offered by any prospectus supplement and the extent, if any, to which the following general terms and provisions may apply to the debt securities, will be described in an accompanying prospectus supplement. Unless otherwise specified in an accompanying prospectus supplement, our debt securities will be issued in one or more series under either an indenture between us and The Bank of New York Mellon, as trustee, dated as of July 18, 2014 (the “2014 Senior Indenture”), or an indenture between us (as successor to SLM Corporation and USA Education, Inc.) and The Bank of New York Mellon (as successor to J.P. Morgan Chase Bank, National Association, formerly Chase Manhattan Bank), dated as of October 1, 2000, as supplemented by the First Supplemental Indenture, dated as of October 11, 2006, the Seventh Supplemental Indenture, dated as of April 29, 2014, and the Eighth Supplemental Indenture, dated as of October 16, 2014 (the “2000 Senior Indenture” and, together with the 2014 Senior Indenture, the “indentures”). The terms of the debt securities will include those set forth in the applicable indenture and those made a part of such indenture by the Trust Indenture Act of 1939 (the “TIA”). You should read the summary below, any accompanying prospectus supplement and the provisions of the indentures and supplemental indenture, if any, in their entirety before investing in our debt securities.</w:t>
      </w:r>
    </w:p>
    <w:p>
      <w:pPr>
        <w:spacing w:after="0" w:line="182"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aggregate principal amount of debt securities that may be issued under the indentures is unlimited. The prospectus supplement relating to any series of debt securities that we may offer will contain the specific terms of that series of debt securities.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Debt Securities Issued Under the 2014 Senior Indenture</w:t>
      </w:r>
    </w:p>
    <w:p>
      <w:pPr>
        <w:spacing w:after="0" w:line="121" w:lineRule="exact"/>
        <w:rPr>
          <w:sz w:val="20"/>
          <w:szCs w:val="20"/>
          <w:color w:val="auto"/>
        </w:rPr>
      </w:pPr>
    </w:p>
    <w:p>
      <w:pPr>
        <w:ind w:left="120" w:right="600" w:firstLine="440"/>
        <w:spacing w:after="0" w:line="342" w:lineRule="auto"/>
        <w:rPr>
          <w:sz w:val="20"/>
          <w:szCs w:val="20"/>
          <w:color w:val="auto"/>
        </w:rPr>
      </w:pPr>
      <w:r>
        <w:rPr>
          <w:rFonts w:ascii="Arial" w:cs="Arial" w:eastAsia="Arial" w:hAnsi="Arial"/>
          <w:sz w:val="16"/>
          <w:szCs w:val="16"/>
          <w:color w:val="auto"/>
        </w:rPr>
        <w:t>With respect to debt securities issued under the 2014 Senior Indenture, authorizing resolutions, a written company order or a supplemental indenture will set forth the specific terms of each series of debt securities. These terms may include, among others, the following:</w:t>
      </w:r>
    </w:p>
    <w:p>
      <w:pPr>
        <w:spacing w:after="0" w:line="29"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title and aggregate principal amount of the debt securities and any limit on the aggregate principal amount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the debt securities will be subordinated and any applicable subordination provisions;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maturity date(s) or method for determining same;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interest rate(s) or the method for determining same;</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dates on which interest will accrue or the method for determining dates on which interest will accrue and dates on which interest will be payable and whether interest will be payable in cash, additional securities or some combination thereof;</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the debt securities are convertible or exchangeable into other securities and any related terms and conditions;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redemption or early repayment provisions;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authorized denominations;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other than the principal amount, the principal amount of debt securities payable upon acceleration;</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place(s) where payment of principal and interest may be made, where debt securities may be presented and where notices or demands upon the company may be made;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form or forms of the debt securities of the series including such legends as may be required by applicable law;</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32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the debt securities will be issued in whole or in part in the form of one or more global securities and the date as of which the securities are dated if other than the date of original issuance;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the debt securities are secured and the terms of such security;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amount of discount or premium, if any, with which the debt securities will be issued;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additions to or changes in the covenants that apply to such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additions or changes in the defaults and events of default applicable to the particular debt securities being issued;</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guarantors of each series, if any, and the extent of the guarantees (including provisions relating to seniority, subordination and release of the guarantees), if any;</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currency, currencies or currency units in which the purchase price for, the principal of and any premium and any interest on, the debt securities will be payable;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time period within which, the manner in which and the terms and conditions upon which we can select the payment currency;</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obligation or right to redeem, purchase or repay debt securities under a sinking fund, amortization or analogous provision;</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restriction or conditions on the transferability of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provisions granting special rights to holders of the debt securities upon occurrence of specified events;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additions or changes relating to compensation or reimbursement of the trustee of the series of debt securities;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additions or changes to the provisions for the defeasance of the debt securities or to provisions related to satisfaction and discharge of the indenture;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provisions relating to the modification of the indenture both with and without the consent of holders of debt;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securities issued under the indenture and the execution of supplemental indentures for such series; and</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other terms of the debt securities (which terms shall not be inconsistent with the provisions of the TIA, but may modify, amend, supplement or delete any of the terms of the indenture with respect to such series of debt securities).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Debt Securities Issued Under the 2000 Senior Indenture</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With respect to debt securities issued under the 2000 Senior Indenture, authorizing resolutions, a certificate or a supplemental indenture will set forth the specific terms of each series of debt securities. These terms may include, among others, the following:</w:t>
      </w:r>
    </w:p>
    <w:p>
      <w:pPr>
        <w:spacing w:after="0" w:line="76" w:lineRule="exact"/>
        <w:rPr>
          <w:sz w:val="20"/>
          <w:szCs w:val="20"/>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title of the debt securities and their CUSIP and ISIN numbers, as applicable;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series of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date or dates on which principal and premium, if any, of the debt securities will be payable;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the debt securities will bear interest:</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interest rate on the debt securities or the method by which the interest rate may be determined;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date from which interest will accrue;</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record and interest payment dates for the debt securities;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circumstances under which we may defer interest payments; and</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320" w:top="459" w:right="61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hanging="331"/>
        <w:spacing w:after="0"/>
        <w:tabs>
          <w:tab w:leader="none" w:pos="15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basis upon which interest shall be calculated if other than on the basis of a 360-day year of twelve 30-day months;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place or places where:</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we can make payments on the debt securities;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debt securities can be surrendered for registration of transfer or exchange; and</w:t>
      </w:r>
    </w:p>
    <w:p>
      <w:pPr>
        <w:spacing w:after="0" w:line="130" w:lineRule="exact"/>
        <w:rPr>
          <w:rFonts w:ascii="Arial" w:cs="Arial" w:eastAsia="Arial" w:hAnsi="Arial"/>
          <w:sz w:val="18"/>
          <w:szCs w:val="18"/>
          <w:color w:val="auto"/>
        </w:rPr>
      </w:pPr>
    </w:p>
    <w:p>
      <w:pPr>
        <w:ind w:left="1540" w:right="520" w:hanging="331"/>
        <w:spacing w:after="0" w:line="277" w:lineRule="auto"/>
        <w:tabs>
          <w:tab w:leader="none" w:pos="15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notices and demands can be given to us relating to the debt securities and under the applicable indenture, and where notices to holders pursuant to the applicable indenture will be published;</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optional redemption provisions that would permit us or the holders of debt securities to elect to redeem the debt securities before their final maturity;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conversion features;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sinking fund provisions that would obligate us to redeem the debt securities;</w:t>
      </w:r>
    </w:p>
    <w:p>
      <w:pPr>
        <w:spacing w:after="0" w:line="130" w:lineRule="exact"/>
        <w:rPr>
          <w:rFonts w:ascii="Arial" w:cs="Arial" w:eastAsia="Arial" w:hAnsi="Arial"/>
          <w:sz w:val="18"/>
          <w:szCs w:val="18"/>
          <w:color w:val="auto"/>
        </w:rPr>
      </w:pPr>
    </w:p>
    <w:p>
      <w:pPr>
        <w:ind w:left="1080" w:right="140" w:hanging="424"/>
        <w:spacing w:after="0" w:line="275" w:lineRule="auto"/>
        <w:tabs>
          <w:tab w:leader="none" w:pos="10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whether any of the debt securities are to be issuable as registered securities, bearer securities or both, whether debt securities are to be issuable with or without coupons or both and, if issuable as bearer securities, the date as of which the bearer securities will be dated (if other than the date of original issuance of the first debt security of that series of like tenor and term to be issued and any restrictions applicable to the offering, sale or delivery of bearer securities and whether, and the terms upon which, bearer securities of a series may be exchanged for registered securities of the same series and vice versa);</w:t>
      </w:r>
    </w:p>
    <w:p>
      <w:pPr>
        <w:spacing w:after="0" w:line="81" w:lineRule="exact"/>
        <w:rPr>
          <w:rFonts w:ascii="Arial" w:cs="Arial" w:eastAsia="Arial" w:hAnsi="Arial"/>
          <w:sz w:val="17"/>
          <w:szCs w:val="17"/>
          <w:color w:val="auto"/>
        </w:rPr>
      </w:pPr>
    </w:p>
    <w:p>
      <w:pPr>
        <w:ind w:left="1080" w:right="540" w:hanging="424"/>
        <w:spacing w:after="0" w:line="308" w:lineRule="auto"/>
        <w:tabs>
          <w:tab w:leader="none" w:pos="10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whether all or part of the debt securities will be issued in whole or in part as temporary or permanent global securities and, if so, the depositary for those global securities and a description of any book-entry procedures relating to the global securities;</w:t>
      </w:r>
    </w:p>
    <w:p>
      <w:pPr>
        <w:spacing w:after="0" w:line="51" w:lineRule="exact"/>
        <w:rPr>
          <w:rFonts w:ascii="Arial" w:cs="Arial" w:eastAsia="Arial" w:hAnsi="Arial"/>
          <w:sz w:val="17"/>
          <w:szCs w:val="17"/>
          <w:color w:val="auto"/>
        </w:rPr>
      </w:pPr>
    </w:p>
    <w:p>
      <w:pPr>
        <w:ind w:left="1080" w:right="140" w:hanging="424"/>
        <w:spacing w:after="0" w:line="342"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if we issue temporary global securities, any special provisions dealing with the payment of interest and any terms relating to the ability to exchange interests in a temporary global security for interests in a permanent global security or for definitive debt securities;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denominations in which the debt securities will be issued, if other than $1,000 or an integral multiple of $1,000;</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portion of the principal amount of debt securities payable upon a declaration of acceleration of maturity, if other than the full principal amount;</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currency or currencies in which the debt securities will be denominated and payable and, if a composite currency, any related special provisions;</w:t>
      </w:r>
    </w:p>
    <w:p>
      <w:pPr>
        <w:spacing w:after="0" w:line="75"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circumstances under which the debt securities may be paid in a currency other than the currency in which the debt securities are denominated and any related provisions;</w:t>
      </w:r>
    </w:p>
    <w:p>
      <w:pPr>
        <w:spacing w:after="0" w:line="75" w:lineRule="exact"/>
        <w:rPr>
          <w:rFonts w:ascii="Arial" w:cs="Arial" w:eastAsia="Arial" w:hAnsi="Arial"/>
          <w:sz w:val="18"/>
          <w:szCs w:val="18"/>
          <w:color w:val="auto"/>
        </w:rPr>
      </w:pPr>
    </w:p>
    <w:p>
      <w:pPr>
        <w:ind w:left="1080" w:hanging="424"/>
        <w:spacing w:after="0" w:line="308" w:lineRule="auto"/>
        <w:tabs>
          <w:tab w:leader="none" w:pos="10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manner in which principal, premium and interest on debt securities will be determined if they are determined with reference to an index based upon a currency or currencies other than that in which the debt securities are denominated or payable;</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events of default that will apply to the debt securities in addition to those contained in the applicable indenture;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whether the issue of debt securities may be “reopened” by offering additional securities with substantially the same terms;</w:t>
      </w:r>
    </w:p>
    <w:p>
      <w:pPr>
        <w:spacing w:after="0" w:line="130" w:lineRule="exact"/>
        <w:rPr>
          <w:rFonts w:ascii="Arial" w:cs="Arial" w:eastAsia="Arial" w:hAnsi="Arial"/>
          <w:sz w:val="18"/>
          <w:szCs w:val="18"/>
          <w:color w:val="auto"/>
        </w:rPr>
      </w:pPr>
    </w:p>
    <w:p>
      <w:pPr>
        <w:ind w:left="1080" w:right="76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additions or changes to the covenants contained in the applicable indenture and the ability, if any, of the holders to waive our compliance with those additional or changed covenants;</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whether the provisions in the 2000 Senior Indenture relating to defeasance apply to the debt securities; the identity of the security registrar and paying agent for the debt securities if other than the applicable trustee;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other terms of the debt securities.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We may sell the debt securities, including original issue discount securities, at par or at a substantial discount below their stated principal amount. Unless we inform you otherwise in a prospectus supplement, we may issue additional debt securities of a particular series without the consent of the holders of the debt securities of such series or any other series outstanding at the time of issuance. Any such additional debt securities, together with all other outstanding debt securities of that series, will constitute a single series of securities under the applicable indenture.</w:t>
      </w:r>
    </w:p>
    <w:p>
      <w:pPr>
        <w:spacing w:after="0" w:line="15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will describe in an accompanying prospectus supplement any other special considerations for any debt securities we sell that are denominated in a currency or currency unit other than U.S. dollars. In addition, 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and the currencies, commodities, equity indices or other factors to which the amount payable on such date is linked will be described in an accompanying prospectus supplement.</w:t>
      </w:r>
    </w:p>
    <w:p>
      <w:pPr>
        <w:spacing w:after="0" w:line="177" w:lineRule="exact"/>
        <w:rPr>
          <w:sz w:val="20"/>
          <w:szCs w:val="20"/>
          <w:color w:val="auto"/>
        </w:rPr>
      </w:pPr>
    </w:p>
    <w:p>
      <w:pPr>
        <w:ind w:left="120" w:right="920" w:firstLine="440"/>
        <w:spacing w:after="0" w:line="277" w:lineRule="auto"/>
        <w:rPr>
          <w:sz w:val="20"/>
          <w:szCs w:val="20"/>
          <w:color w:val="auto"/>
        </w:rPr>
      </w:pPr>
      <w:r>
        <w:rPr>
          <w:rFonts w:ascii="Arial" w:cs="Arial" w:eastAsia="Arial" w:hAnsi="Arial"/>
          <w:sz w:val="18"/>
          <w:szCs w:val="18"/>
          <w:color w:val="auto"/>
        </w:rPr>
        <w:t>United States federal income tax consequences and special considerations, if any, applicable to any such series will be described in an accompanying prospectus supplement.</w:t>
      </w:r>
    </w:p>
    <w:p>
      <w:pPr>
        <w:spacing w:after="0" w:line="170"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We expect most debt securities to be issued in fully registered form without coupons and in denominations of $2,000 and any integral multiple of $1,000 in excess thereof. Subject to the limitations provided in the indentures and in an accompanying prospectus supplement, debt securities that are issued in registered form may be transferred or exchanged at the designated corporate trust office of the trustee, without the payment of any service charge, other than any tax or other governmental charge payable in connection therewith.</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With respect to debt securities issued under the 2014 Senior Indenture, unless we inform you otherwise in an accompanying prospectus supplement, the debt securities of a series may be issued in whole or in part in the form of one or more global securities that will be deposited with, or on behalf of, a depositary identified in the accompanying prospectus supplement. With respect to debt securities issued under the 2000 Senior Indenture, we may issue debt securities of a series, in whole or in part, in the form of one or more global securities, registered in the name of Cede &amp; Co., the nominee of The Depository Trust Company, New York, New York, unless the accompanying prospectus supplement or pricing supplement describes another depositary or states that no global securities will be issued. With respect to debt securities issued under the 2014 Senior Indenture, global securities will be issued in registered form and in either temporary or definitive form. With respect to debt securities issued under the 2000 Senior Indenture, such debt securities will be issued in temporary or definitive form, and unless we indicate otherwise in the accompanying prospectus supplement, we will issue debt securities only as registered securities. Unless and until a global security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indentures and the debt securities shall be construed in accordance with and governed by the laws of the State of New York.</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59" w:right="47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following summary description of our capital stock is based on the provisions of the Delaware General Corporation Law (the “DGCL”), our amended and restated certificate of incorporation and our amended and restated bylaws. This description does not purport to be complete and is qualified in its entirety by reference to the full text of the DGCL, as it may be amended from time to time, and to the terms of our amended and restated certificate of incorporation and by-laws, as each may be amended from time to time, which are exhibits to the registration statement of which this prospectus is a part. See “Where You Can Find More Information.”</w:t>
      </w:r>
    </w:p>
    <w:p>
      <w:pPr>
        <w:spacing w:after="0" w:line="188"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Under our amended and restated certificate of incorporation, our authorized capital stock is 1,125,000,000 shares of common stock, $0.01 par value, and 20,000,000 shares of preferred stock, $0.20 par value.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Each holder of our common stock is entitled to one vote for each share on all matters to be voted upon by the common stockholders, and there are no cumulative voting rights. Holders of common stock are not entitled to vote on any amendment to our amended and restated certificate of incorporation that relates solely to the terms of one or more outstanding series of preferred stock if the holders of such affected series of preferred stock are entitled, either separately or together as a class with the holders of one or more other series of preferred stock, to vote on such amendment pursuant to our amended and restated certificate of incorporation or the DGCL.</w:t>
      </w:r>
    </w:p>
    <w:p>
      <w:pPr>
        <w:spacing w:after="0" w:line="176" w:lineRule="exact"/>
        <w:rPr>
          <w:sz w:val="20"/>
          <w:szCs w:val="20"/>
          <w:color w:val="auto"/>
        </w:rPr>
      </w:pPr>
    </w:p>
    <w:p>
      <w:pPr>
        <w:jc w:val="both"/>
        <w:ind w:left="120" w:right="40" w:firstLine="440"/>
        <w:spacing w:after="0" w:line="301" w:lineRule="auto"/>
        <w:rPr>
          <w:sz w:val="20"/>
          <w:szCs w:val="20"/>
          <w:color w:val="auto"/>
        </w:rPr>
      </w:pPr>
      <w:r>
        <w:rPr>
          <w:rFonts w:ascii="Arial" w:cs="Arial" w:eastAsia="Arial" w:hAnsi="Arial"/>
          <w:sz w:val="16"/>
          <w:szCs w:val="16"/>
          <w:color w:val="auto"/>
        </w:rPr>
        <w:t>Subject to any preferential rights of the holders of any outstanding preferred stock, holders of our common stock are entitled to receive ratably the dividends, if any, as may be declared from time to time by our board of directors out of funds legally available for that purpose. If there is a liquidation, dissolution or winding up of the Company, holders of our common stock would be entitled to share ratably in the assets legally available for distribution after the payment or provision in full of all liabilities and any preferential rights of the holders of any then outstanding preferred stock.</w:t>
      </w:r>
    </w:p>
    <w:p>
      <w:pPr>
        <w:spacing w:after="0" w:line="15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Holders of our common stock have no preemptive or conversion rights or other subscription rights, and there are no redemption or sinking fund provisions applicable to shares of the common stock. Upon the distribution, all outstanding shares of the common stock will be fully paid and non-assessable. The rights, preferences and privileges of the holders of our common stock are subject to, and may be adversely affected by, the rights of the holders of shares of any series of preferred stock that we may authorize and issue in the future.</w:t>
      </w:r>
    </w:p>
    <w:p>
      <w:pPr>
        <w:spacing w:after="0" w:line="187"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We will distribute a prospectus supplement with regard to each issue of common stock. Each prospectus supplement will describe the specific terms of the common stock offered through that prospectus supplement and any general terms outlined above that will not apply to that common stock.</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may issue preferred stock in one or more series with any rights and preferences that may be authorized by our board of directors.</w:t>
      </w:r>
    </w:p>
    <w:p>
      <w:pPr>
        <w:spacing w:after="0" w:line="23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will distribute a prospectus supplement with regard to each particular series of preferred stock. Each prospectus supplement will describe, as to the series of preferred stock to which it relates:</w:t>
      </w:r>
    </w:p>
    <w:p>
      <w:pPr>
        <w:spacing w:after="0" w:line="76" w:lineRule="exact"/>
        <w:rPr>
          <w:sz w:val="20"/>
          <w:szCs w:val="20"/>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title of the series of preferred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limit upon the number of shares of the series of preferred stock that may be issued;</w:t>
      </w:r>
    </w:p>
    <w:p>
      <w:pPr>
        <w:spacing w:after="0" w:line="130" w:lineRule="exact"/>
        <w:rPr>
          <w:rFonts w:ascii="Arial" w:cs="Arial" w:eastAsia="Arial" w:hAnsi="Arial"/>
          <w:sz w:val="18"/>
          <w:szCs w:val="18"/>
          <w:color w:val="auto"/>
        </w:rPr>
      </w:pPr>
    </w:p>
    <w:p>
      <w:pPr>
        <w:ind w:left="5540" w:right="2300" w:hanging="4884"/>
        <w:spacing w:after="0" w:line="449" w:lineRule="auto"/>
        <w:tabs>
          <w:tab w:leader="none" w:pos="109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preference, if any, to which holders of the series of preferred stock will be entitled upon our liquidation; 12</w:t>
      </w:r>
    </w:p>
    <w:p>
      <w:pPr>
        <w:sectPr>
          <w:pgSz w:w="11900" w:h="16838" w:orient="portrait"/>
          <w:cols w:equalWidth="0" w:num="1">
            <w:col w:w="11120"/>
          </w:cols>
          <w:pgMar w:left="320" w:top="459" w:right="4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date or dates, if any, on which we will be required or permitted to redeem the preferred stock;</w:t>
      </w:r>
    </w:p>
    <w:p>
      <w:pPr>
        <w:spacing w:after="0" w:line="130"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terms, if any, on which we or holders of the preferred stock will have the option to cause the preferred stock to be redeemed or purchased;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voting rights, if any, of the holders of the preferred stock;</w:t>
      </w:r>
    </w:p>
    <w:p>
      <w:pPr>
        <w:spacing w:after="0" w:line="130"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dividends, if any, that will be payable with regard to the series of preferred stock, which may be fixed dividends or participating dividends, and may be cumulative or non-cumulative;</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right, if any, of holders of the preferred stock to convert it into another class of our stock or securities, including provisions intended to prevent dilution of those conversion rights;</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provisions by which we will be required or permitted to make payments to a sinking fund to be used to redeem preferred stock, or a purchase fund to be used to purchase preferred stock;</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restrictions on issuance of shares in the same series or any other series;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other material terms of the preferred stock.</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Any or all of these rights may be greater than the rights of the holders of common stock. In addition, our board of directors, without shareholder approval, may issue preferred stock with voting, conversion or other rights that could adversely affect the voting power and other rights of the holders of our common stock.</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terms of the preferred stock that might be issued could conceivably prohibit us from:</w:t>
      </w:r>
    </w:p>
    <w:p>
      <w:pPr>
        <w:spacing w:after="0" w:line="131" w:lineRule="exact"/>
        <w:rPr>
          <w:sz w:val="20"/>
          <w:szCs w:val="20"/>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consummating a merger;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reorganizing;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selling substantially all of our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liquidating;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engaging in other extraordinary corporate transactions without shareholder approval.</w:t>
      </w:r>
    </w:p>
    <w:p>
      <w:pPr>
        <w:spacing w:after="0" w:line="225" w:lineRule="exact"/>
        <w:rPr>
          <w:sz w:val="20"/>
          <w:szCs w:val="20"/>
          <w:color w:val="auto"/>
        </w:rPr>
      </w:pPr>
    </w:p>
    <w:p>
      <w:pPr>
        <w:ind w:left="120" w:right="280" w:firstLine="440"/>
        <w:spacing w:after="0" w:line="308" w:lineRule="auto"/>
        <w:rPr>
          <w:sz w:val="20"/>
          <w:szCs w:val="20"/>
          <w:color w:val="auto"/>
        </w:rPr>
      </w:pPr>
      <w:r>
        <w:rPr>
          <w:rFonts w:ascii="Arial" w:cs="Arial" w:eastAsia="Arial" w:hAnsi="Arial"/>
          <w:sz w:val="17"/>
          <w:szCs w:val="17"/>
          <w:color w:val="auto"/>
        </w:rPr>
        <w:t>Preferred stock could therefore be issued with terms calculated to delay, defer or prevent a change in our control or to make it more difficult to remove our management. Our issuance of preferred stock may have the effect of decreasing the market price of the common stock.</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Effects of Provisions of the Certificate of Incorporation, By-laws and Other Agreements</w:t>
      </w:r>
    </w:p>
    <w:p>
      <w:pPr>
        <w:spacing w:after="0" w:line="121"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Provisions of the DGCL and our amended and restated certificate of incorporation and amended and restated by-laws could make it more difficult to acquire us by means of a tender offer, a proxy contest or otherwise, or to remove incumbent officers and directors. These provisions, summarized below, are expected to discourage certain types of coercive takeover practices and takeover bids that our board of directors may consider inadequate and to encourage persons seeking to acquire control of us to first negotiate with our board of directors. We believe the heightened ability to negotiate with the proponent of an unfriendly or unsolicited proposal to acquire or restructure us outweighs the disadvantages of discouraging takeover or acquisition proposals because, among other things, negotiation of these proposals could result in an improvement of their terms.</w:t>
      </w:r>
    </w:p>
    <w:p>
      <w:pPr>
        <w:spacing w:after="0" w:line="164" w:lineRule="exact"/>
        <w:rPr>
          <w:sz w:val="20"/>
          <w:szCs w:val="20"/>
          <w:color w:val="auto"/>
        </w:rPr>
      </w:pPr>
    </w:p>
    <w:p>
      <w:pPr>
        <w:ind w:left="120" w:right="180" w:firstLine="440"/>
        <w:spacing w:after="0" w:line="291" w:lineRule="auto"/>
        <w:rPr>
          <w:sz w:val="20"/>
          <w:szCs w:val="20"/>
          <w:color w:val="auto"/>
        </w:rPr>
      </w:pPr>
      <w:r>
        <w:rPr>
          <w:rFonts w:ascii="Arial" w:cs="Arial" w:eastAsia="Arial" w:hAnsi="Arial"/>
          <w:sz w:val="16"/>
          <w:szCs w:val="16"/>
          <w:i w:val="1"/>
          <w:iCs w:val="1"/>
          <w:color w:val="auto"/>
        </w:rPr>
        <w:t>Delaware Anti-Takeover Statute</w:t>
      </w:r>
      <w:r>
        <w:rPr>
          <w:rFonts w:ascii="Arial" w:cs="Arial" w:eastAsia="Arial" w:hAnsi="Arial"/>
          <w:sz w:val="16"/>
          <w:szCs w:val="16"/>
          <w:color w:val="auto"/>
        </w:rPr>
        <w:t>. We are subject to Section 203 of the DGCL, an anti-takeover statute. In general, Section 203 of the DGCL</w:t>
      </w:r>
      <w:r>
        <w:rPr>
          <w:rFonts w:ascii="Arial" w:cs="Arial" w:eastAsia="Arial" w:hAnsi="Arial"/>
          <w:sz w:val="16"/>
          <w:szCs w:val="16"/>
          <w:i w:val="1"/>
          <w:iCs w:val="1"/>
          <w:color w:val="auto"/>
        </w:rPr>
        <w:t xml:space="preserve"> </w:t>
      </w:r>
      <w:r>
        <w:rPr>
          <w:rFonts w:ascii="Arial" w:cs="Arial" w:eastAsia="Arial" w:hAnsi="Arial"/>
          <w:sz w:val="16"/>
          <w:szCs w:val="16"/>
          <w:color w:val="auto"/>
        </w:rPr>
        <w:t>prohibits a publicly held Delaware corporation from engaging in a “business combination” with an “interested stockholder” for a period of three years following the time the person became an interested stockholder, unless the business combination or the acquisition of shares that resulted in a stockholder becoming an interested stockholder is approved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fifteen percent (15%) or more of a corporation’s voting stock. The existence of this provision would be expected to have</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59" w:right="47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an anti-takeover effect with respect to transactions not approved in advance by our board of directors, including discouraging attempts that might result in a premium over the market price for the shares of common stock held by our stockholders.</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i w:val="1"/>
          <w:iCs w:val="1"/>
          <w:color w:val="auto"/>
        </w:rPr>
        <w:t>Amendments to Amended and Restated By-Laws</w:t>
      </w:r>
      <w:r>
        <w:rPr>
          <w:rFonts w:ascii="Arial" w:cs="Arial" w:eastAsia="Arial" w:hAnsi="Arial"/>
          <w:sz w:val="18"/>
          <w:szCs w:val="18"/>
          <w:color w:val="auto"/>
        </w:rPr>
        <w:t>. Our amended and restated certificate of incorporation and amended and restated by-laws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 amended and restated by-laws may be amended by our board of directors or by the affirmative vote of holders of at least seventy-five percent (75%) in voting power of our stock then outstanding and entitled to vote thereon.</w:t>
      </w:r>
    </w:p>
    <w:p>
      <w:pPr>
        <w:spacing w:after="0" w:line="184"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i w:val="1"/>
          <w:iCs w:val="1"/>
          <w:color w:val="auto"/>
        </w:rPr>
        <w:t xml:space="preserve">Size of Board and Vacancies. </w:t>
      </w:r>
      <w:r>
        <w:rPr>
          <w:rFonts w:ascii="Arial" w:cs="Arial" w:eastAsia="Arial" w:hAnsi="Arial"/>
          <w:sz w:val="16"/>
          <w:szCs w:val="16"/>
          <w:color w:val="auto"/>
        </w:rPr>
        <w:t>Our amended and restated certificate of incorporation and amended and restated bylaws provide that the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on our board of directors will be fixed exclusively by our board of directors, subject to the rights of the holders of any outstanding preferred stock to elect directors. Any newly created directorship or any vacancy in our board of directors resulting from any increase in the authorized number of directors or the death, disability, resignation, retirement, disqualification, removal from office or other cause will be filled solely by the affirmative vote of a majority of the board of directors then in office, even if less than a quorum, or by a sole remaining director. Any director appointed to fill a vacancy on our board of directors not resulting from an increase in the size of the board will be appointed for the remaining term of his or her predecessor, and until his or her successor has been elected and qualified, subject to his or her earlier death, disqualification, resignation or removal.</w:t>
      </w:r>
    </w:p>
    <w:p>
      <w:pPr>
        <w:spacing w:after="0" w:line="166"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i w:val="1"/>
          <w:iCs w:val="1"/>
          <w:color w:val="auto"/>
        </w:rPr>
        <w:t>Stockholder Action by Written Consent</w:t>
      </w:r>
      <w:r>
        <w:rPr>
          <w:rFonts w:ascii="Arial" w:cs="Arial" w:eastAsia="Arial" w:hAnsi="Arial"/>
          <w:sz w:val="18"/>
          <w:szCs w:val="18"/>
          <w:color w:val="auto"/>
        </w:rPr>
        <w:t>. Subject to the rights of any series of preferred stock, our amended and restated certificate of incorporation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expressly eliminates the right of our stockholders to act by written consent. Stockholder action must take place at the annual or a special meeting of our stockholders.</w:t>
      </w:r>
    </w:p>
    <w:p>
      <w:pPr>
        <w:spacing w:after="0" w:line="184"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i w:val="1"/>
          <w:iCs w:val="1"/>
          <w:color w:val="auto"/>
        </w:rPr>
        <w:t xml:space="preserve">Requirements for Advance Notification of Stockholder Nominations and Proposals. </w:t>
      </w:r>
      <w:r>
        <w:rPr>
          <w:rFonts w:ascii="Arial" w:cs="Arial" w:eastAsia="Arial" w:hAnsi="Arial"/>
          <w:sz w:val="18"/>
          <w:szCs w:val="18"/>
          <w:color w:val="auto"/>
        </w:rPr>
        <w:t>Our amended and restated bylaws establish advance notice</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with respect to stockholder proposals and nomination of candidates for election as directors other than nominations made by or at the direction of our board of directors or a committee of our board of directors.</w:t>
      </w:r>
    </w:p>
    <w:p>
      <w:pPr>
        <w:spacing w:after="0" w:line="18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i w:val="1"/>
          <w:iCs w:val="1"/>
          <w:color w:val="auto"/>
        </w:rPr>
        <w:t xml:space="preserve">No Cumulative Voting. </w:t>
      </w:r>
      <w:r>
        <w:rPr>
          <w:rFonts w:ascii="Arial" w:cs="Arial" w:eastAsia="Arial" w:hAnsi="Arial"/>
          <w:sz w:val="18"/>
          <w:szCs w:val="18"/>
          <w:color w:val="auto"/>
        </w:rPr>
        <w:t>The DGCL provides that stockholders are denied the right to cumulate votes in the election of directors unless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certificate of incorporation provides otherwise. Our amended and restated certificate of incorporation does not provide for cumulative voting in the election of directors.</w:t>
      </w:r>
    </w:p>
    <w:p>
      <w:pPr>
        <w:spacing w:after="0" w:line="184"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i w:val="1"/>
          <w:iCs w:val="1"/>
          <w:color w:val="auto"/>
        </w:rPr>
        <w:t xml:space="preserve">Undesignated Preferred Stock. </w:t>
      </w:r>
      <w:r>
        <w:rPr>
          <w:rFonts w:ascii="Arial" w:cs="Arial" w:eastAsia="Arial" w:hAnsi="Arial"/>
          <w:sz w:val="18"/>
          <w:szCs w:val="18"/>
          <w:color w:val="auto"/>
        </w:rPr>
        <w:t>The authority that our board of directors possesses to issue preferred stock could potentially be used to discourage</w:t>
      </w:r>
      <w:r>
        <w:rPr>
          <w:rFonts w:ascii="Arial" w:cs="Arial" w:eastAsia="Arial" w:hAnsi="Arial"/>
          <w:sz w:val="18"/>
          <w:szCs w:val="18"/>
          <w:i w:val="1"/>
          <w:iCs w:val="1"/>
          <w:color w:val="auto"/>
        </w:rPr>
        <w:t xml:space="preserve"> </w:t>
      </w:r>
      <w:r>
        <w:rPr>
          <w:rFonts w:ascii="Arial" w:cs="Arial" w:eastAsia="Arial" w:hAnsi="Arial"/>
          <w:sz w:val="18"/>
          <w:szCs w:val="18"/>
          <w:color w:val="auto"/>
        </w:rPr>
        <w:t>attempts by third parties to obtain control of us through a merger, tender offer, proxy contest or otherwise by making such attempts more difficult or more costly. Our board of directors may be able to issue preferred stock with voting rights or conversion rights that, if exercised, could adversely affect the voting power of the holders of common stock.</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listed on NASDAQ under the trading symbol “NAVI.”</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59" w:right="47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may issue warrants for the purchase of debt securities, common stock, preferred stock or units of two or more of these types of securities.</w:t>
      </w:r>
    </w:p>
    <w:p>
      <w:pPr>
        <w:spacing w:after="0" w:line="248"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Warrants may be issued independently or together with debt securities, preferred stock or common stock, and may be attached to or separate from any offered securities. Each series of warrants will be issued under a separate warrant agreement that we will enter into with a bank or trust company, as warrant agent, as detailed in an accompanying prospectus supplement. The warrant agent will act solely as our agent in connection with the warrants and will not assume any obligation, or agency or trust relationship, with you.</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prospectus supplement relating to a particular issue of warrants will describe the terms of those warrants, including, when applicable:</w:t>
      </w:r>
    </w:p>
    <w:p>
      <w:pPr>
        <w:spacing w:after="0" w:line="142" w:lineRule="exact"/>
        <w:rPr>
          <w:sz w:val="20"/>
          <w:szCs w:val="20"/>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offering price;</w:t>
      </w:r>
    </w:p>
    <w:p>
      <w:pPr>
        <w:spacing w:after="0" w:line="130"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designation, aggregate principal amount, currencies, denominations and terms of the series of debt securities purchasable upon exercise of the warrants, and the price at which you may purchase the debt securities upon exercise;</w:t>
      </w:r>
    </w:p>
    <w:p>
      <w:pPr>
        <w:spacing w:after="0" w:line="89"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the case of warrants to purchase preferred stock, the designation, number of shares, stated value and terms, such as liquidation, dividend, conversion and voting rights, of the series of preferred stock purchasable upon exercise of the warrants, and the price at which you may purchase shares of preferred stock of that series upon exercise;</w:t>
      </w:r>
    </w:p>
    <w:p>
      <w:pPr>
        <w:spacing w:after="0" w:line="89"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the case of warrants to purchase common stock, the number of shares of common stock purchasable upon the exercise of the warrants and the price at which you may purchase shares of common stock upon exercise;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the case of warrants to purchase units of two or more securities, the type, number and terms of the units;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purchasable upon exercise of the warrants and the price at which you may purchase units upon exercise;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period during which you may exercise the warrants;</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provision adjusting the securities that may be purchased on exercise of the warrants, and the exercise price of the warrants, to prevent dilution or otherwise;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rights, if any, we have to redeem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place or places where warrants can be presented for exercise or for registration of transfer or exchange;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other material terms of the warrants.</w:t>
      </w:r>
    </w:p>
    <w:p>
      <w:pPr>
        <w:spacing w:after="0" w:line="22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Unless we provide otherwise in a prospectus supplement, warrants for the purchase of preferred stock and common stock will be offered and exercisable for U.S. dollars only, and will be issued in registered form only. The exercise price for warrants will be subject to adjustment as described in the prospectus supplement for those warrants.</w:t>
      </w:r>
    </w:p>
    <w:p>
      <w:pPr>
        <w:spacing w:after="0" w:line="184"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Prior to the exercise of any warrants to purchase debt securities, preferred stock or common stock, holders of the warrants will not have any of the rights of holders of the securities purchasable upon exercise, including:</w:t>
      </w:r>
    </w:p>
    <w:p>
      <w:pPr>
        <w:spacing w:after="0" w:line="76" w:lineRule="exact"/>
        <w:rPr>
          <w:sz w:val="20"/>
          <w:szCs w:val="20"/>
          <w:color w:val="auto"/>
        </w:rPr>
      </w:pPr>
    </w:p>
    <w:p>
      <w:pPr>
        <w:ind w:left="1080" w:right="22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the case of warrants for the purchase of debt securities, the right to receive payments of principal of or any premium or interest on the debt securities purchasable upon exercise, or to enforce covenants in the applicable indenture;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8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the case of warrants for the purchase of preferred stock or common stock, the right to vote or to receive any payments of dividends on the preferred stock or common stock purchasable upon exercise.</w:t>
      </w:r>
    </w:p>
    <w:p>
      <w:pPr>
        <w:spacing w:after="0" w:line="170"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The description in an accompanying prospectus supplement of any warrants we offer will not necessarily be complete and will be qualified in its entirety by reference to the applicable warrant agreement, which will be filed with the SEC if we offer warrants. For more information on how you can obtain copies of any warrant agreement if we offer warrants, see “Where You Can Find More Information.” We urge you to read the applicable warrant agreement and any accompanying prospectus supplement in their entirety.</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320" w:top="459" w:right="57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We may issue units consisting of common stock, preferred stock, debt securities and warrants, or any combination of those securities. The prospectus supplement relating to the offering of such units will describe their terms, including the following:</w:t>
      </w:r>
    </w:p>
    <w:p>
      <w:pPr>
        <w:spacing w:after="0" w:line="76" w:lineRule="exact"/>
        <w:rPr>
          <w:sz w:val="20"/>
          <w:szCs w:val="20"/>
          <w:color w:val="auto"/>
        </w:rPr>
      </w:pPr>
    </w:p>
    <w:p>
      <w:pPr>
        <w:ind w:left="108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terms of each of the securities included in the units, including whether and under what circumstances the securities included in the units may or may not be traded separately;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terms of any unit agreement governing the units;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provision for the payment, settlement, transfer or exchange of the units.</w:t>
      </w:r>
    </w:p>
    <w:p>
      <w:pPr>
        <w:spacing w:after="0" w:line="225"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The description in an accompanying prospectus supplement of any units we offer will not necessarily be complete and will be qualified in its entirety by reference to the applicable units agreement, if any, or documents governing the units or the components of the units, which will be filed with the SEC if we offer units. For more information on how you can obtain copies of any agreement if we offer units, see “Where You Can Find More Information.” We urge you to read the applicable unit agreement and any accompanying prospectus supplement in their entirety.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sell any of the securities being offered by this prospectus separately or together:</w:t>
      </w:r>
    </w:p>
    <w:p>
      <w:pPr>
        <w:spacing w:after="0" w:line="131" w:lineRule="exact"/>
        <w:rPr>
          <w:sz w:val="20"/>
          <w:szCs w:val="20"/>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or through underwriters who may act directly or through a syndicate represented by one or more managing underwriters;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through a block trade in which the broker or dealer engaged to handle the block trade will attempt to sell the securities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exchange for our outstanding indebtedness;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directly to purchasers, through a specific bidding, auction or other process;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225" w:lineRule="exact"/>
        <w:rPr>
          <w:sz w:val="20"/>
          <w:szCs w:val="20"/>
          <w:color w:val="auto"/>
        </w:rPr>
      </w:pPr>
    </w:p>
    <w:p>
      <w:pPr>
        <w:ind w:left="120" w:right="400" w:firstLine="440"/>
        <w:spacing w:after="0" w:line="308" w:lineRule="auto"/>
        <w:rPr>
          <w:sz w:val="20"/>
          <w:szCs w:val="20"/>
          <w:color w:val="auto"/>
        </w:rPr>
      </w:pPr>
      <w:r>
        <w:rPr>
          <w:rFonts w:ascii="Arial" w:cs="Arial" w:eastAsia="Arial" w:hAnsi="Arial"/>
          <w:sz w:val="17"/>
          <w:szCs w:val="17"/>
          <w:color w:val="auto"/>
        </w:rPr>
        <w:t>If the securities offered under this prospectus are issued in exchange for our outstanding securities, the applicable prospectus supplement will describe the terms of the exchange, and the identity and the terms of sale of the securities offered under this prospectus.</w:t>
      </w:r>
    </w:p>
    <w:p>
      <w:pPr>
        <w:spacing w:after="0" w:line="146"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distribution of securities may be effected from time to time in one or more transactions at a fixed price or prices that may be changed, at market prices prevailing at the time of sale or prices related to prevailing market prices or at negotiated prices.</w:t>
      </w:r>
    </w:p>
    <w:p>
      <w:pPr>
        <w:spacing w:after="0" w:line="170"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Agents designated by us from time to time may solicit offers to purchase the securities. We will name any agent involved in the offer or sale of the securities and set forth any commissions payable by us to an agent in the prospectus supplement or pricing supplement for that transaction. Unless otherwise indicated in the prospectus supplement or pricing supplement, any agent will be acting on a best efforts basis for the period of its appointment. Any agent may be deemed to be an “underwriter” of the securities as that term is defined in the Securities Act.</w:t>
      </w:r>
    </w:p>
    <w:p>
      <w:pPr>
        <w:spacing w:after="0" w:line="171"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If we utilize an underwriter or underwriters in the sale of securities, we will execute an underwriting agreement with the underwriter or underwriters at the time we reach an agreement for sale. We will set forth in the prospectus supplement the names of the specific managing underwriter or underwriters, as well as any other underwriters, and the terms of the transactions, including compensation of the underwriters and dealers. This compensation may be in the form of discounts, concessions or commissions. Underwriters and others participating in any offering of securities may engage in transactions that stabilize, maintain or otherwise affect the price of securities. We will describe any of these activities in the prospectus supplement.</w:t>
      </w:r>
    </w:p>
    <w:p>
      <w:pPr>
        <w:spacing w:after="0" w:line="192"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If a dealer is utilized in the sale of the securities, we or an underwriter will sell securities to the dealer, as principal. The dealer may then resell the securities to the public at varying prices to be determined by the dealer at the time of resale. The prospectus supplement will set forth the name of the dealer and the terms of the transactions.</w:t>
      </w:r>
    </w:p>
    <w:p>
      <w:pPr>
        <w:spacing w:after="0" w:line="18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may directly solicit offers to purchase the securities, and we may sell directly to institutional investors or others. These persons may be deemed to be underwriters within the meaning of the Securities Act with respect to any resale of the securities. The prospectus supplement will describe the terms of any direct sales, including the terms of any bidding or auction process, if utilized.</w:t>
      </w:r>
    </w:p>
    <w:p>
      <w:pPr>
        <w:spacing w:after="0" w:line="184"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Agreements we enter into with agents, underwriters and dealers may entitle them to indemnification by us against specified liabilities, including liabilities under the Securities Act, or to contribution by us to payments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they may be required to make in respect of these liabilities. The prospectus supplement will describe the terms and conditions of indemnification or contribution. Some of the agents, underwriters or dealers, or their affiliates, may be our customers, or engage in transactions with or perform services for us and our subsidiaries in the ordinary course of business.</w:t>
      </w:r>
    </w:p>
    <w:p>
      <w:pPr>
        <w:spacing w:after="0" w:line="184"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Certain of the agents, underwriters and dealers that we sell the securities offered under this prospectus to or through, and certain of their affiliates, engage in transactions with and perform services for us in the ordinary course of business. We may enter into hedging transactions in connection with any particular issue of the securities offered under this prospectus, including forwards, futures, options, interest rate or exchange rate swaps and repurchase or reverse repurchase transactions with, or arranged by, the applicable agent, underwriter or dealer, an affiliate of that agent, underwriter or dealer or an unrelated entity. We, the applicable agent, underwriter or dealer or other parties may receive compensation, trading gain or other benefits in connection with these transactions. We are not required to engage in any of these transactions. If we commence these transactions, we may discontinue them at any time. Counterparties to these hedging activities also may engage in market transactions involving the securities offered under this prospectus. We may also loan or pledge securities covered by this prospectus and any accompanying prospectus supplement to third parties, who may sell the loaned securities or, in an event of default in the case of a pledge, sell the pledged securities pursuant to this prospectus and any accompanying prospectus supplement.</w:t>
      </w:r>
    </w:p>
    <w:p>
      <w:pPr>
        <w:spacing w:after="0" w:line="185"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No securities may be sold under this prospectus without delivery (in paper format, in electronic format, in electronic format on the Internet, or by other means) of the applicable prospectus supplement or pricing supplement describing the method and terms of the offering.</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Unless otherwise indicated in any accompanying prospectus supplement, Skadden, Arps, Slate, Meagher &amp; Flom LLP will provide opinions regarding the authorization and validity of the securities. Skadden, Arps, Slate, Meagher &amp; Flom LLP may also provide opinions regarding certain other matters. Any underwriters will be advised about legal matters by their own counsel, which will be named in an accompanying prospectus supplement.</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80"/>
          </w:cols>
          <w:pgMar w:left="320" w:top="459" w:right="49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consolidated financial statements of Navient Corporation and subsidiaries as of December 31, 2022 and 2021, and for each of the years in the three-year period ended December 31, 2022, and management’s assessment of the effectiveness of internal control over financial reporting as of December 31, 2022 have been incorporated by reference herein in reliance upon the reports of KPMG LLP, independent registered public accounting firm, incorporated by reference herein, and upon the authority of said firm as experts in accounting and auditing.</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60"/>
          </w:cols>
          <w:pgMar w:left="320" w:top="459" w:right="51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under the Exchange Act. Our SEC filings are available to the public at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170"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The SEC allows us to “incorporate by reference” information into this prospectus and any accompanying prospectus supplement, which means that we can disclose important information to you by referring you to another document filed separately with the SEC. The information incorporated by reference is deemed to be part of this prospectus and any accompanying prospectus supplement, except for any information superseded by information contained directly in this prospectus, any accompanying prospectus supplement, any subsequently filed document deemed incorporated by reference or any free writing prospectus prepared by or on behalf of us. This prospectus and any accompanying prospectus supplement incorporate by reference the documents set forth below that we have previously filed with the SEC (other than information deemed furnished and not filed in accordance with SEC rules, including Items 2.02 and 7.01 of Form 8-K):</w:t>
      </w:r>
    </w:p>
    <w:p>
      <w:pPr>
        <w:spacing w:after="0" w:line="83" w:lineRule="exact"/>
        <w:rPr>
          <w:sz w:val="20"/>
          <w:szCs w:val="20"/>
          <w:color w:val="auto"/>
        </w:rPr>
      </w:pPr>
    </w:p>
    <w:p>
      <w:pPr>
        <w:ind w:left="108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the description of our capital stock contained in our amended registration statement on </w:t>
      </w:r>
      <w:hyperlink r:id="rId92">
        <w:r>
          <w:rPr>
            <w:rFonts w:ascii="Arial" w:cs="Arial" w:eastAsia="Arial" w:hAnsi="Arial"/>
            <w:sz w:val="18"/>
            <w:szCs w:val="18"/>
            <w:u w:val="single" w:color="auto"/>
            <w:color w:val="0000EE"/>
          </w:rPr>
          <w:t>Form 10</w:t>
        </w:r>
      </w:hyperlink>
      <w:r>
        <w:rPr>
          <w:rFonts w:ascii="Arial" w:cs="Arial" w:eastAsia="Arial" w:hAnsi="Arial"/>
          <w:sz w:val="18"/>
          <w:szCs w:val="18"/>
          <w:color w:val="auto"/>
        </w:rPr>
        <w:t>, filed with the SEC on April 10, 2014, and any further amendment or report filed for the purpose of updating such description;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54">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2022, filed with the SEC on February 24, 2023; and</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the information specifically incorporated by reference into our Annual Report on </w:t>
      </w:r>
      <w:hyperlink r:id="rId54">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fiscal year ended December 31, 2022 from our definitive proxy statement on </w:t>
      </w:r>
      <w:hyperlink r:id="rId62">
        <w:r>
          <w:rPr>
            <w:rFonts w:ascii="Arial" w:cs="Arial" w:eastAsia="Arial" w:hAnsi="Arial"/>
            <w:sz w:val="18"/>
            <w:szCs w:val="18"/>
            <w:u w:val="single" w:color="auto"/>
            <w:color w:val="0000EE"/>
          </w:rPr>
          <w:t>Schedule 14A</w:t>
        </w:r>
      </w:hyperlink>
      <w:r>
        <w:rPr>
          <w:rFonts w:ascii="Arial" w:cs="Arial" w:eastAsia="Arial" w:hAnsi="Arial"/>
          <w:sz w:val="18"/>
          <w:szCs w:val="18"/>
          <w:color w:val="auto"/>
        </w:rPr>
        <w:t>, filed with the SEC on April 13, 2023.</w:t>
      </w:r>
    </w:p>
    <w:p>
      <w:pPr>
        <w:spacing w:after="0" w:line="170" w:lineRule="exact"/>
        <w:rPr>
          <w:rFonts w:ascii="Arial" w:cs="Arial" w:eastAsia="Arial" w:hAnsi="Arial"/>
          <w:sz w:val="18"/>
          <w:szCs w:val="18"/>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All documents filed by us pursuant to Sections 13(a), 13(c), 14 or 15(d) of the Exchange Act after the date of this prospectus and before the termination of the offering also shall be deemed to be incorporated herein by reference. We are not, however, incorporating by reference any documents or portions thereof that are not deemed “filed” with the SEC, including any information furnished pursuant to Items 2.02 or 7.01 of Form 8-K.</w:t>
      </w:r>
    </w:p>
    <w:p>
      <w:pPr>
        <w:spacing w:after="0" w:line="149" w:lineRule="exact"/>
        <w:rPr>
          <w:rFonts w:ascii="Arial" w:cs="Arial" w:eastAsia="Arial" w:hAnsi="Arial"/>
          <w:sz w:val="18"/>
          <w:szCs w:val="18"/>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If requested, we will provide to each person, including any beneficial owner, to whom a prospectus is delivered, a copy of any or all of the information that has been incorporated by reference in the prospectus but not delivered with the prospectus. Exhibits to the filings will not be sent, however, unless those exhibits have specifically been incorporated by reference into such documents. To obtain a copy of these filings at no cost, you may write or telephone us at the following address:</w:t>
      </w:r>
    </w:p>
    <w:p>
      <w:pPr>
        <w:spacing w:after="0" w:line="187" w:lineRule="exact"/>
        <w:rPr>
          <w:rFonts w:ascii="Arial" w:cs="Arial" w:eastAsia="Arial" w:hAnsi="Arial"/>
          <w:sz w:val="18"/>
          <w:szCs w:val="18"/>
          <w:color w:val="auto"/>
        </w:rPr>
      </w:pPr>
    </w:p>
    <w:p>
      <w:pPr>
        <w:jc w:val="center"/>
        <w:ind w:right="-179"/>
        <w:spacing w:after="0"/>
        <w:rPr>
          <w:sz w:val="20"/>
          <w:szCs w:val="20"/>
          <w:color w:val="auto"/>
        </w:rPr>
      </w:pPr>
      <w:r>
        <w:rPr>
          <w:rFonts w:ascii="Arial" w:cs="Arial" w:eastAsia="Arial" w:hAnsi="Arial"/>
          <w:sz w:val="18"/>
          <w:szCs w:val="18"/>
          <w:color w:val="auto"/>
        </w:rPr>
        <w:t>Navient Corporation 123 Justison Street</w:t>
      </w:r>
    </w:p>
    <w:p>
      <w:pPr>
        <w:spacing w:after="0" w:line="23" w:lineRule="exact"/>
        <w:rPr>
          <w:rFonts w:ascii="Arial" w:cs="Arial" w:eastAsia="Arial" w:hAnsi="Arial"/>
          <w:sz w:val="18"/>
          <w:szCs w:val="18"/>
          <w:color w:val="auto"/>
        </w:rPr>
      </w:pPr>
    </w:p>
    <w:p>
      <w:pPr>
        <w:jc w:val="center"/>
        <w:ind w:right="-179"/>
        <w:spacing w:after="0"/>
        <w:rPr>
          <w:sz w:val="20"/>
          <w:szCs w:val="20"/>
          <w:color w:val="auto"/>
        </w:rPr>
      </w:pPr>
      <w:r>
        <w:rPr>
          <w:rFonts w:ascii="Arial" w:cs="Arial" w:eastAsia="Arial" w:hAnsi="Arial"/>
          <w:sz w:val="18"/>
          <w:szCs w:val="18"/>
          <w:color w:val="auto"/>
        </w:rPr>
        <w:t>Wilmington, Delaware 19801</w:t>
      </w:r>
    </w:p>
    <w:p>
      <w:pPr>
        <w:spacing w:after="0" w:line="9" w:lineRule="exact"/>
        <w:rPr>
          <w:rFonts w:ascii="Arial" w:cs="Arial" w:eastAsia="Arial" w:hAnsi="Arial"/>
          <w:sz w:val="18"/>
          <w:szCs w:val="18"/>
          <w:color w:val="auto"/>
        </w:rPr>
      </w:pPr>
    </w:p>
    <w:p>
      <w:pPr>
        <w:jc w:val="center"/>
        <w:ind w:right="-179"/>
        <w:spacing w:after="0"/>
        <w:rPr>
          <w:sz w:val="20"/>
          <w:szCs w:val="20"/>
          <w:color w:val="auto"/>
        </w:rPr>
      </w:pPr>
      <w:r>
        <w:rPr>
          <w:rFonts w:ascii="Arial" w:cs="Arial" w:eastAsia="Arial" w:hAnsi="Arial"/>
          <w:sz w:val="18"/>
          <w:szCs w:val="18"/>
          <w:color w:val="auto"/>
        </w:rPr>
        <w:t>Attention: Corporate Secretary</w:t>
      </w:r>
    </w:p>
    <w:p>
      <w:pPr>
        <w:spacing w:after="0" w:line="9" w:lineRule="exact"/>
        <w:rPr>
          <w:rFonts w:ascii="Arial" w:cs="Arial" w:eastAsia="Arial" w:hAnsi="Arial"/>
          <w:sz w:val="18"/>
          <w:szCs w:val="18"/>
          <w:color w:val="auto"/>
        </w:rPr>
      </w:pPr>
    </w:p>
    <w:p>
      <w:pPr>
        <w:jc w:val="center"/>
        <w:ind w:right="-179"/>
        <w:spacing w:after="0"/>
        <w:rPr>
          <w:sz w:val="20"/>
          <w:szCs w:val="20"/>
          <w:color w:val="auto"/>
        </w:rPr>
      </w:pPr>
      <w:r>
        <w:rPr>
          <w:rFonts w:ascii="Arial" w:cs="Arial" w:eastAsia="Arial" w:hAnsi="Arial"/>
          <w:sz w:val="18"/>
          <w:szCs w:val="18"/>
          <w:color w:val="auto"/>
        </w:rPr>
        <w:t>Telephone: (302) 283-8000</w:t>
      </w:r>
    </w:p>
    <w:p>
      <w:pPr>
        <w:spacing w:after="0" w:line="211" w:lineRule="exact"/>
        <w:rPr>
          <w:rFonts w:ascii="Arial" w:cs="Arial" w:eastAsia="Arial" w:hAnsi="Arial"/>
          <w:sz w:val="18"/>
          <w:szCs w:val="18"/>
          <w:color w:val="auto"/>
        </w:rPr>
      </w:pPr>
    </w:p>
    <w:p>
      <w:pPr>
        <w:ind w:left="120" w:right="280" w:firstLine="440"/>
        <w:spacing w:after="0" w:line="286" w:lineRule="auto"/>
        <w:rPr>
          <w:sz w:val="20"/>
          <w:szCs w:val="20"/>
          <w:color w:val="auto"/>
        </w:rPr>
      </w:pPr>
      <w:r>
        <w:rPr>
          <w:rFonts w:ascii="Arial" w:cs="Arial" w:eastAsia="Arial" w:hAnsi="Arial"/>
          <w:sz w:val="17"/>
          <w:szCs w:val="17"/>
          <w:color w:val="auto"/>
        </w:rPr>
        <w:t>You should rely only on the information incorporated by reference or provided in this prospectus and any prospectus supplement. We have not authorized anyone else to provide you with different information. You should not assume that the information in this prospectus or any prospectus supplement is accurate as of any date other than the date on the front of these documents.</w:t>
      </w:r>
    </w:p>
    <w:p>
      <w:pPr>
        <w:spacing w:after="0" w:line="98" w:lineRule="exact"/>
        <w:rPr>
          <w:rFonts w:ascii="Arial" w:cs="Arial" w:eastAsia="Arial" w:hAnsi="Arial"/>
          <w:sz w:val="18"/>
          <w:szCs w:val="18"/>
          <w:color w:val="auto"/>
        </w:rPr>
      </w:pPr>
    </w:p>
    <w:p>
      <w:pPr>
        <w:jc w:val="center"/>
        <w:ind w:right="-1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80"/>
          </w:cols>
          <w:pgMar w:left="320" w:top="459" w:right="499" w:bottom="1440" w:gutter="0" w:footer="0" w:header="0"/>
        </w:sectPr>
      </w:pPr>
    </w:p>
    <w:bookmarkStart w:id="61" w:name="page62"/>
    <w:bookmarkEnd w:id="61"/>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254635</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306070</wp:posOffset>
            </wp:positionV>
            <wp:extent cx="69951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803275</wp:posOffset>
            </wp:positionV>
            <wp:extent cx="1808480" cy="3003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1808480" cy="30035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980"/>
        <w:spacing w:after="0"/>
        <w:rPr>
          <w:sz w:val="20"/>
          <w:szCs w:val="20"/>
          <w:color w:val="auto"/>
        </w:rPr>
      </w:pPr>
      <w:r>
        <w:rPr>
          <w:rFonts w:ascii="Arial" w:cs="Arial" w:eastAsia="Arial" w:hAnsi="Arial"/>
          <w:sz w:val="43"/>
          <w:szCs w:val="43"/>
          <w:b w:val="1"/>
          <w:bCs w:val="1"/>
          <w:color w:val="auto"/>
        </w:rPr>
        <w:t>NAVIENT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260"/>
        <w:spacing w:after="0"/>
        <w:rPr>
          <w:sz w:val="20"/>
          <w:szCs w:val="20"/>
          <w:color w:val="auto"/>
        </w:rPr>
      </w:pPr>
      <w:r>
        <w:rPr>
          <w:rFonts w:ascii="Arial" w:cs="Arial" w:eastAsia="Arial" w:hAnsi="Arial"/>
          <w:sz w:val="28"/>
          <w:szCs w:val="28"/>
          <w:b w:val="1"/>
          <w:bCs w:val="1"/>
          <w:color w:val="auto"/>
        </w:rPr>
        <w:t>$      % Senior Notes due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887730</wp:posOffset>
            </wp:positionV>
            <wp:extent cx="1474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233680</wp:posOffset>
            </wp:positionV>
            <wp:extent cx="14744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i w:val="1"/>
          <w:iCs w:val="1"/>
          <w:color w:val="auto"/>
        </w:rPr>
        <w:t>Joint Book-Running Managers</w:t>
      </w:r>
    </w:p>
    <w:p>
      <w:pPr>
        <w:spacing w:after="0" w:line="87"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BofA Securities</w:t>
      </w:r>
    </w:p>
    <w:p>
      <w:pPr>
        <w:spacing w:after="0" w:line="112"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Barclays</w:t>
      </w:r>
    </w:p>
    <w:p>
      <w:pPr>
        <w:spacing w:after="0" w:line="112"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J.P. Morgan</w:t>
      </w:r>
    </w:p>
    <w:p>
      <w:pPr>
        <w:spacing w:after="0" w:line="112"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RBC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725805</wp:posOffset>
            </wp:positionV>
            <wp:extent cx="1474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506095</wp:posOffset>
            </wp:positionV>
            <wp:extent cx="69951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565785</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decimal"/>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1)"/>
      <w:numFmt w:val="decimal"/>
      <w:start w:val="1"/>
    </w:lvl>
  </w:abstractNum>
  <w:abstractNum w:abstractNumId="7">
    <w:nsid w:val="189A769B"/>
    <w:multiLevelType w:val="hybridMultilevel"/>
    <w:lvl w:ilvl="0">
      <w:lvlJc w:val="left"/>
      <w:lvlText w:val="(%1)"/>
      <w:numFmt w:val="decimal"/>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1)"/>
      <w:numFmt w:val="lowerRoman"/>
      <w:start w:val="1"/>
    </w:lvl>
  </w:abstractNum>
  <w:abstractNum w:abstractNumId="25">
    <w:nsid w:val="440BADFC"/>
    <w:multiLevelType w:val="hybridMultilevel"/>
    <w:lvl w:ilvl="0">
      <w:lvlJc w:val="left"/>
      <w:lvlText w:val="(%1)"/>
      <w:numFmt w:val="lowerRoman"/>
      <w:start w:val="4"/>
    </w:lvl>
  </w:abstractNum>
  <w:abstractNum w:abstractNumId="26">
    <w:nsid w:val="5072367"/>
    <w:multiLevelType w:val="hybridMultilevel"/>
    <w:lvl w:ilvl="0">
      <w:lvlJc w:val="left"/>
      <w:lvlText w:val="(%1)"/>
      <w:numFmt w:val="lowerLetter"/>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lvl w:ilvl="1">
      <w:lvlJc w:val="left"/>
      <w:lvlText w:val="•"/>
      <w:numFmt w:val="bullet"/>
      <w:start w:val="1"/>
    </w:lvl>
  </w:abstractNum>
  <w:abstractNum w:abstractNumId="34">
    <w:nsid w:val="2D517796"/>
    <w:multiLevelType w:val="hybridMultilevel"/>
    <w:lvl w:ilvl="0">
      <w:lvlJc w:val="left"/>
      <w:lvlText w:val="•"/>
      <w:numFmt w:val="bullet"/>
      <w:start w:val="1"/>
    </w:lvl>
    <w:lvl w:ilvl="1">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
      <w:numFmt w:val="bullet"/>
      <w:start w:val="1"/>
    </w:lvl>
  </w:abstractNum>
  <w:abstractNum w:abstractNumId="44">
    <w:nsid w:val="57E4CC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jpe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jpe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54" Type="http://schemas.openxmlformats.org/officeDocument/2006/relationships/hyperlink" Target="http://www.sec.gov/ix?doc=/Archives/edgar/data/1593538/000095017023004376/navi-20221231.htm" TargetMode="External"/><Relationship Id="rId55" Type="http://schemas.openxmlformats.org/officeDocument/2006/relationships/hyperlink" Target="http://www.sec.gov/ix?doc=/Archives/edgar/data/1593538/000095017023014840/navi-20230331.htm" TargetMode="External"/><Relationship Id="rId56" Type="http://schemas.openxmlformats.org/officeDocument/2006/relationships/hyperlink" Target="http://www.sec.gov/ix?doc=/Archives/edgar/data/1593538/000095017023034719/navi-20230630.htm" TargetMode="External"/><Relationship Id="rId57" Type="http://schemas.openxmlformats.org/officeDocument/2006/relationships/hyperlink" Target="http://www.sec.gov/ix?doc=/Archives/edgar/data/1593538/000095017023055266/navi-20230930.htm" TargetMode="External"/><Relationship Id="rId58" Type="http://schemas.openxmlformats.org/officeDocument/2006/relationships/hyperlink" Target="http://www.sec.gov/ix?doc=/Archives/edgar/data/1593538/000119312523136014/d360018d8k.htm" TargetMode="External"/><Relationship Id="rId59" Type="http://schemas.openxmlformats.org/officeDocument/2006/relationships/hyperlink" Target="http://www.sec.gov/ix?doc=/Archives/edgar/data/1593538/000119312523145256/d510043d8k.htm" TargetMode="External"/><Relationship Id="rId60" Type="http://schemas.openxmlformats.org/officeDocument/2006/relationships/hyperlink" Target="http://www.sec.gov/ix?doc=/Archives/edgar/data/1593538/000165495423007390/navi_8k.htm" TargetMode="External"/><Relationship Id="rId61" Type="http://schemas.openxmlformats.org/officeDocument/2006/relationships/hyperlink" Target="http://www.sec.gov/ix?doc=/Archives/edgar/data/1593538/000119312523164525/d198014d8k.htm" TargetMode="External"/><Relationship Id="rId62" Type="http://schemas.openxmlformats.org/officeDocument/2006/relationships/hyperlink" Target="http://www.sec.gov/ix?doc=/Archives/edgar/data/1593538/000165495423004693/navi_def14a.htm" TargetMode="External"/><Relationship Id="rId92" Type="http://schemas.openxmlformats.org/officeDocument/2006/relationships/hyperlink" Target="http://www.sec.gov/Archives/edgar/data/1593538/000119312514138083/d635153d1012b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2023-10-31T07:42:52Z</dcterms:created>
  <dcterms:modified xsi:type="dcterms:W3CDTF">2023-10-31T07:42:52Z</dcterms:modified>
</cp:coreProperties>
</file>