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Navient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001-36228</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Herndon, Virginia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302 283-8000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258445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NAVI</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28, 2026, Navient Corporation (the “Company”) issued an informational press release announcing its financial results for the quarter ended December 31, 2025 were available on the “Investor” page of its website located at https://www.Navient.com/investors. Additionally, on January 28, 2026, the Company posted its financial results for the quarter ended December 31, 2025 to its above-referenced web location. A copy of each press release is furnished as Exhibit 99.1 and Exhibit 99.2 hereto.</w:t>
      </w: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ind w:left="440"/>
        <w:spacing w:after="0"/>
        <w:tabs>
          <w:tab w:leader="none" w:pos="7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354" w:lineRule="exact"/>
        <w:rPr>
          <w:sz w:val="20"/>
          <w:szCs w:val="20"/>
          <w:color w:val="auto"/>
        </w:rPr>
      </w:pPr>
    </w:p>
    <w:p>
      <w:pPr>
        <w:ind w:left="140"/>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January 28,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-7620</wp:posOffset>
            </wp:positionV>
            <wp:extent cx="1741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205" w:lineRule="exact"/>
        <w:rPr>
          <w:sz w:val="20"/>
          <w:szCs w:val="20"/>
          <w:color w:val="auto"/>
        </w:rPr>
      </w:pPr>
    </w:p>
    <w:p>
      <w:pPr>
        <w:ind w:left="140"/>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Financial Press Release, dated January 28, 2026</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-7620</wp:posOffset>
            </wp:positionV>
            <wp:extent cx="2195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95830" cy="8255"/>
                    </a:xfrm>
                    <a:prstGeom prst="rect">
                      <a:avLst/>
                    </a:prstGeom>
                    <a:noFill/>
                  </pic:spPr>
                </pic:pic>
              </a:graphicData>
            </a:graphic>
          </wp:anchor>
        </w:drawing>
      </w:r>
    </w:p>
    <w:p>
      <w:pPr>
        <w:spacing w:after="0" w:line="43" w:lineRule="exact"/>
        <w:rPr>
          <w:sz w:val="20"/>
          <w:szCs w:val="20"/>
          <w:color w:val="auto"/>
        </w:rPr>
      </w:pPr>
    </w:p>
    <w:p>
      <w:pPr>
        <w:ind w:right="2940" w:firstLine="152"/>
        <w:spacing w:after="0" w:line="642" w:lineRule="auto"/>
        <w:tabs>
          <w:tab w:leader="none" w:pos="868" w:val="left"/>
        </w:tabs>
        <w:numPr>
          <w:ilvl w:val="1"/>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401320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765" w:right="11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22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NAVIENT CORPORATION</w:t>
            </w:r>
          </w:p>
        </w:tc>
      </w:tr>
      <w:tr>
        <w:trPr>
          <w:trHeight w:val="432"/>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January 28, 2026</w:t>
            </w:r>
          </w:p>
        </w:tc>
        <w:tc>
          <w:tcPr>
            <w:tcW w:w="722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/s/ STEVE HAUBER</w:t>
            </w:r>
          </w:p>
        </w:tc>
      </w:tr>
      <w:tr>
        <w:trPr>
          <w:trHeight w:val="191"/>
        </w:trPr>
        <w:tc>
          <w:tcPr>
            <w:tcW w:w="3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Steve Hauber</w:t>
            </w:r>
          </w:p>
        </w:tc>
        <w:tc>
          <w:tcPr>
            <w:tcW w:w="66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38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0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292100</wp:posOffset>
            </wp:positionV>
            <wp:extent cx="178308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9"/>
          <w:szCs w:val="29"/>
          <w:color w:val="470A68"/>
        </w:rPr>
        <w:t>NEWS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470A68"/>
        </w:rPr>
        <w:t>For immediate release</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Navient posts fourth quarter 2025 financial results</w:t>
      </w:r>
    </w:p>
    <w:p>
      <w:pPr>
        <w:spacing w:after="0" w:line="22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 xml:space="preserve">HERNDON, Va., Jan. 28, 2026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6"/>
          <w:szCs w:val="16"/>
          <w:color w:val="auto"/>
        </w:rPr>
        <w:t>Navient (Nasdaq: NAVI) today posted its 2025 fourth quarter financial results. Complete</w:t>
      </w:r>
      <w:r>
        <w:rPr>
          <w:rFonts w:ascii="Arial" w:cs="Arial" w:eastAsia="Arial" w:hAnsi="Arial"/>
          <w:sz w:val="20"/>
          <w:szCs w:val="20"/>
          <w:b w:val="1"/>
          <w:bCs w:val="1"/>
          <w:color w:val="auto"/>
        </w:rPr>
        <w:t xml:space="preserve"> </w:t>
      </w:r>
      <w:r>
        <w:rPr>
          <w:rFonts w:ascii="Arial" w:cs="Arial" w:eastAsia="Arial" w:hAnsi="Arial"/>
          <w:sz w:val="16"/>
          <w:szCs w:val="16"/>
          <w:color w:val="auto"/>
        </w:rPr>
        <w:t xml:space="preserve">financial results are available on the company’s website at </w:t>
      </w:r>
      <w:r>
        <w:rPr>
          <w:rFonts w:ascii="Arial" w:cs="Arial" w:eastAsia="Arial" w:hAnsi="Arial"/>
          <w:sz w:val="16"/>
          <w:szCs w:val="16"/>
          <w:u w:val="single" w:color="auto"/>
          <w:color w:val="0000FF"/>
        </w:rPr>
        <w:t>Navient.com/investors.</w:t>
      </w:r>
      <w:r>
        <w:rPr>
          <w:rFonts w:ascii="Arial" w:cs="Arial" w:eastAsia="Arial" w:hAnsi="Arial"/>
          <w:sz w:val="16"/>
          <w:szCs w:val="16"/>
          <w:color w:val="auto"/>
        </w:rPr>
        <w:t xml:space="preserve"> The materials will also be available on a Form 8-K on the SEC’s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w:t>
      </w:r>
    </w:p>
    <w:p>
      <w:pPr>
        <w:spacing w:after="0" w:line="16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Navient will hold a live audio webcast today, Jan. 28, 2026, at 8 a.m. ET, hosted by David Yowan, president and CEO, and Steve Hauber, CFO.</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webcast will be available on </w:t>
      </w:r>
      <w:r>
        <w:rPr>
          <w:rFonts w:ascii="Arial" w:cs="Arial" w:eastAsia="Arial" w:hAnsi="Arial"/>
          <w:sz w:val="16"/>
          <w:szCs w:val="16"/>
          <w:u w:val="single" w:color="auto"/>
          <w:color w:val="0000FF"/>
        </w:rPr>
        <w:t>Navient.com/investors</w:t>
      </w:r>
      <w:r>
        <w:rPr>
          <w:rFonts w:ascii="Arial" w:cs="Arial" w:eastAsia="Arial" w:hAnsi="Arial"/>
          <w:sz w:val="16"/>
          <w:szCs w:val="16"/>
          <w:color w:val="auto"/>
        </w:rPr>
        <w:t>. Supplemental financial information and presentation slides used during the call will be available no later than the start time. A replay of the webcast will be available shortly after the event's conclusion.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Navient</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w:t>
      </w:r>
      <w:r>
        <w:rPr>
          <w:rFonts w:ascii="Arial" w:cs="Arial" w:eastAsia="Arial" w:hAnsi="Arial"/>
          <w:sz w:val="17"/>
          <w:szCs w:val="17"/>
          <w:u w:val="single" w:color="auto"/>
          <w:color w:val="0000FF"/>
        </w:rPr>
        <w:t>Navient.com</w:t>
      </w:r>
      <w:r>
        <w:rPr>
          <w:rFonts w:ascii="Arial" w:cs="Arial" w:eastAsia="Arial" w:hAnsi="Arial"/>
          <w:sz w:val="16"/>
          <w:szCs w:val="16"/>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Cate Fitzgerald, 703-831-6347, </w:t>
      </w:r>
      <w:r>
        <w:rPr>
          <w:rFonts w:ascii="Arial" w:cs="Arial" w:eastAsia="Arial" w:hAnsi="Arial"/>
          <w:sz w:val="16"/>
          <w:szCs w:val="16"/>
          <w:u w:val="single" w:color="auto"/>
          <w:color w:val="0000FF"/>
        </w:rPr>
        <w:t>catherine.fitzgerald@navient.com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Investors: Jen Earyes, 571-592-8582, </w:t>
      </w:r>
      <w:r>
        <w:rPr>
          <w:rFonts w:ascii="Arial" w:cs="Arial" w:eastAsia="Arial" w:hAnsi="Arial"/>
          <w:sz w:val="16"/>
          <w:szCs w:val="16"/>
          <w:u w:val="single" w:color="auto"/>
          <w:color w:val="0000FF"/>
        </w:rPr>
        <w:t>jen.earyes@navient.com</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638810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4" w:name="page5"/>
    <w:bookmarkEnd w:id="4"/>
    <w:p>
      <w:pPr>
        <w:ind w:left="872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185166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308610"/>
                    </a:xfrm>
                    <a:prstGeom prst="rect">
                      <a:avLst/>
                    </a:prstGeom>
                    <a:noFill/>
                  </pic:spPr>
                </pic:pic>
              </a:graphicData>
            </a:graphic>
          </wp:anchor>
        </w:drawing>
      </w:r>
    </w:p>
    <w:p>
      <w:pPr>
        <w:spacing w:after="0" w:line="374" w:lineRule="exact"/>
        <w:rPr>
          <w:sz w:val="20"/>
          <w:szCs w:val="20"/>
          <w:color w:val="auto"/>
        </w:rPr>
      </w:pPr>
    </w:p>
    <w:p>
      <w:pPr>
        <w:jc w:val="right"/>
        <w:ind w:left="5920"/>
        <w:spacing w:after="0" w:line="270" w:lineRule="auto"/>
        <w:rPr>
          <w:sz w:val="20"/>
          <w:szCs w:val="20"/>
          <w:color w:val="auto"/>
        </w:rPr>
      </w:pPr>
      <w:r>
        <w:rPr>
          <w:rFonts w:ascii="Arial" w:cs="Arial" w:eastAsia="Arial" w:hAnsi="Arial"/>
          <w:sz w:val="20"/>
          <w:szCs w:val="20"/>
          <w:b w:val="1"/>
          <w:bCs w:val="1"/>
          <w:color w:val="482366"/>
        </w:rPr>
        <w:t>NAVIENT REPORTS FOURTH-QUARTER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617220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4318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HERNDON, Va., January 28, 2026 </w:t>
      </w:r>
      <w:r>
        <w:rPr>
          <w:rFonts w:ascii="Arial" w:cs="Arial" w:eastAsia="Arial" w:hAnsi="Arial"/>
          <w:sz w:val="18"/>
          <w:szCs w:val="18"/>
          <w:color w:val="auto"/>
        </w:rPr>
        <w:t>— Navient (Nasdaq: NAVI) today released its fourth-quarter 2025 financial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4Q25</w:t>
            </w:r>
          </w:p>
        </w:tc>
        <w:tc>
          <w:tcPr>
            <w:tcW w:w="8020" w:type="dxa"/>
            <w:vAlign w:val="bottom"/>
            <w:shd w:val="clear" w:color="auto" w:fill="D9CFE3"/>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GAAP net loss of $5 million ($0.06 diluted loss per share).</w:t>
            </w:r>
          </w:p>
        </w:tc>
        <w:tc>
          <w:tcPr>
            <w:tcW w:w="0" w:type="dxa"/>
            <w:vAlign w:val="bottom"/>
          </w:tcPr>
          <w:p>
            <w:pPr>
              <w:spacing w:after="0"/>
              <w:rPr>
                <w:sz w:val="1"/>
                <w:szCs w:val="1"/>
                <w:color w:val="auto"/>
              </w:rPr>
            </w:pPr>
          </w:p>
        </w:tc>
      </w:tr>
      <w:tr>
        <w:trPr>
          <w:trHeight w:val="275"/>
        </w:trPr>
        <w:tc>
          <w:tcPr>
            <w:tcW w:w="17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OVERALL</w:t>
            </w:r>
          </w:p>
        </w:tc>
        <w:tc>
          <w:tcPr>
            <w:tcW w:w="8020" w:type="dxa"/>
            <w:vAlign w:val="bottom"/>
            <w:shd w:val="clear" w:color="auto" w:fill="D9CFE3"/>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Core Earnings</w:t>
            </w:r>
            <w:r>
              <w:rPr>
                <w:rFonts w:ascii="Arial" w:cs="Arial" w:eastAsia="Arial" w:hAnsi="Arial"/>
                <w:sz w:val="21"/>
                <w:szCs w:val="21"/>
                <w:color w:val="auto"/>
                <w:vertAlign w:val="superscript"/>
              </w:rPr>
              <w:t>(1)</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net income of $2 million ($0.02 diluted earnings per share).</w:t>
            </w:r>
          </w:p>
        </w:tc>
        <w:tc>
          <w:tcPr>
            <w:tcW w:w="0" w:type="dxa"/>
            <w:vAlign w:val="bottom"/>
          </w:tcPr>
          <w:p>
            <w:pPr>
              <w:spacing w:after="0"/>
              <w:rPr>
                <w:sz w:val="1"/>
                <w:szCs w:val="1"/>
                <w:color w:val="auto"/>
              </w:rPr>
            </w:pPr>
          </w:p>
        </w:tc>
      </w:tr>
      <w:tr>
        <w:trPr>
          <w:trHeight w:val="162"/>
        </w:trPr>
        <w:tc>
          <w:tcPr>
            <w:tcW w:w="1700" w:type="dxa"/>
            <w:vAlign w:val="bottom"/>
            <w:shd w:val="clear" w:color="auto" w:fill="D9CFE3"/>
          </w:tcPr>
          <w:p>
            <w:pPr>
              <w:ind w:left="100"/>
              <w:spacing w:after="0" w:line="162" w:lineRule="exact"/>
              <w:rPr>
                <w:sz w:val="20"/>
                <w:szCs w:val="20"/>
                <w:color w:val="auto"/>
              </w:rPr>
            </w:pPr>
            <w:r>
              <w:rPr>
                <w:rFonts w:ascii="Arial" w:cs="Arial" w:eastAsia="Arial" w:hAnsi="Arial"/>
                <w:sz w:val="18"/>
                <w:szCs w:val="18"/>
                <w:b w:val="1"/>
                <w:bCs w:val="1"/>
                <w:color w:val="auto"/>
              </w:rPr>
              <w:t>RESULTS</w:t>
            </w:r>
          </w:p>
        </w:tc>
        <w:tc>
          <w:tcPr>
            <w:tcW w:w="8020" w:type="dxa"/>
            <w:vAlign w:val="bottom"/>
            <w:shd w:val="clear" w:color="auto" w:fill="D9CFE3"/>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7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4Q25</w:t>
            </w:r>
          </w:p>
        </w:tc>
        <w:tc>
          <w:tcPr>
            <w:tcW w:w="8020" w:type="dxa"/>
            <w:vAlign w:val="bottom"/>
            <w:shd w:val="clear" w:color="auto" w:fill="D9CFE3"/>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GAAP and Core Earnings results included:</w:t>
            </w:r>
          </w:p>
        </w:tc>
        <w:tc>
          <w:tcPr>
            <w:tcW w:w="0" w:type="dxa"/>
            <w:vAlign w:val="bottom"/>
          </w:tcPr>
          <w:p>
            <w:pPr>
              <w:spacing w:after="0"/>
              <w:rPr>
                <w:sz w:val="1"/>
                <w:szCs w:val="1"/>
                <w:color w:val="auto"/>
              </w:rPr>
            </w:pPr>
          </w:p>
        </w:tc>
      </w:tr>
      <w:tr>
        <w:trPr>
          <w:trHeight w:val="230"/>
        </w:trPr>
        <w:tc>
          <w:tcPr>
            <w:tcW w:w="17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SIGNIFICANT</w:t>
            </w:r>
          </w:p>
        </w:tc>
        <w:tc>
          <w:tcPr>
            <w:tcW w:w="8020" w:type="dxa"/>
            <w:vAlign w:val="bottom"/>
            <w:vMerge w:val="restart"/>
            <w:shd w:val="clear" w:color="auto" w:fill="D9CFE3"/>
          </w:tcPr>
          <w:p>
            <w:pPr>
              <w:ind w:left="980"/>
              <w:spacing w:after="0"/>
              <w:rPr>
                <w:sz w:val="20"/>
                <w:szCs w:val="20"/>
                <w:color w:val="auto"/>
              </w:rPr>
            </w:pPr>
            <w:r>
              <w:rPr>
                <w:rFonts w:ascii="Times New Roman" w:cs="Times New Roman" w:eastAsia="Times New Roman" w:hAnsi="Times New Roman"/>
                <w:sz w:val="16"/>
                <w:szCs w:val="16"/>
                <w:color w:val="auto"/>
              </w:rPr>
              <w:t xml:space="preserve">o   </w:t>
            </w:r>
            <w:r>
              <w:rPr>
                <w:rFonts w:ascii="Arial" w:cs="Arial" w:eastAsia="Arial" w:hAnsi="Arial"/>
                <w:sz w:val="16"/>
                <w:szCs w:val="16"/>
                <w:color w:val="auto"/>
              </w:rPr>
              <w:t>$43 million provision for loan losses in the Consumer Lending segment. Of the $43 million,</w:t>
            </w:r>
          </w:p>
        </w:tc>
        <w:tc>
          <w:tcPr>
            <w:tcW w:w="0" w:type="dxa"/>
            <w:vAlign w:val="bottom"/>
          </w:tcPr>
          <w:p>
            <w:pPr>
              <w:spacing w:after="0"/>
              <w:rPr>
                <w:sz w:val="1"/>
                <w:szCs w:val="1"/>
                <w:color w:val="auto"/>
              </w:rPr>
            </w:pPr>
          </w:p>
        </w:tc>
      </w:tr>
      <w:tr>
        <w:trPr>
          <w:trHeight w:val="59"/>
        </w:trPr>
        <w:tc>
          <w:tcPr>
            <w:tcW w:w="1700" w:type="dxa"/>
            <w:vAlign w:val="bottom"/>
            <w:vMerge w:val="restart"/>
            <w:shd w:val="clear" w:color="auto" w:fill="D9CFE3"/>
          </w:tcPr>
          <w:p>
            <w:pPr>
              <w:ind w:left="100"/>
              <w:spacing w:after="0"/>
              <w:rPr>
                <w:sz w:val="20"/>
                <w:szCs w:val="20"/>
                <w:color w:val="auto"/>
              </w:rPr>
            </w:pPr>
            <w:r>
              <w:rPr>
                <w:rFonts w:ascii="Arial" w:cs="Arial" w:eastAsia="Arial" w:hAnsi="Arial"/>
                <w:sz w:val="18"/>
                <w:szCs w:val="18"/>
                <w:b w:val="1"/>
                <w:bCs w:val="1"/>
                <w:color w:val="auto"/>
              </w:rPr>
              <w:t>ITEMS</w:t>
            </w:r>
          </w:p>
        </w:tc>
        <w:tc>
          <w:tcPr>
            <w:tcW w:w="8020" w:type="dxa"/>
            <w:vAlign w:val="bottom"/>
            <w:vMerge w:val="continue"/>
            <w:shd w:val="clear" w:color="auto" w:fill="D9CFE3"/>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700" w:type="dxa"/>
            <w:vAlign w:val="bottom"/>
            <w:vMerge w:val="continue"/>
            <w:shd w:val="clear" w:color="auto" w:fill="D9CFE3"/>
          </w:tcPr>
          <w:p>
            <w:pPr>
              <w:spacing w:after="0"/>
              <w:rPr>
                <w:sz w:val="16"/>
                <w:szCs w:val="16"/>
                <w:color w:val="auto"/>
              </w:rPr>
            </w:pPr>
          </w:p>
        </w:tc>
        <w:tc>
          <w:tcPr>
            <w:tcW w:w="8020" w:type="dxa"/>
            <w:vAlign w:val="bottom"/>
            <w:shd w:val="clear" w:color="auto" w:fill="D9CFE3"/>
          </w:tcPr>
          <w:p>
            <w:pPr>
              <w:ind w:left="1280"/>
              <w:spacing w:after="0"/>
              <w:rPr>
                <w:sz w:val="20"/>
                <w:szCs w:val="20"/>
                <w:color w:val="auto"/>
              </w:rPr>
            </w:pPr>
            <w:r>
              <w:rPr>
                <w:rFonts w:ascii="Arial" w:cs="Arial" w:eastAsia="Arial" w:hAnsi="Arial"/>
                <w:sz w:val="16"/>
                <w:szCs w:val="16"/>
                <w:color w:val="auto"/>
              </w:rPr>
              <w:t>$9 million relates to originations with the remaining $34 million ($0.26 diluted loss per</w:t>
            </w:r>
          </w:p>
        </w:tc>
        <w:tc>
          <w:tcPr>
            <w:tcW w:w="0" w:type="dxa"/>
            <w:vAlign w:val="bottom"/>
          </w:tcPr>
          <w:p>
            <w:pPr>
              <w:spacing w:after="0"/>
              <w:rPr>
                <w:sz w:val="1"/>
                <w:szCs w:val="1"/>
                <w:color w:val="auto"/>
              </w:rPr>
            </w:pPr>
          </w:p>
        </w:tc>
      </w:tr>
      <w:tr>
        <w:trPr>
          <w:trHeight w:val="189"/>
        </w:trPr>
        <w:tc>
          <w:tcPr>
            <w:tcW w:w="1700" w:type="dxa"/>
            <w:vAlign w:val="bottom"/>
            <w:shd w:val="clear" w:color="auto" w:fill="D9CFE3"/>
          </w:tcPr>
          <w:p>
            <w:pPr>
              <w:spacing w:after="0"/>
              <w:rPr>
                <w:sz w:val="16"/>
                <w:szCs w:val="16"/>
                <w:color w:val="auto"/>
              </w:rPr>
            </w:pPr>
          </w:p>
        </w:tc>
        <w:tc>
          <w:tcPr>
            <w:tcW w:w="8020" w:type="dxa"/>
            <w:vAlign w:val="bottom"/>
            <w:shd w:val="clear" w:color="auto" w:fill="D9CFE3"/>
          </w:tcPr>
          <w:p>
            <w:pPr>
              <w:ind w:left="1280"/>
              <w:spacing w:after="0"/>
              <w:rPr>
                <w:sz w:val="20"/>
                <w:szCs w:val="20"/>
                <w:color w:val="auto"/>
              </w:rPr>
            </w:pPr>
            <w:r>
              <w:rPr>
                <w:rFonts w:ascii="Arial" w:cs="Arial" w:eastAsia="Arial" w:hAnsi="Arial"/>
                <w:sz w:val="16"/>
                <w:szCs w:val="16"/>
                <w:color w:val="auto"/>
              </w:rPr>
              <w:t>share) primarily reflecting our macroeconomic outlook and a response to fourth-quarter</w:t>
            </w:r>
          </w:p>
        </w:tc>
        <w:tc>
          <w:tcPr>
            <w:tcW w:w="0" w:type="dxa"/>
            <w:vAlign w:val="bottom"/>
          </w:tcPr>
          <w:p>
            <w:pPr>
              <w:spacing w:after="0"/>
              <w:rPr>
                <w:sz w:val="1"/>
                <w:szCs w:val="1"/>
                <w:color w:val="auto"/>
              </w:rPr>
            </w:pPr>
          </w:p>
        </w:tc>
      </w:tr>
      <w:tr>
        <w:trPr>
          <w:trHeight w:val="215"/>
        </w:trPr>
        <w:tc>
          <w:tcPr>
            <w:tcW w:w="1700" w:type="dxa"/>
            <w:vAlign w:val="bottom"/>
            <w:shd w:val="clear" w:color="auto" w:fill="D9CFE3"/>
          </w:tcPr>
          <w:p>
            <w:pPr>
              <w:spacing w:after="0"/>
              <w:rPr>
                <w:sz w:val="18"/>
                <w:szCs w:val="18"/>
                <w:color w:val="auto"/>
              </w:rPr>
            </w:pPr>
          </w:p>
        </w:tc>
        <w:tc>
          <w:tcPr>
            <w:tcW w:w="8020" w:type="dxa"/>
            <w:vAlign w:val="bottom"/>
            <w:shd w:val="clear" w:color="auto" w:fill="D9CFE3"/>
          </w:tcPr>
          <w:p>
            <w:pPr>
              <w:ind w:left="1280"/>
              <w:spacing w:after="0"/>
              <w:rPr>
                <w:sz w:val="20"/>
                <w:szCs w:val="20"/>
                <w:color w:val="auto"/>
              </w:rPr>
            </w:pPr>
            <w:r>
              <w:rPr>
                <w:rFonts w:ascii="Arial" w:cs="Arial" w:eastAsia="Arial" w:hAnsi="Arial"/>
                <w:sz w:val="16"/>
                <w:szCs w:val="16"/>
                <w:color w:val="auto"/>
              </w:rPr>
              <w:t>delinquency trends within our legacy Private Education Loan portfolio.</w:t>
            </w:r>
          </w:p>
        </w:tc>
        <w:tc>
          <w:tcPr>
            <w:tcW w:w="0" w:type="dxa"/>
            <w:vAlign w:val="bottom"/>
          </w:tcPr>
          <w:p>
            <w:pPr>
              <w:spacing w:after="0"/>
              <w:rPr>
                <w:sz w:val="1"/>
                <w:szCs w:val="1"/>
                <w:color w:val="auto"/>
              </w:rPr>
            </w:pPr>
          </w:p>
        </w:tc>
      </w:tr>
      <w:tr>
        <w:trPr>
          <w:trHeight w:val="297"/>
        </w:trPr>
        <w:tc>
          <w:tcPr>
            <w:tcW w:w="1700" w:type="dxa"/>
            <w:vAlign w:val="bottom"/>
            <w:shd w:val="clear" w:color="auto" w:fill="D9CFE3"/>
          </w:tcPr>
          <w:p>
            <w:pPr>
              <w:spacing w:after="0"/>
              <w:rPr>
                <w:sz w:val="24"/>
                <w:szCs w:val="24"/>
                <w:color w:val="auto"/>
              </w:rPr>
            </w:pPr>
          </w:p>
        </w:tc>
        <w:tc>
          <w:tcPr>
            <w:tcW w:w="8020" w:type="dxa"/>
            <w:vAlign w:val="bottom"/>
            <w:shd w:val="clear" w:color="auto" w:fill="D9CFE3"/>
          </w:tcPr>
          <w:p>
            <w:pPr>
              <w:ind w:left="980"/>
              <w:spacing w:after="0"/>
              <w:rPr>
                <w:sz w:val="20"/>
                <w:szCs w:val="20"/>
                <w:color w:val="auto"/>
              </w:rPr>
            </w:pPr>
            <w:r>
              <w:rPr>
                <w:rFonts w:ascii="Times New Roman" w:cs="Times New Roman" w:eastAsia="Times New Roman" w:hAnsi="Times New Roman"/>
                <w:sz w:val="16"/>
                <w:szCs w:val="16"/>
                <w:color w:val="auto"/>
              </w:rPr>
              <w:t xml:space="preserve">o   </w:t>
            </w:r>
            <w:r>
              <w:rPr>
                <w:rFonts w:ascii="Arial" w:cs="Arial" w:eastAsia="Arial" w:hAnsi="Arial"/>
                <w:sz w:val="16"/>
                <w:szCs w:val="16"/>
                <w:color w:val="auto"/>
              </w:rPr>
              <w:t>$14 million ($0.11 diluted loss per share) of regulatory and restructuring expenses.</w:t>
            </w:r>
          </w:p>
        </w:tc>
        <w:tc>
          <w:tcPr>
            <w:tcW w:w="0" w:type="dxa"/>
            <w:vAlign w:val="bottom"/>
          </w:tcPr>
          <w:p>
            <w:pPr>
              <w:spacing w:after="0"/>
              <w:rPr>
                <w:sz w:val="1"/>
                <w:szCs w:val="1"/>
                <w:color w:val="auto"/>
              </w:rPr>
            </w:pPr>
          </w:p>
        </w:tc>
      </w:tr>
      <w:tr>
        <w:trPr>
          <w:trHeight w:val="334"/>
        </w:trPr>
        <w:tc>
          <w:tcPr>
            <w:tcW w:w="17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2025</w:t>
            </w:r>
          </w:p>
        </w:tc>
        <w:tc>
          <w:tcPr>
            <w:tcW w:w="8020" w:type="dxa"/>
            <w:vAlign w:val="bottom"/>
            <w:shd w:val="clear" w:color="auto" w:fill="D9CFE3"/>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GAAP net loss of $80 million ($0.81 diluted loss per share).</w:t>
            </w:r>
          </w:p>
        </w:tc>
        <w:tc>
          <w:tcPr>
            <w:tcW w:w="0" w:type="dxa"/>
            <w:vAlign w:val="bottom"/>
          </w:tcPr>
          <w:p>
            <w:pPr>
              <w:spacing w:after="0"/>
              <w:rPr>
                <w:sz w:val="1"/>
                <w:szCs w:val="1"/>
                <w:color w:val="auto"/>
              </w:rPr>
            </w:pPr>
          </w:p>
        </w:tc>
      </w:tr>
      <w:tr>
        <w:trPr>
          <w:trHeight w:val="275"/>
        </w:trPr>
        <w:tc>
          <w:tcPr>
            <w:tcW w:w="17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FULL YEAR</w:t>
            </w:r>
          </w:p>
        </w:tc>
        <w:tc>
          <w:tcPr>
            <w:tcW w:w="8020" w:type="dxa"/>
            <w:vAlign w:val="bottom"/>
            <w:shd w:val="clear" w:color="auto" w:fill="D9CFE3"/>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Core Earnings</w:t>
            </w:r>
            <w:r>
              <w:rPr>
                <w:rFonts w:ascii="Arial" w:cs="Arial" w:eastAsia="Arial" w:hAnsi="Arial"/>
                <w:sz w:val="21"/>
                <w:szCs w:val="21"/>
                <w:color w:val="auto"/>
                <w:vertAlign w:val="superscript"/>
              </w:rPr>
              <w:t>(1)</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net loss of $35 million ($0.35 diluted loss per share).</w:t>
            </w:r>
          </w:p>
        </w:tc>
        <w:tc>
          <w:tcPr>
            <w:tcW w:w="0" w:type="dxa"/>
            <w:vAlign w:val="bottom"/>
          </w:tcPr>
          <w:p>
            <w:pPr>
              <w:spacing w:after="0"/>
              <w:rPr>
                <w:sz w:val="1"/>
                <w:szCs w:val="1"/>
                <w:color w:val="auto"/>
              </w:rPr>
            </w:pPr>
          </w:p>
        </w:tc>
      </w:tr>
      <w:tr>
        <w:trPr>
          <w:trHeight w:val="247"/>
        </w:trPr>
        <w:tc>
          <w:tcPr>
            <w:tcW w:w="17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RESULTS</w:t>
            </w:r>
          </w:p>
        </w:tc>
        <w:tc>
          <w:tcPr>
            <w:tcW w:w="8020" w:type="dxa"/>
            <w:vAlign w:val="bottom"/>
            <w:shd w:val="clear" w:color="auto" w:fill="D9CFE3"/>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700" w:type="dxa"/>
            <w:vAlign w:val="bottom"/>
            <w:shd w:val="clear" w:color="auto" w:fill="D9CFE3"/>
          </w:tcPr>
          <w:p>
            <w:pPr>
              <w:spacing w:after="0"/>
              <w:rPr>
                <w:sz w:val="10"/>
                <w:szCs w:val="10"/>
                <w:color w:val="auto"/>
              </w:rPr>
            </w:pPr>
          </w:p>
        </w:tc>
        <w:tc>
          <w:tcPr>
            <w:tcW w:w="8020" w:type="dxa"/>
            <w:vAlign w:val="bottom"/>
            <w:shd w:val="clear" w:color="auto" w:fill="D9CFE3"/>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color w:val="auto"/>
        </w:rPr>
        <w:t xml:space="preserve">CEO COMMENTARY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“Our fourth quarter and full-year performance demonstrates our ability to achieve high-quality loan growth</w:t>
      </w:r>
      <w:r>
        <w:rPr>
          <w:rFonts w:ascii="Arial" w:cs="Arial" w:eastAsia="Arial" w:hAnsi="Arial"/>
          <w:sz w:val="17"/>
          <w:szCs w:val="17"/>
          <w:b w:val="1"/>
          <w:bCs w:val="1"/>
          <w:color w:val="auto"/>
        </w:rPr>
        <w:t xml:space="preserve"> </w:t>
      </w:r>
      <w:r>
        <w:rPr>
          <w:rFonts w:ascii="Arial" w:cs="Arial" w:eastAsia="Arial" w:hAnsi="Arial"/>
          <w:sz w:val="16"/>
          <w:szCs w:val="16"/>
          <w:color w:val="auto"/>
        </w:rPr>
        <w:t>and continue to reduce operating expenses,” said David Yowan, president and CEO of Navient. “Investments in capabilities at Earnest and overdelivering on our expense reduction targets position us as a more strategically focused, efficient, and flexible company. Our 2026 outlook invests in further loan growth and product expansion with strong operating leverage.”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FOURTH-QUARTER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617220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shd w:val="clear" w:color="auto" w:fill="E7E6E6"/>
          </w:tcPr>
          <w:p>
            <w:pPr>
              <w:ind w:left="120"/>
              <w:spacing w:after="0"/>
              <w:rPr>
                <w:sz w:val="20"/>
                <w:szCs w:val="20"/>
                <w:color w:val="auto"/>
              </w:rPr>
            </w:pPr>
            <w:r>
              <w:rPr>
                <w:rFonts w:ascii="Arial" w:cs="Arial" w:eastAsia="Arial" w:hAnsi="Arial"/>
                <w:sz w:val="17"/>
                <w:szCs w:val="17"/>
                <w:b w:val="1"/>
                <w:bCs w:val="1"/>
                <w:color w:val="auto"/>
              </w:rPr>
              <w:t>FEDERAL</w:t>
            </w:r>
          </w:p>
        </w:tc>
        <w:tc>
          <w:tcPr>
            <w:tcW w:w="400" w:type="dxa"/>
            <w:vAlign w:val="bottom"/>
            <w:shd w:val="clear" w:color="auto" w:fill="E7E6E6"/>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shd w:val="clear" w:color="auto" w:fill="E7E6E6"/>
          </w:tcPr>
          <w:p>
            <w:pPr>
              <w:ind w:left="140"/>
              <w:spacing w:after="0"/>
              <w:rPr>
                <w:sz w:val="20"/>
                <w:szCs w:val="20"/>
                <w:color w:val="auto"/>
              </w:rPr>
            </w:pPr>
            <w:r>
              <w:rPr>
                <w:rFonts w:ascii="Arial" w:cs="Arial" w:eastAsia="Arial" w:hAnsi="Arial"/>
                <w:sz w:val="16"/>
                <w:szCs w:val="16"/>
                <w:color w:val="auto"/>
              </w:rPr>
              <w:t>Net income of $27 million.</w:t>
            </w:r>
          </w:p>
        </w:tc>
        <w:tc>
          <w:tcPr>
            <w:tcW w:w="0" w:type="dxa"/>
            <w:vAlign w:val="bottom"/>
          </w:tcPr>
          <w:p>
            <w:pPr>
              <w:spacing w:after="0"/>
              <w:rPr>
                <w:sz w:val="1"/>
                <w:szCs w:val="1"/>
                <w:color w:val="auto"/>
              </w:rPr>
            </w:pPr>
          </w:p>
        </w:tc>
      </w:tr>
      <w:tr>
        <w:trPr>
          <w:trHeight w:val="189"/>
        </w:trPr>
        <w:tc>
          <w:tcPr>
            <w:tcW w:w="1800" w:type="dxa"/>
            <w:vAlign w:val="bottom"/>
            <w:shd w:val="clear" w:color="auto" w:fill="E7E6E6"/>
          </w:tcPr>
          <w:p>
            <w:pPr>
              <w:ind w:left="120"/>
              <w:spacing w:after="0" w:line="189" w:lineRule="exact"/>
              <w:rPr>
                <w:sz w:val="20"/>
                <w:szCs w:val="20"/>
                <w:color w:val="auto"/>
              </w:rPr>
            </w:pPr>
            <w:r>
              <w:rPr>
                <w:rFonts w:ascii="Arial" w:cs="Arial" w:eastAsia="Arial" w:hAnsi="Arial"/>
                <w:sz w:val="17"/>
                <w:szCs w:val="17"/>
                <w:b w:val="1"/>
                <w:bCs w:val="1"/>
                <w:color w:val="auto"/>
              </w:rPr>
              <w:t>EDUCATION</w:t>
            </w:r>
          </w:p>
        </w:tc>
        <w:tc>
          <w:tcPr>
            <w:tcW w:w="400" w:type="dxa"/>
            <w:vAlign w:val="bottom"/>
            <w:vMerge w:val="restart"/>
            <w:shd w:val="clear" w:color="auto" w:fill="E7E6E6"/>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vMerge w:val="restart"/>
            <w:shd w:val="clear" w:color="auto" w:fill="E7E6E6"/>
          </w:tcPr>
          <w:p>
            <w:pPr>
              <w:ind w:left="140"/>
              <w:spacing w:after="0"/>
              <w:rPr>
                <w:sz w:val="20"/>
                <w:szCs w:val="20"/>
                <w:color w:val="auto"/>
              </w:rPr>
            </w:pPr>
            <w:r>
              <w:rPr>
                <w:rFonts w:ascii="Arial" w:cs="Arial" w:eastAsia="Arial" w:hAnsi="Arial"/>
                <w:sz w:val="16"/>
                <w:szCs w:val="16"/>
                <w:color w:val="auto"/>
              </w:rPr>
              <w:t>Net interest margin of 0.58%.</w:t>
            </w:r>
          </w:p>
        </w:tc>
        <w:tc>
          <w:tcPr>
            <w:tcW w:w="0" w:type="dxa"/>
            <w:vAlign w:val="bottom"/>
          </w:tcPr>
          <w:p>
            <w:pPr>
              <w:spacing w:after="0"/>
              <w:rPr>
                <w:sz w:val="1"/>
                <w:szCs w:val="1"/>
                <w:color w:val="auto"/>
              </w:rPr>
            </w:pPr>
          </w:p>
        </w:tc>
      </w:tr>
      <w:tr>
        <w:trPr>
          <w:trHeight w:val="115"/>
        </w:trPr>
        <w:tc>
          <w:tcPr>
            <w:tcW w:w="1800" w:type="dxa"/>
            <w:vAlign w:val="bottom"/>
            <w:vMerge w:val="restart"/>
            <w:shd w:val="clear" w:color="auto" w:fill="E7E6E6"/>
          </w:tcPr>
          <w:p>
            <w:pPr>
              <w:ind w:left="120"/>
              <w:spacing w:after="0"/>
              <w:rPr>
                <w:sz w:val="20"/>
                <w:szCs w:val="20"/>
                <w:color w:val="auto"/>
              </w:rPr>
            </w:pPr>
            <w:r>
              <w:rPr>
                <w:rFonts w:ascii="Arial" w:cs="Arial" w:eastAsia="Arial" w:hAnsi="Arial"/>
                <w:sz w:val="17"/>
                <w:szCs w:val="17"/>
                <w:b w:val="1"/>
                <w:bCs w:val="1"/>
                <w:color w:val="auto"/>
              </w:rPr>
              <w:t>LOANS SEGMENT</w:t>
            </w:r>
          </w:p>
        </w:tc>
        <w:tc>
          <w:tcPr>
            <w:tcW w:w="400" w:type="dxa"/>
            <w:vAlign w:val="bottom"/>
            <w:vMerge w:val="continue"/>
            <w:shd w:val="clear" w:color="auto" w:fill="E7E6E6"/>
          </w:tcPr>
          <w:p>
            <w:pPr>
              <w:spacing w:after="0"/>
              <w:rPr>
                <w:sz w:val="9"/>
                <w:szCs w:val="9"/>
                <w:color w:val="auto"/>
              </w:rPr>
            </w:pPr>
          </w:p>
        </w:tc>
        <w:tc>
          <w:tcPr>
            <w:tcW w:w="7520" w:type="dxa"/>
            <w:vAlign w:val="bottom"/>
            <w:vMerge w:val="continue"/>
            <w:shd w:val="clear" w:color="auto" w:fill="E7E6E6"/>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800" w:type="dxa"/>
            <w:vAlign w:val="bottom"/>
            <w:vMerge w:val="continue"/>
            <w:shd w:val="clear" w:color="auto" w:fill="E7E6E6"/>
          </w:tcPr>
          <w:p>
            <w:pPr>
              <w:spacing w:after="0"/>
              <w:rPr>
                <w:sz w:val="10"/>
                <w:szCs w:val="10"/>
                <w:color w:val="auto"/>
              </w:rPr>
            </w:pPr>
          </w:p>
        </w:tc>
        <w:tc>
          <w:tcPr>
            <w:tcW w:w="7920" w:type="dxa"/>
            <w:vAlign w:val="bottom"/>
            <w:gridSpan w:val="2"/>
            <w:vMerge w:val="restart"/>
            <w:shd w:val="clear" w:color="auto" w:fill="E7E6E6"/>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FFELP Loan prepayments of $225 million compared to $322 million in fourth-quarter 2024.</w:t>
            </w:r>
          </w:p>
        </w:tc>
        <w:tc>
          <w:tcPr>
            <w:tcW w:w="0" w:type="dxa"/>
            <w:vAlign w:val="bottom"/>
          </w:tcPr>
          <w:p>
            <w:pPr>
              <w:spacing w:after="0"/>
              <w:rPr>
                <w:sz w:val="1"/>
                <w:szCs w:val="1"/>
                <w:color w:val="auto"/>
              </w:rPr>
            </w:pPr>
          </w:p>
        </w:tc>
      </w:tr>
      <w:tr>
        <w:trPr>
          <w:trHeight w:val="190"/>
        </w:trPr>
        <w:tc>
          <w:tcPr>
            <w:tcW w:w="1800" w:type="dxa"/>
            <w:vAlign w:val="bottom"/>
            <w:shd w:val="clear" w:color="auto" w:fill="E7E6E6"/>
          </w:tcPr>
          <w:p>
            <w:pPr>
              <w:spacing w:after="0"/>
              <w:rPr>
                <w:sz w:val="16"/>
                <w:szCs w:val="16"/>
                <w:color w:val="auto"/>
              </w:rPr>
            </w:pPr>
          </w:p>
        </w:tc>
        <w:tc>
          <w:tcPr>
            <w:tcW w:w="7920" w:type="dxa"/>
            <w:vAlign w:val="bottom"/>
            <w:gridSpan w:val="2"/>
            <w:vMerge w:val="continue"/>
            <w:shd w:val="clear" w:color="auto" w:fill="E7E6E6"/>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1800" w:type="dxa"/>
            <w:vAlign w:val="bottom"/>
            <w:shd w:val="clear" w:color="auto" w:fill="E7E6E6"/>
          </w:tcPr>
          <w:p>
            <w:pPr>
              <w:spacing w:after="0"/>
              <w:rPr>
                <w:sz w:val="6"/>
                <w:szCs w:val="6"/>
                <w:color w:val="auto"/>
              </w:rPr>
            </w:pPr>
          </w:p>
        </w:tc>
        <w:tc>
          <w:tcPr>
            <w:tcW w:w="400" w:type="dxa"/>
            <w:vAlign w:val="bottom"/>
            <w:shd w:val="clear" w:color="auto" w:fill="E7E6E6"/>
          </w:tcPr>
          <w:p>
            <w:pPr>
              <w:spacing w:after="0"/>
              <w:rPr>
                <w:sz w:val="6"/>
                <w:szCs w:val="6"/>
                <w:color w:val="auto"/>
              </w:rPr>
            </w:pPr>
          </w:p>
        </w:tc>
        <w:tc>
          <w:tcPr>
            <w:tcW w:w="7520" w:type="dxa"/>
            <w:vAlign w:val="bottom"/>
            <w:shd w:val="clear" w:color="auto" w:fill="E7E6E6"/>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120"/>
              <w:spacing w:after="0"/>
              <w:rPr>
                <w:sz w:val="20"/>
                <w:szCs w:val="20"/>
                <w:color w:val="auto"/>
              </w:rPr>
            </w:pPr>
            <w:r>
              <w:rPr>
                <w:rFonts w:ascii="Arial" w:cs="Arial" w:eastAsia="Arial" w:hAnsi="Arial"/>
                <w:sz w:val="17"/>
                <w:szCs w:val="17"/>
                <w:b w:val="1"/>
                <w:bCs w:val="1"/>
                <w:color w:val="auto"/>
              </w:rPr>
              <w:t>CONSUMER</w:t>
            </w: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tcPr>
          <w:p>
            <w:pPr>
              <w:ind w:left="140"/>
              <w:spacing w:after="0"/>
              <w:rPr>
                <w:sz w:val="20"/>
                <w:szCs w:val="20"/>
                <w:color w:val="auto"/>
              </w:rPr>
            </w:pPr>
            <w:r>
              <w:rPr>
                <w:rFonts w:ascii="Arial" w:cs="Arial" w:eastAsia="Arial" w:hAnsi="Arial"/>
                <w:sz w:val="16"/>
                <w:szCs w:val="16"/>
                <w:color w:val="auto"/>
              </w:rPr>
              <w:t>Net income of $25 million.</w:t>
            </w:r>
          </w:p>
        </w:tc>
        <w:tc>
          <w:tcPr>
            <w:tcW w:w="0" w:type="dxa"/>
            <w:vAlign w:val="bottom"/>
          </w:tcPr>
          <w:p>
            <w:pPr>
              <w:spacing w:after="0"/>
              <w:rPr>
                <w:sz w:val="1"/>
                <w:szCs w:val="1"/>
                <w:color w:val="auto"/>
              </w:rPr>
            </w:pPr>
          </w:p>
        </w:tc>
      </w:tr>
      <w:tr>
        <w:trPr>
          <w:trHeight w:val="189"/>
        </w:trPr>
        <w:tc>
          <w:tcPr>
            <w:tcW w:w="180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LENDING</w:t>
            </w: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Net interest margin of 2.51%.</w:t>
            </w:r>
          </w:p>
        </w:tc>
        <w:tc>
          <w:tcPr>
            <w:tcW w:w="0" w:type="dxa"/>
            <w:vAlign w:val="bottom"/>
          </w:tcPr>
          <w:p>
            <w:pPr>
              <w:spacing w:after="0"/>
              <w:rPr>
                <w:sz w:val="1"/>
                <w:szCs w:val="1"/>
                <w:color w:val="auto"/>
              </w:rPr>
            </w:pPr>
          </w:p>
        </w:tc>
      </w:tr>
      <w:tr>
        <w:trPr>
          <w:trHeight w:val="155"/>
        </w:trPr>
        <w:tc>
          <w:tcPr>
            <w:tcW w:w="180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SEGMENT</w:t>
            </w:r>
          </w:p>
        </w:tc>
        <w:tc>
          <w:tcPr>
            <w:tcW w:w="400" w:type="dxa"/>
            <w:vAlign w:val="bottom"/>
            <w:vMerge w:val="continue"/>
          </w:tcPr>
          <w:p>
            <w:pPr>
              <w:spacing w:after="0"/>
              <w:rPr>
                <w:sz w:val="13"/>
                <w:szCs w:val="13"/>
                <w:color w:val="auto"/>
              </w:rPr>
            </w:pPr>
          </w:p>
        </w:tc>
        <w:tc>
          <w:tcPr>
            <w:tcW w:w="7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8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Originated $680 million of Private Education Loans, an 87% increase.</w:t>
            </w: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7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800" w:type="dxa"/>
            <w:vAlign w:val="bottom"/>
            <w:vMerge w:val="restart"/>
            <w:shd w:val="clear" w:color="auto" w:fill="E7E6E6"/>
          </w:tcPr>
          <w:p>
            <w:pPr>
              <w:ind w:left="120"/>
              <w:spacing w:after="0"/>
              <w:rPr>
                <w:sz w:val="20"/>
                <w:szCs w:val="20"/>
                <w:color w:val="auto"/>
              </w:rPr>
            </w:pPr>
            <w:r>
              <w:rPr>
                <w:rFonts w:ascii="Arial" w:cs="Arial" w:eastAsia="Arial" w:hAnsi="Arial"/>
                <w:sz w:val="17"/>
                <w:szCs w:val="17"/>
                <w:b w:val="1"/>
                <w:bCs w:val="1"/>
                <w:color w:val="auto"/>
              </w:rPr>
              <w:t>BUSINESS</w:t>
            </w:r>
          </w:p>
        </w:tc>
        <w:tc>
          <w:tcPr>
            <w:tcW w:w="7920" w:type="dxa"/>
            <w:vAlign w:val="bottom"/>
            <w:gridSpan w:val="2"/>
            <w:shd w:val="clear" w:color="auto" w:fill="E7E6E6"/>
          </w:tcPr>
          <w:p>
            <w:pPr>
              <w:ind w:left="220"/>
              <w:spacing w:after="0" w:line="171"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Navient ceased providing Business Processing segment services after the sale in February 2025 of its</w:t>
            </w:r>
          </w:p>
        </w:tc>
        <w:tc>
          <w:tcPr>
            <w:tcW w:w="0" w:type="dxa"/>
            <w:vAlign w:val="bottom"/>
          </w:tcPr>
          <w:p>
            <w:pPr>
              <w:spacing w:after="0"/>
              <w:rPr>
                <w:sz w:val="1"/>
                <w:szCs w:val="1"/>
                <w:color w:val="auto"/>
              </w:rPr>
            </w:pPr>
          </w:p>
        </w:tc>
      </w:tr>
      <w:tr>
        <w:trPr>
          <w:trHeight w:val="64"/>
        </w:trPr>
        <w:tc>
          <w:tcPr>
            <w:tcW w:w="1800" w:type="dxa"/>
            <w:vAlign w:val="bottom"/>
            <w:vMerge w:val="continue"/>
            <w:shd w:val="clear" w:color="auto" w:fill="E7E6E6"/>
          </w:tcPr>
          <w:p>
            <w:pPr>
              <w:spacing w:after="0"/>
              <w:rPr>
                <w:sz w:val="5"/>
                <w:szCs w:val="5"/>
                <w:color w:val="auto"/>
              </w:rPr>
            </w:pPr>
          </w:p>
        </w:tc>
        <w:tc>
          <w:tcPr>
            <w:tcW w:w="400" w:type="dxa"/>
            <w:vAlign w:val="bottom"/>
            <w:shd w:val="clear" w:color="auto" w:fill="E7E6E6"/>
          </w:tcPr>
          <w:p>
            <w:pPr>
              <w:spacing w:after="0"/>
              <w:rPr>
                <w:sz w:val="5"/>
                <w:szCs w:val="5"/>
                <w:color w:val="auto"/>
              </w:rPr>
            </w:pPr>
          </w:p>
        </w:tc>
        <w:tc>
          <w:tcPr>
            <w:tcW w:w="7520" w:type="dxa"/>
            <w:vAlign w:val="bottom"/>
            <w:vMerge w:val="restart"/>
            <w:shd w:val="clear" w:color="auto" w:fill="E7E6E6"/>
          </w:tcPr>
          <w:p>
            <w:pPr>
              <w:ind w:left="140"/>
              <w:spacing w:after="0"/>
              <w:rPr>
                <w:sz w:val="20"/>
                <w:szCs w:val="20"/>
                <w:color w:val="auto"/>
              </w:rPr>
            </w:pPr>
            <w:r>
              <w:rPr>
                <w:rFonts w:ascii="Arial" w:cs="Arial" w:eastAsia="Arial" w:hAnsi="Arial"/>
                <w:sz w:val="16"/>
                <w:szCs w:val="16"/>
                <w:color w:val="auto"/>
              </w:rPr>
              <w:t>government services business</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1800" w:type="dxa"/>
            <w:vAlign w:val="bottom"/>
            <w:shd w:val="clear" w:color="auto" w:fill="E7E6E6"/>
          </w:tcPr>
          <w:p>
            <w:pPr>
              <w:ind w:left="120"/>
              <w:spacing w:after="0" w:line="189" w:lineRule="exact"/>
              <w:rPr>
                <w:sz w:val="20"/>
                <w:szCs w:val="20"/>
                <w:color w:val="auto"/>
              </w:rPr>
            </w:pPr>
            <w:r>
              <w:rPr>
                <w:rFonts w:ascii="Arial" w:cs="Arial" w:eastAsia="Arial" w:hAnsi="Arial"/>
                <w:sz w:val="17"/>
                <w:szCs w:val="17"/>
                <w:b w:val="1"/>
                <w:bCs w:val="1"/>
                <w:color w:val="auto"/>
              </w:rPr>
              <w:t>PROCESSING</w:t>
            </w:r>
          </w:p>
        </w:tc>
        <w:tc>
          <w:tcPr>
            <w:tcW w:w="400" w:type="dxa"/>
            <w:vAlign w:val="bottom"/>
            <w:shd w:val="clear" w:color="auto" w:fill="E7E6E6"/>
          </w:tcPr>
          <w:p>
            <w:pPr>
              <w:spacing w:after="0"/>
              <w:rPr>
                <w:sz w:val="16"/>
                <w:szCs w:val="16"/>
                <w:color w:val="auto"/>
              </w:rPr>
            </w:pPr>
          </w:p>
        </w:tc>
        <w:tc>
          <w:tcPr>
            <w:tcW w:w="7520" w:type="dxa"/>
            <w:vAlign w:val="bottom"/>
            <w:vMerge w:val="continue"/>
            <w:shd w:val="clear" w:color="auto" w:fill="E7E6E6"/>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00" w:type="dxa"/>
            <w:vAlign w:val="bottom"/>
            <w:shd w:val="clear" w:color="auto" w:fill="E7E6E6"/>
          </w:tcPr>
          <w:p>
            <w:pPr>
              <w:ind w:left="120"/>
              <w:spacing w:after="0"/>
              <w:rPr>
                <w:sz w:val="20"/>
                <w:szCs w:val="20"/>
                <w:color w:val="auto"/>
              </w:rPr>
            </w:pPr>
            <w:r>
              <w:rPr>
                <w:rFonts w:ascii="Arial" w:cs="Arial" w:eastAsia="Arial" w:hAnsi="Arial"/>
                <w:sz w:val="17"/>
                <w:szCs w:val="17"/>
                <w:b w:val="1"/>
                <w:bCs w:val="1"/>
                <w:color w:val="auto"/>
              </w:rPr>
              <w:t>SEGMENT</w:t>
            </w:r>
          </w:p>
        </w:tc>
        <w:tc>
          <w:tcPr>
            <w:tcW w:w="400" w:type="dxa"/>
            <w:vAlign w:val="bottom"/>
            <w:shd w:val="clear" w:color="auto" w:fill="E7E6E6"/>
          </w:tcPr>
          <w:p>
            <w:pPr>
              <w:spacing w:after="0"/>
              <w:rPr>
                <w:sz w:val="21"/>
                <w:szCs w:val="21"/>
                <w:color w:val="auto"/>
              </w:rPr>
            </w:pPr>
          </w:p>
        </w:tc>
        <w:tc>
          <w:tcPr>
            <w:tcW w:w="7520" w:type="dxa"/>
            <w:vAlign w:val="bottom"/>
            <w:shd w:val="clear" w:color="auto" w:fill="E7E6E6"/>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1800" w:type="dxa"/>
            <w:vAlign w:val="bottom"/>
          </w:tcPr>
          <w:p>
            <w:pPr>
              <w:ind w:left="120"/>
              <w:spacing w:after="0"/>
              <w:rPr>
                <w:sz w:val="20"/>
                <w:szCs w:val="20"/>
                <w:color w:val="auto"/>
              </w:rPr>
            </w:pPr>
            <w:r>
              <w:rPr>
                <w:rFonts w:ascii="Arial" w:cs="Arial" w:eastAsia="Arial" w:hAnsi="Arial"/>
                <w:sz w:val="17"/>
                <w:szCs w:val="17"/>
                <w:b w:val="1"/>
                <w:bCs w:val="1"/>
                <w:color w:val="auto"/>
              </w:rPr>
              <w:t>CAPITAL &amp;</w:t>
            </w: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tcPr>
          <w:p>
            <w:pPr>
              <w:ind w:left="140"/>
              <w:spacing w:after="0"/>
              <w:rPr>
                <w:sz w:val="20"/>
                <w:szCs w:val="20"/>
                <w:color w:val="auto"/>
              </w:rPr>
            </w:pPr>
            <w:r>
              <w:rPr>
                <w:rFonts w:ascii="Arial" w:cs="Arial" w:eastAsia="Arial" w:hAnsi="Arial"/>
                <w:sz w:val="16"/>
                <w:szCs w:val="16"/>
                <w:color w:val="auto"/>
              </w:rPr>
              <w:t>GAAP equity-to-asset ratio of 4.9% and adjusted tangible equity ratio</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9.1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1800" w:type="dxa"/>
            <w:vAlign w:val="bottom"/>
          </w:tcPr>
          <w:p>
            <w:pPr>
              <w:ind w:left="120"/>
              <w:spacing w:after="0"/>
              <w:rPr>
                <w:sz w:val="20"/>
                <w:szCs w:val="20"/>
                <w:color w:val="auto"/>
              </w:rPr>
            </w:pPr>
            <w:r>
              <w:rPr>
                <w:rFonts w:ascii="Arial" w:cs="Arial" w:eastAsia="Arial" w:hAnsi="Arial"/>
                <w:sz w:val="17"/>
                <w:szCs w:val="17"/>
                <w:b w:val="1"/>
                <w:bCs w:val="1"/>
                <w:color w:val="auto"/>
              </w:rPr>
              <w:t>FUNDING</w:t>
            </w: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tcPr>
          <w:p>
            <w:pPr>
              <w:ind w:left="140"/>
              <w:spacing w:after="0"/>
              <w:rPr>
                <w:sz w:val="20"/>
                <w:szCs w:val="20"/>
                <w:color w:val="auto"/>
              </w:rPr>
            </w:pPr>
            <w:r>
              <w:rPr>
                <w:rFonts w:ascii="Arial" w:cs="Arial" w:eastAsia="Arial" w:hAnsi="Arial"/>
                <w:sz w:val="16"/>
                <w:szCs w:val="16"/>
                <w:color w:val="auto"/>
              </w:rPr>
              <w:t>Repurchased $26 million of common shares.</w:t>
            </w:r>
          </w:p>
        </w:tc>
        <w:tc>
          <w:tcPr>
            <w:tcW w:w="0" w:type="dxa"/>
            <w:vAlign w:val="bottom"/>
          </w:tcPr>
          <w:p>
            <w:pPr>
              <w:spacing w:after="0"/>
              <w:rPr>
                <w:sz w:val="1"/>
                <w:szCs w:val="1"/>
                <w:color w:val="auto"/>
              </w:rPr>
            </w:pPr>
          </w:p>
        </w:tc>
      </w:tr>
      <w:tr>
        <w:trPr>
          <w:trHeight w:val="330"/>
        </w:trPr>
        <w:tc>
          <w:tcPr>
            <w:tcW w:w="1800" w:type="dxa"/>
            <w:vAlign w:val="bottom"/>
          </w:tcPr>
          <w:p>
            <w:pPr>
              <w:spacing w:after="0"/>
              <w:rPr>
                <w:sz w:val="24"/>
                <w:szCs w:val="24"/>
                <w:color w:val="auto"/>
              </w:rPr>
            </w:pPr>
          </w:p>
        </w:tc>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Paid $15 million in common stock dividends</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4"/>
        </w:trPr>
        <w:tc>
          <w:tcPr>
            <w:tcW w:w="1800" w:type="dxa"/>
            <w:vAlign w:val="bottom"/>
          </w:tcPr>
          <w:p>
            <w:pPr>
              <w:spacing w:after="0"/>
              <w:rPr>
                <w:sz w:val="24"/>
                <w:szCs w:val="24"/>
                <w:color w:val="auto"/>
              </w:rPr>
            </w:pPr>
          </w:p>
        </w:tc>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Issued $542 million of asset-backed securities</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7"/>
        </w:trPr>
        <w:tc>
          <w:tcPr>
            <w:tcW w:w="1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800" w:type="dxa"/>
            <w:vAlign w:val="bottom"/>
            <w:shd w:val="clear" w:color="auto" w:fill="E7E6E6"/>
          </w:tcPr>
          <w:p>
            <w:pPr>
              <w:ind w:left="120"/>
              <w:spacing w:after="0"/>
              <w:rPr>
                <w:sz w:val="20"/>
                <w:szCs w:val="20"/>
                <w:color w:val="auto"/>
              </w:rPr>
            </w:pPr>
            <w:r>
              <w:rPr>
                <w:rFonts w:ascii="Arial" w:cs="Arial" w:eastAsia="Arial" w:hAnsi="Arial"/>
                <w:sz w:val="17"/>
                <w:szCs w:val="17"/>
                <w:b w:val="1"/>
                <w:bCs w:val="1"/>
                <w:color w:val="auto"/>
              </w:rPr>
              <w:t>OPERATING</w:t>
            </w:r>
          </w:p>
        </w:tc>
        <w:tc>
          <w:tcPr>
            <w:tcW w:w="400" w:type="dxa"/>
            <w:vAlign w:val="bottom"/>
            <w:shd w:val="clear" w:color="auto" w:fill="E7E6E6"/>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shd w:val="clear" w:color="auto" w:fill="E7E6E6"/>
          </w:tcPr>
          <w:p>
            <w:pPr>
              <w:ind w:left="140"/>
              <w:spacing w:after="0"/>
              <w:rPr>
                <w:sz w:val="20"/>
                <w:szCs w:val="20"/>
                <w:color w:val="auto"/>
              </w:rPr>
            </w:pPr>
            <w:r>
              <w:rPr>
                <w:rFonts w:ascii="Arial" w:cs="Arial" w:eastAsia="Arial" w:hAnsi="Arial"/>
                <w:sz w:val="16"/>
                <w:szCs w:val="16"/>
                <w:color w:val="auto"/>
              </w:rPr>
              <w:t>Incurred operating expenses of $88 million.</w:t>
            </w:r>
          </w:p>
        </w:tc>
        <w:tc>
          <w:tcPr>
            <w:tcW w:w="0" w:type="dxa"/>
            <w:vAlign w:val="bottom"/>
          </w:tcPr>
          <w:p>
            <w:pPr>
              <w:spacing w:after="0"/>
              <w:rPr>
                <w:sz w:val="1"/>
                <w:szCs w:val="1"/>
                <w:color w:val="auto"/>
              </w:rPr>
            </w:pPr>
          </w:p>
        </w:tc>
      </w:tr>
      <w:tr>
        <w:trPr>
          <w:trHeight w:val="211"/>
        </w:trPr>
        <w:tc>
          <w:tcPr>
            <w:tcW w:w="1800" w:type="dxa"/>
            <w:vAlign w:val="bottom"/>
            <w:shd w:val="clear" w:color="auto" w:fill="E7E6E6"/>
          </w:tcPr>
          <w:p>
            <w:pPr>
              <w:ind w:left="120"/>
              <w:spacing w:after="0"/>
              <w:rPr>
                <w:sz w:val="20"/>
                <w:szCs w:val="20"/>
                <w:color w:val="auto"/>
              </w:rPr>
            </w:pPr>
            <w:r>
              <w:rPr>
                <w:rFonts w:ascii="Arial" w:cs="Arial" w:eastAsia="Arial" w:hAnsi="Arial"/>
                <w:sz w:val="17"/>
                <w:szCs w:val="17"/>
                <w:b w:val="1"/>
                <w:bCs w:val="1"/>
                <w:color w:val="auto"/>
              </w:rPr>
              <w:t>EXPENSES</w:t>
            </w:r>
          </w:p>
        </w:tc>
        <w:tc>
          <w:tcPr>
            <w:tcW w:w="400" w:type="dxa"/>
            <w:vAlign w:val="bottom"/>
            <w:shd w:val="clear" w:color="auto" w:fill="E7E6E6"/>
          </w:tcPr>
          <w:p>
            <w:pPr>
              <w:spacing w:after="0"/>
              <w:rPr>
                <w:sz w:val="18"/>
                <w:szCs w:val="18"/>
                <w:color w:val="auto"/>
              </w:rPr>
            </w:pPr>
          </w:p>
        </w:tc>
        <w:tc>
          <w:tcPr>
            <w:tcW w:w="7520" w:type="dxa"/>
            <w:vAlign w:val="bottom"/>
            <w:shd w:val="clear" w:color="auto" w:fill="E7E6E6"/>
          </w:tcPr>
          <w:p>
            <w:pPr>
              <w:spacing w:after="0"/>
              <w:rPr>
                <w:sz w:val="18"/>
                <w:szCs w:val="18"/>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220" w:hanging="216"/>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 on pages 18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592455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1" w:right="1099" w:bottom="1440" w:gutter="0" w:footer="0" w:header="0"/>
        </w:sectPr>
      </w:pPr>
    </w:p>
    <w:bookmarkStart w:id="5" w:name="page6"/>
    <w:bookmarkEnd w:id="5"/>
    <w:p>
      <w:pPr>
        <w:ind w:lef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808990</wp:posOffset>
            </wp:positionV>
            <wp:extent cx="617220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171450"/>
                    </a:xfrm>
                    <a:prstGeom prst="rect">
                      <a:avLst/>
                    </a:prstGeom>
                    <a:noFill/>
                  </pic:spPr>
                </pic:pic>
              </a:graphicData>
            </a:graphic>
          </wp:anchor>
        </w:drawing>
        <w:t>SEGMENT RESULTS — CORE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617220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205740"/>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FEDERAL EDUCATION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6172200" cy="248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248285"/>
                    </a:xfrm>
                    <a:prstGeom prst="rect">
                      <a:avLst/>
                    </a:prstGeom>
                    <a:noFill/>
                  </pic:spPr>
                </pic:pic>
              </a:graphicData>
            </a:graphic>
          </wp:anchor>
        </w:drawing>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this segment, Navient owns and manages a portfolio of FFELP federally guaranteed student loans.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RESULTS AND KEY PERFORMANCE METRICS</w:t>
      </w:r>
    </w:p>
    <w:p>
      <w:pPr>
        <w:spacing w:after="0" w:line="226"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4Q25</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3Q25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4Q24</w:t>
            </w:r>
          </w:p>
        </w:tc>
        <w:tc>
          <w:tcPr>
            <w:tcW w:w="180" w:type="dxa"/>
            <w:vAlign w:val="bottom"/>
          </w:tcPr>
          <w:p>
            <w:pPr>
              <w:spacing w:after="0"/>
              <w:rPr>
                <w:sz w:val="14"/>
                <w:szCs w:val="14"/>
                <w:color w:val="auto"/>
              </w:rPr>
            </w:pPr>
          </w:p>
        </w:tc>
      </w:tr>
      <w:tr>
        <w:trPr>
          <w:trHeight w:val="183"/>
        </w:trPr>
        <w:tc>
          <w:tcPr>
            <w:tcW w:w="3860" w:type="dxa"/>
            <w:vAlign w:val="bottom"/>
            <w:gridSpan w:val="2"/>
            <w:shd w:val="clear" w:color="auto" w:fill="CFF2FC"/>
          </w:tcPr>
          <w:p>
            <w:pPr>
              <w:spacing w:after="0" w:line="183" w:lineRule="exact"/>
              <w:rPr>
                <w:sz w:val="20"/>
                <w:szCs w:val="20"/>
                <w:color w:val="auto"/>
              </w:rPr>
            </w:pPr>
            <w:r>
              <w:rPr>
                <w:rFonts w:ascii="Arial" w:cs="Arial" w:eastAsia="Arial" w:hAnsi="Arial"/>
                <w:sz w:val="16"/>
                <w:szCs w:val="16"/>
                <w:color w:val="auto"/>
              </w:rPr>
              <w:t>Net interest income</w:t>
            </w:r>
          </w:p>
        </w:tc>
        <w:tc>
          <w:tcPr>
            <w:tcW w:w="200" w:type="dxa"/>
            <w:vAlign w:val="bottom"/>
            <w:shd w:val="clear" w:color="auto" w:fill="CFF2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44</w:t>
            </w:r>
          </w:p>
        </w:tc>
        <w:tc>
          <w:tcPr>
            <w:tcW w:w="320" w:type="dxa"/>
            <w:vAlign w:val="bottom"/>
            <w:shd w:val="clear" w:color="auto" w:fill="CFF2FC"/>
          </w:tcPr>
          <w:p>
            <w:pPr>
              <w:spacing w:after="0"/>
              <w:rPr>
                <w:sz w:val="15"/>
                <w:szCs w:val="15"/>
                <w:color w:val="auto"/>
              </w:rPr>
            </w:pPr>
          </w:p>
        </w:tc>
        <w:tc>
          <w:tcPr>
            <w:tcW w:w="220" w:type="dxa"/>
            <w:vAlign w:val="bottom"/>
            <w:shd w:val="clear" w:color="auto" w:fill="CFF2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65</w:t>
            </w:r>
          </w:p>
        </w:tc>
        <w:tc>
          <w:tcPr>
            <w:tcW w:w="240" w:type="dxa"/>
            <w:vAlign w:val="bottom"/>
            <w:shd w:val="clear" w:color="auto" w:fill="CFF2FC"/>
          </w:tcPr>
          <w:p>
            <w:pPr>
              <w:spacing w:after="0"/>
              <w:rPr>
                <w:sz w:val="15"/>
                <w:szCs w:val="15"/>
                <w:color w:val="auto"/>
              </w:rPr>
            </w:pPr>
          </w:p>
        </w:tc>
        <w:tc>
          <w:tcPr>
            <w:tcW w:w="300" w:type="dxa"/>
            <w:vAlign w:val="bottom"/>
            <w:gridSpan w:val="2"/>
            <w:shd w:val="clear" w:color="auto" w:fill="CFF2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35</w:t>
            </w:r>
          </w:p>
        </w:tc>
        <w:tc>
          <w:tcPr>
            <w:tcW w:w="180" w:type="dxa"/>
            <w:vAlign w:val="bottom"/>
            <w:shd w:val="clear" w:color="auto" w:fill="CFF2FC"/>
          </w:tcPr>
          <w:p>
            <w:pPr>
              <w:spacing w:after="0"/>
              <w:rPr>
                <w:sz w:val="15"/>
                <w:szCs w:val="15"/>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r>
      <w:tr>
        <w:trPr>
          <w:trHeight w:val="189"/>
        </w:trPr>
        <w:tc>
          <w:tcPr>
            <w:tcW w:w="3860" w:type="dxa"/>
            <w:vAlign w:val="bottom"/>
            <w:tcBorders>
              <w:bottom w:val="single" w:sz="8" w:color="CFF2FC"/>
            </w:tcBorders>
            <w:gridSpan w:val="2"/>
            <w:shd w:val="clear" w:color="auto" w:fill="CFF2FC"/>
          </w:tcPr>
          <w:p>
            <w:pPr>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CFF2FC"/>
            </w:tcBorders>
            <w:shd w:val="clear" w:color="auto" w:fill="CFF2FC"/>
          </w:tcPr>
          <w:p>
            <w:pPr>
              <w:spacing w:after="0"/>
              <w:rPr>
                <w:sz w:val="16"/>
                <w:szCs w:val="16"/>
                <w:color w:val="auto"/>
              </w:rPr>
            </w:pPr>
          </w:p>
        </w:tc>
        <w:tc>
          <w:tcPr>
            <w:tcW w:w="22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FF2FC"/>
            </w:tcBorders>
            <w:shd w:val="clear" w:color="auto" w:fill="CFF2FC"/>
          </w:tcPr>
          <w:p>
            <w:pPr>
              <w:spacing w:after="0"/>
              <w:rPr>
                <w:sz w:val="16"/>
                <w:szCs w:val="16"/>
                <w:color w:val="auto"/>
              </w:rPr>
            </w:pPr>
          </w:p>
        </w:tc>
        <w:tc>
          <w:tcPr>
            <w:tcW w:w="100" w:type="dxa"/>
            <w:vAlign w:val="bottom"/>
            <w:tcBorders>
              <w:bottom w:val="single" w:sz="8" w:color="CFF2FC"/>
            </w:tcBorders>
            <w:shd w:val="clear" w:color="auto" w:fill="CFF2FC"/>
          </w:tcPr>
          <w:p>
            <w:pPr>
              <w:spacing w:after="0"/>
              <w:rPr>
                <w:sz w:val="16"/>
                <w:szCs w:val="16"/>
                <w:color w:val="auto"/>
              </w:rPr>
            </w:pPr>
          </w:p>
        </w:tc>
        <w:tc>
          <w:tcPr>
            <w:tcW w:w="20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CFF2FC"/>
            </w:tcBorders>
            <w:shd w:val="clear" w:color="auto" w:fill="CFF2FC"/>
          </w:tcPr>
          <w:p>
            <w:pPr>
              <w:spacing w:after="0"/>
              <w:rPr>
                <w:sz w:val="16"/>
                <w:szCs w:val="16"/>
                <w:color w:val="auto"/>
              </w:rPr>
            </w:pPr>
          </w:p>
        </w:tc>
      </w:tr>
      <w:tr>
        <w:trPr>
          <w:trHeight w:val="182"/>
        </w:trPr>
        <w:tc>
          <w:tcPr>
            <w:tcW w:w="386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33</w:t>
            </w:r>
          </w:p>
        </w:tc>
        <w:tc>
          <w:tcPr>
            <w:tcW w:w="180" w:type="dxa"/>
            <w:vAlign w:val="bottom"/>
          </w:tcPr>
          <w:p>
            <w:pPr>
              <w:spacing w:after="0"/>
              <w:rPr>
                <w:sz w:val="15"/>
                <w:szCs w:val="15"/>
                <w:color w:val="auto"/>
              </w:rPr>
            </w:pPr>
          </w:p>
        </w:tc>
      </w:tr>
      <w:tr>
        <w:trPr>
          <w:trHeight w:val="189"/>
        </w:trPr>
        <w:tc>
          <w:tcPr>
            <w:tcW w:w="3860" w:type="dxa"/>
            <w:vAlign w:val="bottom"/>
            <w:tcBorders>
              <w:bottom w:val="single" w:sz="8" w:color="CFF2FC"/>
            </w:tcBorders>
            <w:gridSpan w:val="2"/>
            <w:shd w:val="clear" w:color="auto" w:fill="CFF2FC"/>
          </w:tcPr>
          <w:p>
            <w:pPr>
              <w:spacing w:after="0"/>
              <w:rPr>
                <w:sz w:val="20"/>
                <w:szCs w:val="20"/>
                <w:color w:val="auto"/>
              </w:rPr>
            </w:pPr>
            <w:r>
              <w:rPr>
                <w:rFonts w:ascii="Arial" w:cs="Arial" w:eastAsia="Arial" w:hAnsi="Arial"/>
                <w:sz w:val="16"/>
                <w:szCs w:val="16"/>
                <w:color w:val="auto"/>
              </w:rPr>
              <w:t>Expenses</w:t>
            </w:r>
          </w:p>
        </w:tc>
        <w:tc>
          <w:tcPr>
            <w:tcW w:w="20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CFF2FC"/>
            </w:tcBorders>
            <w:shd w:val="clear" w:color="auto" w:fill="CFF2FC"/>
          </w:tcPr>
          <w:p>
            <w:pPr>
              <w:spacing w:after="0"/>
              <w:rPr>
                <w:sz w:val="16"/>
                <w:szCs w:val="16"/>
                <w:color w:val="auto"/>
              </w:rPr>
            </w:pPr>
          </w:p>
        </w:tc>
        <w:tc>
          <w:tcPr>
            <w:tcW w:w="22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FF2FC"/>
            </w:tcBorders>
            <w:shd w:val="clear" w:color="auto" w:fill="CFF2FC"/>
          </w:tcPr>
          <w:p>
            <w:pPr>
              <w:spacing w:after="0"/>
              <w:rPr>
                <w:sz w:val="16"/>
                <w:szCs w:val="16"/>
                <w:color w:val="auto"/>
              </w:rPr>
            </w:pPr>
          </w:p>
        </w:tc>
        <w:tc>
          <w:tcPr>
            <w:tcW w:w="100" w:type="dxa"/>
            <w:vAlign w:val="bottom"/>
            <w:tcBorders>
              <w:bottom w:val="single" w:sz="8" w:color="CFF2FC"/>
            </w:tcBorders>
            <w:shd w:val="clear" w:color="auto" w:fill="CFF2FC"/>
          </w:tcPr>
          <w:p>
            <w:pPr>
              <w:spacing w:after="0"/>
              <w:rPr>
                <w:sz w:val="16"/>
                <w:szCs w:val="16"/>
                <w:color w:val="auto"/>
              </w:rPr>
            </w:pPr>
          </w:p>
        </w:tc>
        <w:tc>
          <w:tcPr>
            <w:tcW w:w="20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FF2FC"/>
            </w:tcBorders>
            <w:shd w:val="clear" w:color="auto" w:fill="CFF2FC"/>
          </w:tcPr>
          <w:p>
            <w:pPr>
              <w:spacing w:after="0"/>
              <w:rPr>
                <w:sz w:val="16"/>
                <w:szCs w:val="16"/>
                <w:color w:val="auto"/>
              </w:rPr>
            </w:pPr>
          </w:p>
        </w:tc>
      </w:tr>
      <w:tr>
        <w:trPr>
          <w:trHeight w:val="183"/>
        </w:trPr>
        <w:tc>
          <w:tcPr>
            <w:tcW w:w="3860" w:type="dxa"/>
            <w:vAlign w:val="bottom"/>
            <w:gridSpan w:val="2"/>
          </w:tcPr>
          <w:p>
            <w:pPr>
              <w:spacing w:after="0" w:line="183" w:lineRule="exact"/>
              <w:rPr>
                <w:sz w:val="20"/>
                <w:szCs w:val="20"/>
                <w:color w:val="auto"/>
              </w:rPr>
            </w:pPr>
            <w:r>
              <w:rPr>
                <w:rFonts w:ascii="Arial" w:cs="Arial" w:eastAsia="Arial" w:hAnsi="Arial"/>
                <w:sz w:val="16"/>
                <w:szCs w:val="16"/>
                <w:color w:val="auto"/>
              </w:rPr>
              <w:t>Pre-tax income</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w:t>
            </w:r>
          </w:p>
        </w:tc>
        <w:tc>
          <w:tcPr>
            <w:tcW w:w="180" w:type="dxa"/>
            <w:vAlign w:val="bottom"/>
          </w:tcPr>
          <w:p>
            <w:pPr>
              <w:spacing w:after="0"/>
              <w:rPr>
                <w:sz w:val="15"/>
                <w:szCs w:val="15"/>
                <w:color w:val="auto"/>
              </w:rPr>
            </w:pPr>
          </w:p>
        </w:tc>
      </w:tr>
      <w:tr>
        <w:trPr>
          <w:trHeight w:val="223"/>
        </w:trPr>
        <w:tc>
          <w:tcPr>
            <w:tcW w:w="3860" w:type="dxa"/>
            <w:vAlign w:val="bottom"/>
            <w:gridSpan w:val="2"/>
            <w:shd w:val="clear" w:color="auto" w:fill="CFF2FC"/>
          </w:tcPr>
          <w:p>
            <w:pPr>
              <w:spacing w:after="0" w:line="183" w:lineRule="exact"/>
              <w:rPr>
                <w:sz w:val="20"/>
                <w:szCs w:val="20"/>
                <w:color w:val="auto"/>
              </w:rPr>
            </w:pPr>
            <w:r>
              <w:rPr>
                <w:rFonts w:ascii="Arial" w:cs="Arial" w:eastAsia="Arial" w:hAnsi="Arial"/>
                <w:sz w:val="16"/>
                <w:szCs w:val="16"/>
                <w:color w:val="auto"/>
              </w:rPr>
              <w:t>Net income</w:t>
            </w:r>
          </w:p>
        </w:tc>
        <w:tc>
          <w:tcPr>
            <w:tcW w:w="200" w:type="dxa"/>
            <w:vAlign w:val="bottom"/>
            <w:shd w:val="clear" w:color="auto" w:fill="CFF2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27</w:t>
            </w:r>
          </w:p>
        </w:tc>
        <w:tc>
          <w:tcPr>
            <w:tcW w:w="320" w:type="dxa"/>
            <w:vAlign w:val="bottom"/>
            <w:shd w:val="clear" w:color="auto" w:fill="CFF2FC"/>
          </w:tcPr>
          <w:p>
            <w:pPr>
              <w:spacing w:after="0"/>
              <w:rPr>
                <w:sz w:val="19"/>
                <w:szCs w:val="19"/>
                <w:color w:val="auto"/>
              </w:rPr>
            </w:pPr>
          </w:p>
        </w:tc>
        <w:tc>
          <w:tcPr>
            <w:tcW w:w="220" w:type="dxa"/>
            <w:vAlign w:val="bottom"/>
            <w:shd w:val="clear" w:color="auto" w:fill="CFF2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35</w:t>
            </w:r>
          </w:p>
        </w:tc>
        <w:tc>
          <w:tcPr>
            <w:tcW w:w="240" w:type="dxa"/>
            <w:vAlign w:val="bottom"/>
            <w:shd w:val="clear" w:color="auto" w:fill="CFF2FC"/>
          </w:tcPr>
          <w:p>
            <w:pPr>
              <w:spacing w:after="0"/>
              <w:rPr>
                <w:sz w:val="19"/>
                <w:szCs w:val="19"/>
                <w:color w:val="auto"/>
              </w:rPr>
            </w:pPr>
          </w:p>
        </w:tc>
        <w:tc>
          <w:tcPr>
            <w:tcW w:w="300" w:type="dxa"/>
            <w:vAlign w:val="bottom"/>
            <w:gridSpan w:val="2"/>
            <w:shd w:val="clear" w:color="auto" w:fill="CFF2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10</w:t>
            </w:r>
          </w:p>
        </w:tc>
        <w:tc>
          <w:tcPr>
            <w:tcW w:w="180" w:type="dxa"/>
            <w:vAlign w:val="bottom"/>
            <w:shd w:val="clear" w:color="auto" w:fill="CFF2FC"/>
          </w:tcPr>
          <w:p>
            <w:pPr>
              <w:spacing w:after="0"/>
              <w:rPr>
                <w:sz w:val="19"/>
                <w:szCs w:val="19"/>
                <w:color w:val="auto"/>
              </w:rPr>
            </w:pPr>
          </w:p>
        </w:tc>
      </w:tr>
      <w:tr>
        <w:trPr>
          <w:trHeight w:val="170"/>
        </w:trPr>
        <w:tc>
          <w:tcPr>
            <w:tcW w:w="1340" w:type="dxa"/>
            <w:vAlign w:val="bottom"/>
            <w:tcBorders>
              <w:top w:val="single" w:sz="8" w:color="CFF2FC"/>
            </w:tcBorders>
          </w:tcPr>
          <w:p>
            <w:pPr>
              <w:spacing w:after="0"/>
              <w:rPr>
                <w:sz w:val="14"/>
                <w:szCs w:val="14"/>
                <w:color w:val="auto"/>
              </w:rPr>
            </w:pPr>
          </w:p>
        </w:tc>
        <w:tc>
          <w:tcPr>
            <w:tcW w:w="2520" w:type="dxa"/>
            <w:vAlign w:val="bottom"/>
            <w:tcBorders>
              <w:top w:val="single" w:sz="8" w:color="CFF2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CFF2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CFF2FC"/>
            </w:tcBorders>
          </w:tcPr>
          <w:p>
            <w:pPr>
              <w:spacing w:after="0"/>
              <w:rPr>
                <w:sz w:val="14"/>
                <w:szCs w:val="14"/>
                <w:color w:val="auto"/>
              </w:rPr>
            </w:pPr>
          </w:p>
        </w:tc>
        <w:tc>
          <w:tcPr>
            <w:tcW w:w="100" w:type="dxa"/>
            <w:vAlign w:val="bottom"/>
            <w:tcBorders>
              <w:top w:val="single" w:sz="8" w:color="CFF2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CFF2FC"/>
            </w:tcBorders>
          </w:tcPr>
          <w:p>
            <w:pPr>
              <w:spacing w:after="0"/>
              <w:rPr>
                <w:sz w:val="14"/>
                <w:szCs w:val="14"/>
                <w:color w:val="auto"/>
              </w:rPr>
            </w:pPr>
          </w:p>
        </w:tc>
      </w:tr>
      <w:tr>
        <w:trPr>
          <w:trHeight w:val="189"/>
        </w:trPr>
        <w:tc>
          <w:tcPr>
            <w:tcW w:w="3860" w:type="dxa"/>
            <w:vAlign w:val="bottom"/>
            <w:gridSpan w:val="2"/>
            <w:shd w:val="clear" w:color="auto" w:fill="CFF2FC"/>
          </w:tcPr>
          <w:p>
            <w:pPr>
              <w:spacing w:after="0"/>
              <w:rPr>
                <w:sz w:val="20"/>
                <w:szCs w:val="20"/>
                <w:color w:val="auto"/>
              </w:rPr>
            </w:pPr>
            <w:r>
              <w:rPr>
                <w:rFonts w:ascii="Arial" w:cs="Arial" w:eastAsia="Arial" w:hAnsi="Arial"/>
                <w:sz w:val="16"/>
                <w:szCs w:val="16"/>
                <w:color w:val="auto"/>
              </w:rPr>
              <w:t>Segment net interest margin</w:t>
            </w:r>
          </w:p>
        </w:tc>
        <w:tc>
          <w:tcPr>
            <w:tcW w:w="200" w:type="dxa"/>
            <w:vAlign w:val="bottom"/>
            <w:shd w:val="clear" w:color="auto" w:fill="CFF2FC"/>
          </w:tcPr>
          <w:p>
            <w:pPr>
              <w:spacing w:after="0"/>
              <w:rPr>
                <w:sz w:val="16"/>
                <w:szCs w:val="16"/>
                <w:color w:val="auto"/>
              </w:rPr>
            </w:pPr>
          </w:p>
        </w:tc>
        <w:tc>
          <w:tcPr>
            <w:tcW w:w="114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.58%</w:t>
            </w:r>
          </w:p>
        </w:tc>
        <w:tc>
          <w:tcPr>
            <w:tcW w:w="220" w:type="dxa"/>
            <w:vAlign w:val="bottom"/>
            <w:shd w:val="clear" w:color="auto" w:fill="CFF2FC"/>
          </w:tcPr>
          <w:p>
            <w:pPr>
              <w:spacing w:after="0"/>
              <w:rPr>
                <w:sz w:val="16"/>
                <w:szCs w:val="16"/>
                <w:color w:val="auto"/>
              </w:rPr>
            </w:pPr>
          </w:p>
        </w:tc>
        <w:tc>
          <w:tcPr>
            <w:tcW w:w="1060" w:type="dxa"/>
            <w:vAlign w:val="bottom"/>
            <w:gridSpan w:val="2"/>
            <w:shd w:val="clear" w:color="auto" w:fill="CFF2FC"/>
          </w:tcPr>
          <w:p>
            <w:pPr>
              <w:jc w:val="right"/>
              <w:ind w:right="80"/>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0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.43%</w:t>
            </w: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FFELP Loans: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FFELP Loan spread</w:t>
            </w:r>
          </w:p>
        </w:tc>
        <w:tc>
          <w:tcPr>
            <w:tcW w:w="200" w:type="dxa"/>
            <w:vAlign w:val="bottom"/>
            <w:shd w:val="clear" w:color="auto" w:fill="CFF2FC"/>
          </w:tcPr>
          <w:p>
            <w:pPr>
              <w:spacing w:after="0"/>
              <w:rPr>
                <w:sz w:val="16"/>
                <w:szCs w:val="16"/>
                <w:color w:val="auto"/>
              </w:rPr>
            </w:pPr>
          </w:p>
        </w:tc>
        <w:tc>
          <w:tcPr>
            <w:tcW w:w="114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FF2FC"/>
          </w:tcPr>
          <w:p>
            <w:pPr>
              <w:spacing w:after="0"/>
              <w:rPr>
                <w:sz w:val="16"/>
                <w:szCs w:val="16"/>
                <w:color w:val="auto"/>
              </w:rPr>
            </w:pPr>
          </w:p>
        </w:tc>
        <w:tc>
          <w:tcPr>
            <w:tcW w:w="1060" w:type="dxa"/>
            <w:vAlign w:val="bottom"/>
            <w:gridSpan w:val="2"/>
            <w:shd w:val="clear" w:color="auto" w:fill="CFF2FC"/>
          </w:tcPr>
          <w:p>
            <w:pPr>
              <w:jc w:val="right"/>
              <w:ind w:right="8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0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.49%</w:t>
            </w:r>
          </w:p>
        </w:tc>
      </w:tr>
      <w:tr>
        <w:trPr>
          <w:trHeight w:val="189"/>
        </w:trPr>
        <w:tc>
          <w:tcPr>
            <w:tcW w:w="3860" w:type="dxa"/>
            <w:vAlign w:val="bottom"/>
            <w:gridSpan w:val="2"/>
          </w:tcPr>
          <w:p>
            <w:pPr>
              <w:ind w:left="260"/>
              <w:spacing w:after="0"/>
              <w:rPr>
                <w:sz w:val="20"/>
                <w:szCs w:val="20"/>
                <w:color w:val="auto"/>
              </w:rPr>
            </w:pPr>
            <w:r>
              <w:rPr>
                <w:rFonts w:ascii="Arial" w:cs="Arial" w:eastAsia="Arial" w:hAnsi="Arial"/>
                <w:sz w:val="16"/>
                <w:szCs w:val="16"/>
                <w:color w:val="auto"/>
              </w:rPr>
              <w:t>Provision for loan losses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Net charge-offs</w:t>
            </w:r>
          </w:p>
        </w:tc>
        <w:tc>
          <w:tcPr>
            <w:tcW w:w="200" w:type="dxa"/>
            <w:vAlign w:val="bottom"/>
            <w:shd w:val="clear" w:color="auto" w:fill="CFF2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FF2FC"/>
          </w:tcPr>
          <w:p>
            <w:pPr>
              <w:spacing w:after="0"/>
              <w:rPr>
                <w:sz w:val="16"/>
                <w:szCs w:val="16"/>
                <w:color w:val="auto"/>
              </w:rPr>
            </w:pPr>
          </w:p>
        </w:tc>
        <w:tc>
          <w:tcPr>
            <w:tcW w:w="220" w:type="dxa"/>
            <w:vAlign w:val="bottom"/>
            <w:shd w:val="clear" w:color="auto" w:fill="CFF2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FF2FC"/>
          </w:tcPr>
          <w:p>
            <w:pPr>
              <w:spacing w:after="0"/>
              <w:rPr>
                <w:sz w:val="16"/>
                <w:szCs w:val="16"/>
                <w:color w:val="auto"/>
              </w:rPr>
            </w:pPr>
          </w:p>
        </w:tc>
        <w:tc>
          <w:tcPr>
            <w:tcW w:w="300" w:type="dxa"/>
            <w:vAlign w:val="bottom"/>
            <w:gridSpan w:val="2"/>
            <w:shd w:val="clear" w:color="auto" w:fill="CFF2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2FC"/>
          </w:tcPr>
          <w:p>
            <w:pPr>
              <w:spacing w:after="0"/>
              <w:rPr>
                <w:sz w:val="16"/>
                <w:szCs w:val="16"/>
                <w:color w:val="auto"/>
              </w:rPr>
            </w:pPr>
          </w:p>
        </w:tc>
      </w:tr>
      <w:tr>
        <w:trPr>
          <w:trHeight w:val="189"/>
        </w:trPr>
        <w:tc>
          <w:tcPr>
            <w:tcW w:w="3860" w:type="dxa"/>
            <w:vAlign w:val="bottom"/>
            <w:gridSpan w:val="2"/>
          </w:tcPr>
          <w:p>
            <w:pPr>
              <w:ind w:left="260"/>
              <w:spacing w:after="0"/>
              <w:rPr>
                <w:sz w:val="20"/>
                <w:szCs w:val="20"/>
                <w:color w:val="auto"/>
              </w:rPr>
            </w:pPr>
            <w:r>
              <w:rPr>
                <w:rFonts w:ascii="Arial" w:cs="Arial" w:eastAsia="Arial" w:hAnsi="Arial"/>
                <w:sz w:val="16"/>
                <w:szCs w:val="16"/>
                <w:color w:val="auto"/>
              </w:rPr>
              <w:t>Net charge-off rate</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Greater than 30-days delinquency rate</w:t>
            </w:r>
          </w:p>
        </w:tc>
        <w:tc>
          <w:tcPr>
            <w:tcW w:w="200" w:type="dxa"/>
            <w:vAlign w:val="bottom"/>
            <w:shd w:val="clear" w:color="auto" w:fill="CFF2FC"/>
          </w:tcPr>
          <w:p>
            <w:pPr>
              <w:spacing w:after="0"/>
              <w:rPr>
                <w:sz w:val="16"/>
                <w:szCs w:val="16"/>
                <w:color w:val="auto"/>
              </w:rPr>
            </w:pPr>
          </w:p>
        </w:tc>
        <w:tc>
          <w:tcPr>
            <w:tcW w:w="114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FF2FC"/>
          </w:tcPr>
          <w:p>
            <w:pPr>
              <w:spacing w:after="0"/>
              <w:rPr>
                <w:sz w:val="16"/>
                <w:szCs w:val="16"/>
                <w:color w:val="auto"/>
              </w:rPr>
            </w:pPr>
          </w:p>
        </w:tc>
        <w:tc>
          <w:tcPr>
            <w:tcW w:w="1060" w:type="dxa"/>
            <w:vAlign w:val="bottom"/>
            <w:gridSpan w:val="2"/>
            <w:shd w:val="clear" w:color="auto" w:fill="CFF2FC"/>
          </w:tcPr>
          <w:p>
            <w:pPr>
              <w:jc w:val="right"/>
              <w:ind w:right="80"/>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0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18.6%</w:t>
            </w:r>
          </w:p>
        </w:tc>
      </w:tr>
      <w:tr>
        <w:trPr>
          <w:trHeight w:val="189"/>
        </w:trPr>
        <w:tc>
          <w:tcPr>
            <w:tcW w:w="3860" w:type="dxa"/>
            <w:vAlign w:val="bottom"/>
            <w:gridSpan w:val="2"/>
          </w:tcPr>
          <w:p>
            <w:pPr>
              <w:ind w:left="260"/>
              <w:spacing w:after="0"/>
              <w:rPr>
                <w:sz w:val="20"/>
                <w:szCs w:val="20"/>
                <w:color w:val="auto"/>
              </w:rPr>
            </w:pPr>
            <w:r>
              <w:rPr>
                <w:rFonts w:ascii="Arial" w:cs="Arial" w:eastAsia="Arial" w:hAnsi="Arial"/>
                <w:sz w:val="16"/>
                <w:szCs w:val="16"/>
                <w:color w:val="auto"/>
              </w:rPr>
              <w:t>Greater than 90-days delinquency rate</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8.7%</w:t>
            </w: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Forbearance rate</w:t>
            </w:r>
          </w:p>
        </w:tc>
        <w:tc>
          <w:tcPr>
            <w:tcW w:w="200" w:type="dxa"/>
            <w:vAlign w:val="bottom"/>
            <w:shd w:val="clear" w:color="auto" w:fill="CFF2FC"/>
          </w:tcPr>
          <w:p>
            <w:pPr>
              <w:spacing w:after="0"/>
              <w:rPr>
                <w:sz w:val="16"/>
                <w:szCs w:val="16"/>
                <w:color w:val="auto"/>
              </w:rPr>
            </w:pPr>
          </w:p>
        </w:tc>
        <w:tc>
          <w:tcPr>
            <w:tcW w:w="114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13.0%</w:t>
            </w:r>
          </w:p>
        </w:tc>
        <w:tc>
          <w:tcPr>
            <w:tcW w:w="220" w:type="dxa"/>
            <w:vAlign w:val="bottom"/>
            <w:shd w:val="clear" w:color="auto" w:fill="CFF2FC"/>
          </w:tcPr>
          <w:p>
            <w:pPr>
              <w:spacing w:after="0"/>
              <w:rPr>
                <w:sz w:val="16"/>
                <w:szCs w:val="16"/>
                <w:color w:val="auto"/>
              </w:rPr>
            </w:pPr>
          </w:p>
        </w:tc>
        <w:tc>
          <w:tcPr>
            <w:tcW w:w="1060" w:type="dxa"/>
            <w:vAlign w:val="bottom"/>
            <w:gridSpan w:val="2"/>
            <w:shd w:val="clear" w:color="auto" w:fill="CFF2FC"/>
          </w:tcPr>
          <w:p>
            <w:pPr>
              <w:jc w:val="right"/>
              <w:ind w:right="80"/>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0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14.7%</w:t>
            </w:r>
          </w:p>
        </w:tc>
      </w:tr>
      <w:tr>
        <w:trPr>
          <w:trHeight w:val="189"/>
        </w:trPr>
        <w:tc>
          <w:tcPr>
            <w:tcW w:w="3860" w:type="dxa"/>
            <w:vAlign w:val="bottom"/>
            <w:gridSpan w:val="2"/>
          </w:tcPr>
          <w:p>
            <w:pPr>
              <w:ind w:left="260"/>
              <w:spacing w:after="0"/>
              <w:rPr>
                <w:sz w:val="20"/>
                <w:szCs w:val="20"/>
                <w:color w:val="auto"/>
              </w:rPr>
            </w:pPr>
            <w:r>
              <w:rPr>
                <w:rFonts w:ascii="Arial" w:cs="Arial" w:eastAsia="Arial" w:hAnsi="Arial"/>
                <w:sz w:val="16"/>
                <w:szCs w:val="16"/>
                <w:color w:val="auto"/>
              </w:rPr>
              <w:t>Average FFELP Loans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28,924</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29,641</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31,554</w:t>
            </w:r>
          </w:p>
        </w:tc>
        <w:tc>
          <w:tcPr>
            <w:tcW w:w="180" w:type="dxa"/>
            <w:vAlign w:val="bottom"/>
          </w:tcPr>
          <w:p>
            <w:pPr>
              <w:spacing w:after="0"/>
              <w:rPr>
                <w:sz w:val="16"/>
                <w:szCs w:val="16"/>
                <w:color w:val="auto"/>
              </w:rPr>
            </w:pP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Ending FFELP Loans, net</w:t>
            </w:r>
          </w:p>
        </w:tc>
        <w:tc>
          <w:tcPr>
            <w:tcW w:w="200" w:type="dxa"/>
            <w:vAlign w:val="bottom"/>
            <w:shd w:val="clear" w:color="auto" w:fill="CFF2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28,141</w:t>
            </w:r>
          </w:p>
        </w:tc>
        <w:tc>
          <w:tcPr>
            <w:tcW w:w="320" w:type="dxa"/>
            <w:vAlign w:val="bottom"/>
            <w:shd w:val="clear" w:color="auto" w:fill="CFF2FC"/>
          </w:tcPr>
          <w:p>
            <w:pPr>
              <w:spacing w:after="0"/>
              <w:rPr>
                <w:sz w:val="16"/>
                <w:szCs w:val="16"/>
                <w:color w:val="auto"/>
              </w:rPr>
            </w:pPr>
          </w:p>
        </w:tc>
        <w:tc>
          <w:tcPr>
            <w:tcW w:w="220" w:type="dxa"/>
            <w:vAlign w:val="bottom"/>
            <w:shd w:val="clear" w:color="auto" w:fill="CFF2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28,952</w:t>
            </w:r>
          </w:p>
        </w:tc>
        <w:tc>
          <w:tcPr>
            <w:tcW w:w="240" w:type="dxa"/>
            <w:vAlign w:val="bottom"/>
            <w:shd w:val="clear" w:color="auto" w:fill="CFF2FC"/>
          </w:tcPr>
          <w:p>
            <w:pPr>
              <w:spacing w:after="0"/>
              <w:rPr>
                <w:sz w:val="16"/>
                <w:szCs w:val="16"/>
                <w:color w:val="auto"/>
              </w:rPr>
            </w:pPr>
          </w:p>
        </w:tc>
        <w:tc>
          <w:tcPr>
            <w:tcW w:w="300" w:type="dxa"/>
            <w:vAlign w:val="bottom"/>
            <w:gridSpan w:val="2"/>
            <w:shd w:val="clear" w:color="auto" w:fill="CFF2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30,852</w:t>
            </w:r>
          </w:p>
        </w:tc>
        <w:tc>
          <w:tcPr>
            <w:tcW w:w="180" w:type="dxa"/>
            <w:vAlign w:val="bottom"/>
            <w:shd w:val="clear" w:color="auto" w:fill="CFF2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-1971040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-1971040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-1971040</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-1722120</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-1722120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-1722120</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-1464945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-1447800</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-1464945</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-1447800</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-1464945</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-1447800</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DISCUSSION OF RESULTS — 4Q25 vs. 4Q24</w:t>
      </w:r>
    </w:p>
    <w:p>
      <w:pPr>
        <w:spacing w:after="0" w:line="113" w:lineRule="exact"/>
        <w:rPr>
          <w:sz w:val="20"/>
          <w:szCs w:val="20"/>
          <w:color w:val="auto"/>
        </w:rPr>
      </w:pPr>
    </w:p>
    <w:p>
      <w:pPr>
        <w:ind w:left="320" w:hanging="316"/>
        <w:spacing w:after="0"/>
        <w:tabs>
          <w:tab w:leader="none" w:pos="3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was $27 million compared to $10 million.</w:t>
      </w:r>
    </w:p>
    <w:p>
      <w:pPr>
        <w:spacing w:after="0" w:line="125" w:lineRule="exact"/>
        <w:rPr>
          <w:rFonts w:ascii="Times New Roman" w:cs="Times New Roman" w:eastAsia="Times New Roman" w:hAnsi="Times New Roman"/>
          <w:sz w:val="16"/>
          <w:szCs w:val="16"/>
          <w:color w:val="auto"/>
        </w:rPr>
      </w:pPr>
    </w:p>
    <w:p>
      <w:pPr>
        <w:jc w:val="both"/>
        <w:ind w:left="320" w:right="20" w:hanging="316"/>
        <w:spacing w:after="0" w:line="266" w:lineRule="auto"/>
        <w:tabs>
          <w:tab w:leader="none" w:pos="3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Net interest income increased $9 million primarily due to the impact of decreasing interest rates on the different index resets for the segment's assets and debt. This was partially offset by the paydown of the loan portfolio. Prepayments were $225 million in fourth-quarter 2025 compared to $322 million in fourth-quarter 2024.</w:t>
      </w:r>
    </w:p>
    <w:p>
      <w:pPr>
        <w:spacing w:after="0" w:line="8" w:lineRule="exact"/>
        <w:rPr>
          <w:rFonts w:ascii="Times New Roman" w:cs="Times New Roman" w:eastAsia="Times New Roman" w:hAnsi="Times New Roman"/>
          <w:sz w:val="16"/>
          <w:szCs w:val="16"/>
          <w:color w:val="auto"/>
        </w:rPr>
      </w:pPr>
    </w:p>
    <w:p>
      <w:pPr>
        <w:ind w:left="320" w:right="340" w:hanging="316"/>
        <w:spacing w:after="0" w:line="266" w:lineRule="auto"/>
        <w:tabs>
          <w:tab w:leader="none" w:pos="3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Provision for loan losses decreased $6 million. The provision for loan losses of $1 million in the current period was the result of relatively stable credit trends. The $7 million of provision for loan losses in the year-ago quarter was primarily the result of an increase in delinquency balances.</w:t>
      </w:r>
    </w:p>
    <w:p>
      <w:pPr>
        <w:spacing w:after="0" w:line="22" w:lineRule="exact"/>
        <w:rPr>
          <w:sz w:val="20"/>
          <w:szCs w:val="20"/>
          <w:color w:val="auto"/>
        </w:rPr>
      </w:pPr>
    </w:p>
    <w:p>
      <w:pPr>
        <w:ind w:left="1240" w:hanging="329"/>
        <w:spacing w:after="0"/>
        <w:tabs>
          <w:tab w:leader="none" w:pos="12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Net charge-offs were $14 million compared to $7 million.</w:t>
      </w:r>
    </w:p>
    <w:p>
      <w:pPr>
        <w:spacing w:after="0" w:line="63" w:lineRule="exact"/>
        <w:rPr>
          <w:rFonts w:ascii="Times New Roman" w:cs="Times New Roman" w:eastAsia="Times New Roman" w:hAnsi="Times New Roman"/>
          <w:sz w:val="18"/>
          <w:szCs w:val="18"/>
          <w:color w:val="auto"/>
        </w:rPr>
      </w:pPr>
    </w:p>
    <w:p>
      <w:pPr>
        <w:ind w:left="1240" w:hanging="329"/>
        <w:spacing w:after="0"/>
        <w:tabs>
          <w:tab w:leader="none" w:pos="12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Delinquencies greater than 90 days were $2.4 billion compared to $2.2 billion.</w:t>
      </w:r>
    </w:p>
    <w:p>
      <w:pPr>
        <w:spacing w:after="0" w:line="63" w:lineRule="exact"/>
        <w:rPr>
          <w:rFonts w:ascii="Times New Roman" w:cs="Times New Roman" w:eastAsia="Times New Roman" w:hAnsi="Times New Roman"/>
          <w:sz w:val="18"/>
          <w:szCs w:val="18"/>
          <w:color w:val="auto"/>
        </w:rPr>
      </w:pPr>
    </w:p>
    <w:p>
      <w:pPr>
        <w:ind w:left="1240" w:hanging="329"/>
        <w:spacing w:after="0"/>
        <w:tabs>
          <w:tab w:leader="none" w:pos="12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Forbearances were $3.5 billion compared to $4.4 billion.</w:t>
      </w:r>
    </w:p>
    <w:p>
      <w:pPr>
        <w:spacing w:after="0" w:line="117" w:lineRule="exact"/>
        <w:rPr>
          <w:rFonts w:ascii="Times New Roman" w:cs="Times New Roman" w:eastAsia="Times New Roman" w:hAnsi="Times New Roman"/>
          <w:sz w:val="18"/>
          <w:szCs w:val="18"/>
          <w:color w:val="auto"/>
        </w:rPr>
      </w:pPr>
    </w:p>
    <w:p>
      <w:pPr>
        <w:ind w:left="320" w:right="140" w:hanging="316"/>
        <w:spacing w:after="0" w:line="256" w:lineRule="auto"/>
        <w:tabs>
          <w:tab w:leader="none" w:pos="3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Expenses were $4 million lower primarily as a result of the outsourcing of the loan servicing of our portfolio to a third party on July 1, 2024. This created a variable cost structure resulting in the significant reduction in expenses (20%) as the portfolio paid down.</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2" w:right="1099" w:bottom="1440" w:gutter="0" w:footer="0" w:header="0"/>
        </w:sectPr>
      </w:pPr>
    </w:p>
    <w:bookmarkStart w:id="6" w:name="page7"/>
    <w:bookmarkEnd w:id="6"/>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197485"/>
                    </a:xfrm>
                    <a:prstGeom prst="rect">
                      <a:avLst/>
                    </a:prstGeom>
                    <a:noFill/>
                  </pic:spPr>
                </pic:pic>
              </a:graphicData>
            </a:graphic>
          </wp:anchor>
        </w:drawing>
        <w:t>CONSUMER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617220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308610"/>
                    </a:xfrm>
                    <a:prstGeom prst="rect">
                      <a:avLst/>
                    </a:prstGeom>
                    <a:noFill/>
                  </pic:spPr>
                </pic:pic>
              </a:graphicData>
            </a:graphic>
          </wp:anchor>
        </w:drawing>
      </w:r>
    </w:p>
    <w:p>
      <w:pPr>
        <w:spacing w:after="0" w:line="88" w:lineRule="exact"/>
        <w:rPr>
          <w:sz w:val="20"/>
          <w:szCs w:val="20"/>
          <w:color w:val="auto"/>
        </w:rPr>
      </w:pPr>
    </w:p>
    <w:p>
      <w:pPr>
        <w:ind w:left="100" w:right="300"/>
        <w:spacing w:after="0" w:line="286" w:lineRule="auto"/>
        <w:rPr>
          <w:sz w:val="20"/>
          <w:szCs w:val="20"/>
          <w:color w:val="auto"/>
        </w:rPr>
      </w:pPr>
      <w:r>
        <w:rPr>
          <w:rFonts w:ascii="Arial" w:cs="Arial" w:eastAsia="Arial" w:hAnsi="Arial"/>
          <w:sz w:val="16"/>
          <w:szCs w:val="16"/>
          <w:color w:val="auto"/>
        </w:rPr>
        <w:t>In this segment, Navient owns and manages a portfolio of Private Education Loans. Through our Earnest brand, we also refinance and originate Private Education Loans.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RESULTS AND KEY PERFORMANCE METRICS</w:t>
      </w:r>
    </w:p>
    <w:p>
      <w:pPr>
        <w:spacing w:after="0" w:line="25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4Q25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3Q25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4Q24</w:t>
            </w:r>
          </w:p>
        </w:tc>
        <w:tc>
          <w:tcPr>
            <w:tcW w:w="180" w:type="dxa"/>
            <w:vAlign w:val="bottom"/>
          </w:tcPr>
          <w:p>
            <w:pPr>
              <w:spacing w:after="0"/>
              <w:rPr>
                <w:sz w:val="14"/>
                <w:szCs w:val="14"/>
                <w:color w:val="auto"/>
              </w:rPr>
            </w:pPr>
          </w:p>
        </w:tc>
      </w:tr>
      <w:tr>
        <w:trPr>
          <w:trHeight w:val="183"/>
        </w:trPr>
        <w:tc>
          <w:tcPr>
            <w:tcW w:w="37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Net interest income</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w:t>
            </w:r>
          </w:p>
        </w:tc>
        <w:tc>
          <w:tcPr>
            <w:tcW w:w="2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98</w:t>
            </w:r>
          </w:p>
        </w:tc>
        <w:tc>
          <w:tcPr>
            <w:tcW w:w="2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117</w:t>
            </w:r>
          </w:p>
        </w:tc>
        <w:tc>
          <w:tcPr>
            <w:tcW w:w="180" w:type="dxa"/>
            <w:vAlign w:val="bottom"/>
            <w:shd w:val="clear" w:color="auto" w:fill="CFF0FC"/>
          </w:tcPr>
          <w:p>
            <w:pPr>
              <w:spacing w:after="0"/>
              <w:rPr>
                <w:sz w:val="15"/>
                <w:szCs w:val="15"/>
                <w:color w:val="auto"/>
              </w:rPr>
            </w:pPr>
          </w:p>
        </w:tc>
      </w:tr>
      <w:tr>
        <w:trPr>
          <w:trHeight w:val="189"/>
        </w:trPr>
        <w:tc>
          <w:tcPr>
            <w:tcW w:w="374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6"/>
                <w:szCs w:val="16"/>
                <w:color w:val="auto"/>
              </w:rPr>
            </w:pPr>
          </w:p>
        </w:tc>
      </w:tr>
      <w:tr>
        <w:trPr>
          <w:trHeight w:val="189"/>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183"/>
        </w:trPr>
        <w:tc>
          <w:tcPr>
            <w:tcW w:w="374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 (loss)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64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80</w:t>
            </w:r>
          </w:p>
        </w:tc>
        <w:tc>
          <w:tcPr>
            <w:tcW w:w="180" w:type="dxa"/>
            <w:vAlign w:val="bottom"/>
          </w:tcPr>
          <w:p>
            <w:pPr>
              <w:spacing w:after="0"/>
              <w:rPr>
                <w:sz w:val="15"/>
                <w:szCs w:val="15"/>
                <w:color w:val="auto"/>
              </w:rPr>
            </w:pPr>
          </w:p>
        </w:tc>
      </w:tr>
      <w:tr>
        <w:trPr>
          <w:trHeight w:val="189"/>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183"/>
        </w:trPr>
        <w:tc>
          <w:tcPr>
            <w:tcW w:w="3740" w:type="dxa"/>
            <w:vAlign w:val="bottom"/>
            <w:gridSpan w:val="2"/>
          </w:tcPr>
          <w:p>
            <w:pPr>
              <w:spacing w:after="0" w:line="183" w:lineRule="exact"/>
              <w:rPr>
                <w:sz w:val="20"/>
                <w:szCs w:val="20"/>
                <w:color w:val="auto"/>
              </w:rPr>
            </w:pPr>
            <w:r>
              <w:rPr>
                <w:rFonts w:ascii="Arial" w:cs="Arial" w:eastAsia="Arial" w:hAnsi="Arial"/>
                <w:sz w:val="16"/>
                <w:szCs w:val="16"/>
                <w:color w:val="auto"/>
              </w:rPr>
              <w:t>Pre-tax income (loss)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c>
          <w:tcPr>
            <w:tcW w:w="1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7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Net income (loss)</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(76)</w:t>
            </w: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9"/>
                <w:szCs w:val="19"/>
                <w:color w:val="auto"/>
              </w:rPr>
            </w:pPr>
          </w:p>
        </w:tc>
      </w:tr>
      <w:tr>
        <w:trPr>
          <w:trHeight w:val="143"/>
        </w:trPr>
        <w:tc>
          <w:tcPr>
            <w:tcW w:w="1340" w:type="dxa"/>
            <w:vAlign w:val="bottom"/>
            <w:tcBorders>
              <w:top w:val="single" w:sz="8" w:color="CFF0FC"/>
            </w:tcBorders>
          </w:tcPr>
          <w:p>
            <w:pPr>
              <w:spacing w:after="0"/>
              <w:rPr>
                <w:sz w:val="12"/>
                <w:szCs w:val="12"/>
                <w:color w:val="auto"/>
              </w:rPr>
            </w:pPr>
          </w:p>
        </w:tc>
        <w:tc>
          <w:tcPr>
            <w:tcW w:w="24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r>
      <w:tr>
        <w:trPr>
          <w:trHeight w:val="189"/>
        </w:trPr>
        <w:tc>
          <w:tcPr>
            <w:tcW w:w="3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Segment net interest margin</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2.77%</w:t>
            </w:r>
          </w:p>
        </w:tc>
      </w:tr>
      <w:tr>
        <w:trPr>
          <w:trHeight w:val="175"/>
        </w:trPr>
        <w:tc>
          <w:tcPr>
            <w:tcW w:w="3740" w:type="dxa"/>
            <w:vAlign w:val="bottom"/>
            <w:gridSpan w:val="2"/>
          </w:tcPr>
          <w:p>
            <w:pPr>
              <w:spacing w:after="0" w:line="175" w:lineRule="exact"/>
              <w:rPr>
                <w:sz w:val="20"/>
                <w:szCs w:val="20"/>
                <w:color w:val="auto"/>
              </w:rPr>
            </w:pPr>
            <w:r>
              <w:rPr>
                <w:rFonts w:ascii="Arial" w:cs="Arial" w:eastAsia="Arial" w:hAnsi="Arial"/>
                <w:sz w:val="16"/>
                <w:szCs w:val="16"/>
                <w:color w:val="auto"/>
              </w:rPr>
              <w:t>Private Education Loans (including</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3740" w:type="dxa"/>
            <w:vAlign w:val="bottom"/>
            <w:gridSpan w:val="2"/>
          </w:tcPr>
          <w:p>
            <w:pPr>
              <w:ind w:left="140"/>
              <w:spacing w:after="0"/>
              <w:rPr>
                <w:sz w:val="20"/>
                <w:szCs w:val="20"/>
                <w:color w:val="auto"/>
              </w:rPr>
            </w:pPr>
            <w:r>
              <w:rPr>
                <w:rFonts w:ascii="Arial" w:cs="Arial" w:eastAsia="Arial" w:hAnsi="Arial"/>
                <w:sz w:val="16"/>
                <w:szCs w:val="16"/>
                <w:color w:val="auto"/>
              </w:rPr>
              <w:t>Refinance Loans):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Private Education Loan spread</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2.87%</w:t>
            </w: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Provision for loan losses</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6"/>
                <w:szCs w:val="16"/>
                <w:color w:val="auto"/>
              </w:rPr>
            </w:pPr>
          </w:p>
        </w:tc>
      </w:tr>
      <w:tr>
        <w:trPr>
          <w:trHeight w:val="189"/>
        </w:trPr>
        <w:tc>
          <w:tcPr>
            <w:tcW w:w="3740" w:type="dxa"/>
            <w:vAlign w:val="bottom"/>
            <w:gridSpan w:val="2"/>
            <w:shd w:val="clear" w:color="auto" w:fill="CFF0FC"/>
          </w:tcPr>
          <w:p>
            <w:pPr>
              <w:ind w:left="220"/>
              <w:spacing w:after="0" w:line="189" w:lineRule="exact"/>
              <w:rPr>
                <w:sz w:val="20"/>
                <w:szCs w:val="20"/>
                <w:color w:val="auto"/>
              </w:rPr>
            </w:pPr>
            <w:r>
              <w:rPr>
                <w:rFonts w:ascii="Arial" w:cs="Arial" w:eastAsia="Arial" w:hAnsi="Arial"/>
                <w:sz w:val="16"/>
                <w:szCs w:val="16"/>
                <w:color w:val="auto"/>
              </w:rPr>
              <w:t xml:space="preserve">Net charge-offs </w:t>
            </w:r>
            <w:r>
              <w:rPr>
                <w:rFonts w:ascii="Arial" w:cs="Arial" w:eastAsia="Arial" w:hAnsi="Arial"/>
                <w:sz w:val="21"/>
                <w:szCs w:val="21"/>
                <w:color w:val="auto"/>
                <w:vertAlign w:val="superscript"/>
              </w:rPr>
              <w:t>(1)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80" w:type="dxa"/>
            <w:vAlign w:val="bottom"/>
            <w:shd w:val="clear" w:color="auto" w:fill="CFF0FC"/>
          </w:tcPr>
          <w:p>
            <w:pPr>
              <w:spacing w:after="0"/>
              <w:rPr>
                <w:sz w:val="16"/>
                <w:szCs w:val="16"/>
                <w:color w:val="auto"/>
              </w:rPr>
            </w:pPr>
          </w:p>
        </w:tc>
      </w:tr>
      <w:tr>
        <w:trPr>
          <w:trHeight w:val="189"/>
        </w:trPr>
        <w:tc>
          <w:tcPr>
            <w:tcW w:w="3740" w:type="dxa"/>
            <w:vAlign w:val="bottom"/>
            <w:gridSpan w:val="2"/>
          </w:tcPr>
          <w:p>
            <w:pPr>
              <w:ind w:left="220"/>
              <w:spacing w:after="0" w:line="189" w:lineRule="exact"/>
              <w:rPr>
                <w:sz w:val="20"/>
                <w:szCs w:val="20"/>
                <w:color w:val="auto"/>
              </w:rPr>
            </w:pPr>
            <w:r>
              <w:rPr>
                <w:rFonts w:ascii="Arial" w:cs="Arial" w:eastAsia="Arial" w:hAnsi="Arial"/>
                <w:sz w:val="16"/>
                <w:szCs w:val="16"/>
                <w:color w:val="auto"/>
              </w:rPr>
              <w:t xml:space="preserve">Net charge-off rate </w:t>
            </w:r>
            <w:r>
              <w:rPr>
                <w:rFonts w:ascii="Arial" w:cs="Arial" w:eastAsia="Arial" w:hAnsi="Arial"/>
                <w:sz w:val="21"/>
                <w:szCs w:val="21"/>
                <w:color w:val="auto"/>
                <w:vertAlign w:val="superscript"/>
              </w:rPr>
              <w:t>(1)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1.83%</w:t>
            </w: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Greater than 30-days delinquency rate</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6.3%</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6.1%</w:t>
            </w: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Greater than 90-days delinquency rate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Forbearance rate</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Average Private Education Loans</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15,907</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15,894</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16,337</w:t>
            </w:r>
          </w:p>
        </w:tc>
        <w:tc>
          <w:tcPr>
            <w:tcW w:w="180" w:type="dxa"/>
            <w:vAlign w:val="bottom"/>
          </w:tcPr>
          <w:p>
            <w:pPr>
              <w:spacing w:after="0"/>
              <w:rPr>
                <w:sz w:val="16"/>
                <w:szCs w:val="16"/>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Ending Private Education Loans, net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15,451</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15,456</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15,716</w:t>
            </w:r>
          </w:p>
        </w:tc>
        <w:tc>
          <w:tcPr>
            <w:tcW w:w="180" w:type="dxa"/>
            <w:vAlign w:val="bottom"/>
            <w:shd w:val="clear" w:color="auto" w:fill="CFF0FC"/>
          </w:tcPr>
          <w:p>
            <w:pPr>
              <w:spacing w:after="0"/>
              <w:rPr>
                <w:sz w:val="16"/>
                <w:szCs w:val="16"/>
                <w:color w:val="auto"/>
              </w:rPr>
            </w:pPr>
          </w:p>
        </w:tc>
      </w:tr>
      <w:tr>
        <w:trPr>
          <w:trHeight w:val="189"/>
        </w:trPr>
        <w:tc>
          <w:tcPr>
            <w:tcW w:w="3740" w:type="dxa"/>
            <w:vAlign w:val="bottom"/>
            <w:gridSpan w:val="2"/>
          </w:tcPr>
          <w:p>
            <w:pPr>
              <w:spacing w:after="0"/>
              <w:rPr>
                <w:sz w:val="20"/>
                <w:szCs w:val="20"/>
                <w:color w:val="auto"/>
              </w:rPr>
            </w:pPr>
            <w:r>
              <w:rPr>
                <w:rFonts w:ascii="Arial" w:cs="Arial" w:eastAsia="Arial" w:hAnsi="Arial"/>
                <w:sz w:val="16"/>
                <w:szCs w:val="16"/>
                <w:color w:val="auto"/>
              </w:rPr>
              <w:t>Private Education Refinance Loans: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Net charge-offs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6"/>
                <w:szCs w:val="16"/>
                <w:color w:val="auto"/>
              </w:rPr>
            </w:pP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Greater than 90-day delinquency rate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Average Private Education Refinance Loans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8,838</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8,649</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8,486</w:t>
            </w:r>
          </w:p>
        </w:tc>
        <w:tc>
          <w:tcPr>
            <w:tcW w:w="180" w:type="dxa"/>
            <w:vAlign w:val="bottom"/>
            <w:shd w:val="clear" w:color="auto" w:fill="CFF0FC"/>
          </w:tcPr>
          <w:p>
            <w:pPr>
              <w:spacing w:after="0"/>
              <w:rPr>
                <w:sz w:val="16"/>
                <w:szCs w:val="16"/>
                <w:color w:val="auto"/>
              </w:rPr>
            </w:pP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Ending Private Education Refinance Loans, net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8,755</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8,571</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8,341</w:t>
            </w:r>
          </w:p>
        </w:tc>
        <w:tc>
          <w:tcPr>
            <w:tcW w:w="180" w:type="dxa"/>
            <w:vAlign w:val="bottom"/>
          </w:tcPr>
          <w:p>
            <w:pPr>
              <w:spacing w:after="0"/>
              <w:rPr>
                <w:sz w:val="16"/>
                <w:szCs w:val="16"/>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Private Education Refinance Loan originations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18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-2794000</wp:posOffset>
            </wp:positionV>
            <wp:extent cx="102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-2794000</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-2794000</wp:posOffset>
            </wp:positionV>
            <wp:extent cx="102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-2545080</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-2545080</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-2545080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-2287905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-2270760</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-2287905</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-2270760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-2287905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-2270760</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85725</wp:posOffset>
            </wp:positionV>
            <wp:extent cx="7797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5" w:lineRule="exact"/>
        <w:rPr>
          <w:sz w:val="20"/>
          <w:szCs w:val="20"/>
          <w:color w:val="auto"/>
        </w:rPr>
      </w:pPr>
    </w:p>
    <w:p>
      <w:pPr>
        <w:jc w:val="both"/>
        <w:ind w:left="1220" w:right="460" w:hanging="244"/>
        <w:spacing w:after="0" w:line="250" w:lineRule="auto"/>
        <w:tabs>
          <w:tab w:leader="none" w:pos="1296"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Fourth-quarter 2025, third-quarter 2025 and fourth-quarter 2024 exclude $1 million, $1 million and $2 million, respectively, of charge-offs on the expected future recoveries of previously fully charged-off loans that occurred as a result of increasing the net charge-off rate on defaulted loans.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 — 4Q25 vs. 4Q24</w:t>
      </w:r>
    </w:p>
    <w:p>
      <w:pPr>
        <w:spacing w:after="0" w:line="176" w:lineRule="exact"/>
        <w:rPr>
          <w:sz w:val="20"/>
          <w:szCs w:val="20"/>
          <w:color w:val="auto"/>
        </w:rPr>
      </w:pPr>
    </w:p>
    <w:p>
      <w:pPr>
        <w:ind w:left="920" w:right="2560" w:hanging="916"/>
        <w:spacing w:after="0" w:line="310" w:lineRule="auto"/>
        <w:tabs>
          <w:tab w:leader="none" w:pos="337" w:val="left"/>
        </w:tabs>
        <w:numPr>
          <w:ilvl w:val="0"/>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 xml:space="preserve">Originated $680 million of Private Education Loans, an 87% increase compared to $363 million. </w:t>
      </w:r>
      <w:r>
        <w:rPr>
          <w:rFonts w:ascii="Times New Roman" w:cs="Times New Roman" w:eastAsia="Times New Roman" w:hAnsi="Times New Roman"/>
          <w:sz w:val="17"/>
          <w:szCs w:val="17"/>
          <w:color w:val="auto"/>
        </w:rPr>
        <w:t xml:space="preserve">o </w:t>
      </w:r>
      <w:r>
        <w:rPr>
          <w:rFonts w:ascii="Arial" w:cs="Arial" w:eastAsia="Arial" w:hAnsi="Arial"/>
          <w:sz w:val="16"/>
          <w:szCs w:val="16"/>
          <w:color w:val="auto"/>
        </w:rPr>
        <w:t>Refinance Loan originations were $634 million compared to $322 million.</w:t>
      </w:r>
    </w:p>
    <w:p>
      <w:pPr>
        <w:spacing w:after="0" w:line="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6"/>
          <w:szCs w:val="16"/>
          <w:color w:val="auto"/>
        </w:rPr>
        <w:t>In-school loan originations were $46 million compared to $41 million.</w:t>
      </w:r>
    </w:p>
    <w:p>
      <w:pPr>
        <w:spacing w:after="0" w:line="80"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Net income was $25 million compared to $37 million.</w:t>
      </w:r>
    </w:p>
    <w:p>
      <w:pPr>
        <w:spacing w:after="0" w:line="63" w:lineRule="exact"/>
        <w:rPr>
          <w:rFonts w:ascii="Times New Roman" w:cs="Times New Roman" w:eastAsia="Times New Roman" w:hAnsi="Times New Roman"/>
          <w:sz w:val="18"/>
          <w:szCs w:val="18"/>
          <w:color w:val="auto"/>
        </w:rPr>
      </w:pPr>
    </w:p>
    <w:p>
      <w:pPr>
        <w:ind w:left="320" w:right="60" w:hanging="316"/>
        <w:spacing w:after="0" w:line="256" w:lineRule="auto"/>
        <w:tabs>
          <w:tab w:leader="none" w:pos="3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Net interest income decreased $13 million, primarily due to the paydown and changing product mix of the loan portfolio (Refinance Loans increased as a percentage of the portfolio).</w:t>
      </w:r>
    </w:p>
    <w:p>
      <w:pPr>
        <w:spacing w:after="0" w:line="28" w:lineRule="exact"/>
        <w:rPr>
          <w:rFonts w:ascii="Times New Roman" w:cs="Times New Roman" w:eastAsia="Times New Roman" w:hAnsi="Times New Roman"/>
          <w:sz w:val="18"/>
          <w:szCs w:val="18"/>
          <w:color w:val="auto"/>
        </w:rPr>
      </w:pPr>
    </w:p>
    <w:p>
      <w:pPr>
        <w:ind w:left="320" w:right="20" w:hanging="316"/>
        <w:spacing w:after="0" w:line="248" w:lineRule="auto"/>
        <w:tabs>
          <w:tab w:leader="none" w:pos="3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Provision for loan losses increased $5 million. The provision of $43 million in the current quarter included $9 million associated with loan originations and $34 million primarily reflecting our macroeconomic outlook and a response to fourth-quarter delinquency trends within our legacy Private Education Loan portfolio. The provision for loan losses of $38 million in the year-ago quarter included $6 million in connection with loan originations, $18 million related to lowering the expected recovery rate on defaulted loans and $14 million related to a general reserve build primarily as a result of an increase in delinquency balances.</w:t>
      </w:r>
    </w:p>
    <w:p>
      <w:pPr>
        <w:spacing w:after="0" w:line="38" w:lineRule="exact"/>
        <w:rPr>
          <w:sz w:val="20"/>
          <w:szCs w:val="20"/>
          <w:color w:val="auto"/>
        </w:rPr>
      </w:pPr>
    </w:p>
    <w:p>
      <w:pPr>
        <w:ind w:left="1240" w:hanging="329"/>
        <w:spacing w:after="0"/>
        <w:tabs>
          <w:tab w:leader="none" w:pos="12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Net charge-offs were $86 million, up $15 million from $71 million.</w:t>
      </w:r>
    </w:p>
    <w:p>
      <w:pPr>
        <w:spacing w:after="0" w:line="63" w:lineRule="exact"/>
        <w:rPr>
          <w:rFonts w:ascii="Times New Roman" w:cs="Times New Roman" w:eastAsia="Times New Roman" w:hAnsi="Times New Roman"/>
          <w:sz w:val="18"/>
          <w:szCs w:val="18"/>
          <w:color w:val="auto"/>
        </w:rPr>
      </w:pPr>
    </w:p>
    <w:p>
      <w:pPr>
        <w:ind w:left="1240" w:hanging="329"/>
        <w:spacing w:after="0"/>
        <w:tabs>
          <w:tab w:leader="none" w:pos="12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Private Education Loan delinquencies greater than 90 days: $434 million, up $15 million from $419 million.</w:t>
      </w:r>
    </w:p>
    <w:p>
      <w:pPr>
        <w:spacing w:after="0" w:line="63" w:lineRule="exact"/>
        <w:rPr>
          <w:rFonts w:ascii="Times New Roman" w:cs="Times New Roman" w:eastAsia="Times New Roman" w:hAnsi="Times New Roman"/>
          <w:sz w:val="18"/>
          <w:szCs w:val="18"/>
          <w:color w:val="auto"/>
        </w:rPr>
      </w:pPr>
    </w:p>
    <w:p>
      <w:pPr>
        <w:ind w:left="1240" w:hanging="329"/>
        <w:spacing w:after="0"/>
        <w:tabs>
          <w:tab w:leader="none" w:pos="12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Private Education Loan forbearances: $236 million, down $186 million from $422 million.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39" w:right="1099" w:bottom="1440" w:gutter="0" w:footer="0" w:header="0"/>
        </w:sectPr>
      </w:pPr>
    </w:p>
    <w:bookmarkStart w:id="7" w:name="page8"/>
    <w:bookmarkEnd w:id="7"/>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197485"/>
                    </a:xfrm>
                    <a:prstGeom prst="rect">
                      <a:avLst/>
                    </a:prstGeom>
                    <a:noFill/>
                  </pic:spPr>
                </pic:pic>
              </a:graphicData>
            </a:graphic>
          </wp:anchor>
        </w:drawing>
        <w:t>BUSINESS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617220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308610"/>
                    </a:xfrm>
                    <a:prstGeom prst="rect">
                      <a:avLst/>
                    </a:prstGeom>
                    <a:noFill/>
                  </pic:spPr>
                </pic:pic>
              </a:graphicData>
            </a:graphic>
          </wp:anchor>
        </w:drawing>
      </w:r>
    </w:p>
    <w:p>
      <w:pPr>
        <w:spacing w:after="0" w:line="88" w:lineRule="exact"/>
        <w:rPr>
          <w:sz w:val="20"/>
          <w:szCs w:val="20"/>
          <w:color w:val="auto"/>
        </w:rPr>
      </w:pPr>
    </w:p>
    <w:p>
      <w:pPr>
        <w:ind w:left="100" w:right="20"/>
        <w:spacing w:after="0" w:line="286" w:lineRule="auto"/>
        <w:rPr>
          <w:sz w:val="20"/>
          <w:szCs w:val="20"/>
          <w:color w:val="auto"/>
        </w:rPr>
      </w:pPr>
      <w:r>
        <w:rPr>
          <w:rFonts w:ascii="Arial" w:cs="Arial" w:eastAsia="Arial" w:hAnsi="Arial"/>
          <w:sz w:val="16"/>
          <w:szCs w:val="16"/>
          <w:color w:val="auto"/>
        </w:rPr>
        <w:t>In this segment, Navient performed business processing services for non-education related government and healthcare clients prior to the divestiture of our healthcare services business in third-quarter 2024 and our government services business in first-quarter 2025.</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RESULTS AND KEY PERFORMANCE METRICS</w:t>
      </w:r>
    </w:p>
    <w:p>
      <w:pPr>
        <w:spacing w:after="0" w:line="11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4Q25</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3Q25</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4Q24</w:t>
            </w:r>
          </w:p>
        </w:tc>
        <w:tc>
          <w:tcPr>
            <w:tcW w:w="220" w:type="dxa"/>
            <w:vAlign w:val="bottom"/>
          </w:tcPr>
          <w:p>
            <w:pPr>
              <w:spacing w:after="0"/>
              <w:rPr>
                <w:sz w:val="14"/>
                <w:szCs w:val="14"/>
                <w:color w:val="auto"/>
              </w:rPr>
            </w:pPr>
          </w:p>
        </w:tc>
      </w:tr>
      <w:tr>
        <w:trPr>
          <w:trHeight w:val="183"/>
        </w:trPr>
        <w:tc>
          <w:tcPr>
            <w:tcW w:w="38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Revenue from government services</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5"/>
                <w:szCs w:val="15"/>
                <w:color w:val="auto"/>
              </w:rPr>
            </w:pPr>
          </w:p>
        </w:tc>
      </w:tr>
      <w:tr>
        <w:trPr>
          <w:trHeight w:val="189"/>
        </w:trPr>
        <w:tc>
          <w:tcPr>
            <w:tcW w:w="3820" w:type="dxa"/>
            <w:vAlign w:val="bottom"/>
            <w:gridSpan w:val="2"/>
          </w:tcPr>
          <w:p>
            <w:pPr>
              <w:spacing w:after="0"/>
              <w:rPr>
                <w:sz w:val="20"/>
                <w:szCs w:val="20"/>
                <w:color w:val="auto"/>
              </w:rPr>
            </w:pPr>
            <w:r>
              <w:rPr>
                <w:rFonts w:ascii="Arial" w:cs="Arial" w:eastAsia="Arial" w:hAnsi="Arial"/>
                <w:sz w:val="16"/>
                <w:szCs w:val="16"/>
                <w:color w:val="auto"/>
              </w:rPr>
              <w:t>Revenue from healthcare services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r>
      <w:tr>
        <w:trPr>
          <w:trHeight w:val="183"/>
        </w:trPr>
        <w:tc>
          <w:tcPr>
            <w:tcW w:w="38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fee revenue</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5"/>
                <w:szCs w:val="15"/>
                <w:color w:val="auto"/>
              </w:rPr>
            </w:pPr>
          </w:p>
        </w:tc>
      </w:tr>
      <w:tr>
        <w:trPr>
          <w:trHeight w:val="189"/>
        </w:trPr>
        <w:tc>
          <w:tcPr>
            <w:tcW w:w="3820" w:type="dxa"/>
            <w:vAlign w:val="bottom"/>
            <w:gridSpan w:val="2"/>
          </w:tcPr>
          <w:p>
            <w:pPr>
              <w:spacing w:after="0"/>
              <w:rPr>
                <w:sz w:val="20"/>
                <w:szCs w:val="20"/>
                <w:color w:val="auto"/>
              </w:rPr>
            </w:pPr>
            <w:r>
              <w:rPr>
                <w:rFonts w:ascii="Arial" w:cs="Arial" w:eastAsia="Arial" w:hAnsi="Arial"/>
                <w:sz w:val="16"/>
                <w:szCs w:val="16"/>
                <w:color w:val="auto"/>
              </w:rPr>
              <w:t>Loss on sale of subsidiary</w:t>
            </w:r>
          </w:p>
        </w:tc>
        <w:tc>
          <w:tcPr>
            <w:tcW w:w="220" w:type="dxa"/>
            <w:vAlign w:val="bottom"/>
          </w:tcPr>
          <w:p>
            <w:pPr>
              <w:spacing w:after="0"/>
              <w:rPr>
                <w:sz w:val="16"/>
                <w:szCs w:val="16"/>
                <w:color w:val="auto"/>
              </w:rPr>
            </w:pP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(28)</w:t>
            </w:r>
          </w:p>
        </w:tc>
      </w:tr>
      <w:tr>
        <w:trPr>
          <w:trHeight w:val="183"/>
        </w:trPr>
        <w:tc>
          <w:tcPr>
            <w:tcW w:w="382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ind w:left="640"/>
              <w:spacing w:after="0" w:line="183" w:lineRule="exact"/>
              <w:rPr>
                <w:sz w:val="20"/>
                <w:szCs w:val="20"/>
                <w:color w:val="auto"/>
              </w:rPr>
            </w:pPr>
            <w:r>
              <w:rPr>
                <w:rFonts w:ascii="Arial" w:cs="Arial" w:eastAsia="Arial" w:hAnsi="Arial"/>
                <w:sz w:val="16"/>
                <w:szCs w:val="16"/>
                <w:color w:val="auto"/>
                <w:w w:val="99"/>
              </w:rPr>
              <w:t>—</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ind w:left="640"/>
              <w:spacing w:after="0" w:line="183" w:lineRule="exact"/>
              <w:rPr>
                <w:sz w:val="20"/>
                <w:szCs w:val="20"/>
                <w:color w:val="auto"/>
              </w:rPr>
            </w:pPr>
            <w:r>
              <w:rPr>
                <w:rFonts w:ascii="Arial" w:cs="Arial" w:eastAsia="Arial" w:hAnsi="Arial"/>
                <w:sz w:val="16"/>
                <w:szCs w:val="16"/>
                <w:color w:val="auto"/>
                <w:w w:val="87"/>
              </w:rPr>
              <w:t>—</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w:t>
            </w:r>
          </w:p>
        </w:tc>
        <w:tc>
          <w:tcPr>
            <w:tcW w:w="220" w:type="dxa"/>
            <w:vAlign w:val="bottom"/>
            <w:tcBorders>
              <w:bottom w:val="single" w:sz="8" w:color="CFF0FC"/>
            </w:tcBorders>
            <w:shd w:val="clear" w:color="auto" w:fill="CFF0FC"/>
          </w:tcPr>
          <w:p>
            <w:pPr>
              <w:spacing w:after="0"/>
              <w:rPr>
                <w:sz w:val="15"/>
                <w:szCs w:val="15"/>
                <w:color w:val="auto"/>
              </w:rPr>
            </w:pPr>
          </w:p>
        </w:tc>
      </w:tr>
      <w:tr>
        <w:trPr>
          <w:trHeight w:val="183"/>
        </w:trPr>
        <w:tc>
          <w:tcPr>
            <w:tcW w:w="3820" w:type="dxa"/>
            <w:vAlign w:val="bottom"/>
            <w:gridSpan w:val="2"/>
          </w:tcPr>
          <w:p>
            <w:pPr>
              <w:spacing w:after="0" w:line="183" w:lineRule="exact"/>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5"/>
                <w:szCs w:val="15"/>
                <w:color w:val="auto"/>
              </w:rPr>
            </w:pPr>
          </w:p>
        </w:tc>
        <w:tc>
          <w:tcPr>
            <w:tcW w:w="1140" w:type="dxa"/>
            <w:vAlign w:val="bottom"/>
            <w:gridSpan w:val="2"/>
          </w:tcPr>
          <w:p>
            <w:pPr>
              <w:ind w:left="640"/>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120" w:type="dxa"/>
            <w:vAlign w:val="bottom"/>
            <w:gridSpan w:val="2"/>
          </w:tcPr>
          <w:p>
            <w:pPr>
              <w:ind w:left="640"/>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220" w:type="dxa"/>
            <w:vAlign w:val="bottom"/>
          </w:tcPr>
          <w:p>
            <w:pPr>
              <w:spacing w:after="0"/>
              <w:rPr>
                <w:sz w:val="15"/>
                <w:szCs w:val="15"/>
                <w:color w:val="auto"/>
              </w:rPr>
            </w:pPr>
          </w:p>
        </w:tc>
      </w:tr>
      <w:tr>
        <w:trPr>
          <w:trHeight w:val="189"/>
        </w:trPr>
        <w:tc>
          <w:tcPr>
            <w:tcW w:w="3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Pre-tax income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ind w:left="640"/>
              <w:spacing w:after="0"/>
              <w:rPr>
                <w:sz w:val="20"/>
                <w:szCs w:val="20"/>
                <w:color w:val="auto"/>
              </w:rPr>
            </w:pPr>
            <w:r>
              <w:rPr>
                <w:rFonts w:ascii="Arial" w:cs="Arial" w:eastAsia="Arial" w:hAnsi="Arial"/>
                <w:sz w:val="16"/>
                <w:szCs w:val="16"/>
                <w:color w:val="auto"/>
                <w:w w:val="87"/>
              </w:rPr>
              <w:t>—</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w:t>
            </w:r>
          </w:p>
        </w:tc>
      </w:tr>
      <w:tr>
        <w:trPr>
          <w:trHeight w:val="20"/>
        </w:trPr>
        <w:tc>
          <w:tcPr>
            <w:tcW w:w="134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83"/>
        </w:trPr>
        <w:tc>
          <w:tcPr>
            <w:tcW w:w="3820" w:type="dxa"/>
            <w:vAlign w:val="bottom"/>
            <w:gridSpan w:val="2"/>
          </w:tcPr>
          <w:p>
            <w:pPr>
              <w:spacing w:after="0" w:line="183" w:lineRule="exact"/>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Pr>
          <w:p>
            <w:pPr>
              <w:ind w:left="640"/>
              <w:spacing w:after="0" w:line="183" w:lineRule="exact"/>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15"/>
                <w:szCs w:val="15"/>
                <w:color w:val="auto"/>
              </w:rPr>
            </w:pP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Pr>
          <w:p>
            <w:pPr>
              <w:ind w:left="640"/>
              <w:spacing w:after="0" w:line="183" w:lineRule="exact"/>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5"/>
                <w:szCs w:val="15"/>
                <w:color w:val="auto"/>
              </w:rPr>
            </w:pP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(20)</w:t>
            </w:r>
          </w:p>
        </w:tc>
      </w:tr>
      <w:tr>
        <w:trPr>
          <w:trHeight w:val="20"/>
        </w:trPr>
        <w:tc>
          <w:tcPr>
            <w:tcW w:w="1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0"/>
        </w:trPr>
        <w:tc>
          <w:tcPr>
            <w:tcW w:w="134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189"/>
        </w:trPr>
        <w:tc>
          <w:tcPr>
            <w:tcW w:w="3820" w:type="dxa"/>
            <w:vAlign w:val="bottom"/>
            <w:gridSpan w:val="2"/>
          </w:tcPr>
          <w:p>
            <w:pPr>
              <w:spacing w:after="0" w:line="189"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(25)</w:t>
            </w:r>
          </w:p>
        </w:tc>
      </w:tr>
      <w:tr>
        <w:trPr>
          <w:trHeight w:val="189"/>
        </w:trPr>
        <w:tc>
          <w:tcPr>
            <w:tcW w:w="382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EBITDA margin</w:t>
            </w:r>
            <w:r>
              <w:rPr>
                <w:rFonts w:ascii="Arial" w:cs="Arial" w:eastAsia="Arial" w:hAnsi="Arial"/>
                <w:sz w:val="21"/>
                <w:szCs w:val="21"/>
                <w:color w:val="auto"/>
                <w:vertAlign w:val="superscript"/>
              </w:rPr>
              <w:t>(1)</w:t>
            </w: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-762635</wp:posOffset>
            </wp:positionV>
            <wp:extent cx="102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-762635</wp:posOffset>
            </wp:positionV>
            <wp:extent cx="102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-762635</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-513715</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-513715</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-513715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111760</wp:posOffset>
            </wp:positionV>
            <wp:extent cx="7797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22" w:lineRule="exact"/>
        <w:rPr>
          <w:sz w:val="20"/>
          <w:szCs w:val="20"/>
          <w:color w:val="auto"/>
        </w:rPr>
      </w:pPr>
    </w:p>
    <w:p>
      <w:pPr>
        <w:ind w:left="1300" w:hanging="324"/>
        <w:spacing w:after="0"/>
        <w:tabs>
          <w:tab w:leader="none" w:pos="1300"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Item is a non-GAAP financial measure. For a description and reconciliation, see “Non-GAAP Financial Measures” on pages 18 –28.</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DISCUSSION OF RESULTS — 4Q25 vs. 4Q24</w:t>
      </w:r>
    </w:p>
    <w:p>
      <w:pPr>
        <w:spacing w:after="0" w:line="127" w:lineRule="exact"/>
        <w:rPr>
          <w:sz w:val="20"/>
          <w:szCs w:val="20"/>
          <w:color w:val="auto"/>
        </w:rPr>
      </w:pPr>
    </w:p>
    <w:p>
      <w:pPr>
        <w:ind w:left="320" w:right="220" w:hanging="316"/>
        <w:spacing w:after="0" w:line="249" w:lineRule="auto"/>
        <w:tabs>
          <w:tab w:leader="none" w:pos="3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6"/>
          <w:szCs w:val="16"/>
          <w:color w:val="auto"/>
        </w:rPr>
        <w:t>With the sale of our government services business in February 2025, Navient no longer provides business processing segment services. Navient provided certain transition services ($0.5 million of revenue and expense in the current quarter, reflected in the Other segment) in connection with the sale of our business processing businesses. As of October 2025 we had no further obligations to provide these transition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61722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Definitions for capitalized terms in this release can be found in Navient’s Annual Report on Form 10-K for the year ended December 31, 2024 (filed with the SEC on February 27, 2025).</w:t>
      </w:r>
    </w:p>
    <w:p>
      <w:pPr>
        <w:spacing w:after="0" w:line="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Navient will hold a live audio webcast today, January 28, 2026, at 8 a.m. ET, hosted by David Yowan, president and CEO, and Steve Hauber, CFO.</w:t>
      </w:r>
    </w:p>
    <w:p>
      <w:pPr>
        <w:spacing w:after="0" w:line="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webcast will be available on Navient.com/investors. Supplemental financial information and presentation slides used during the call will be available no later than the start time. A replay of the webcast will be available shortly after the event’s conclusion.</w:t>
      </w:r>
    </w:p>
    <w:p>
      <w:pPr>
        <w:spacing w:after="0" w:line="4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b w:val="1"/>
          <w:bCs w:val="1"/>
          <w:color w:val="auto"/>
        </w:rPr>
        <w:t xml:space="preserve">This news release contains “forward-looking statements,” within the meaning of the federal securities law, about our business and prospectus and other information that is based on management’s current expectations as of the date of this release. </w:t>
      </w:r>
      <w:r>
        <w:rPr>
          <w:rFonts w:ascii="Arial" w:cs="Arial" w:eastAsia="Arial" w:hAnsi="Arial"/>
          <w:sz w:val="16"/>
          <w:szCs w:val="16"/>
          <w:color w:val="auto"/>
        </w:rPr>
        <w:t>Statements that are not historical facts, including statements about our beliefs, opinions, or expectations and statements that</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or are dependent upon future events, are forward-looking statements and often contain words such as “expect,” “anticipate,” “intend,” “plan,” “believe,” “seek,” “see,” “will,” “would,” “may,” “could,” “should,” “goals,” or “target.” Such statements are based on management’s expectations as of the date of this release and involve many risks and uncertainties that could cause our actual results to differ materially from those expressed or implied in our forward-looking statements. For Navient, these factors include, among other things: general economic conditions, including the potential impact of inflation and interest rates on Navient and its clients and customers and on the creditworthiness of third parties; and increased defaults on education loans held by us. The company could also be affected by, among other things, 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or extensions of previously announced deadlines which may increase or decrease the prepayment rates on education loans and accelerate or slow down the repayment of the bonds in our securitization trusts; a reduction in our credit ratings; changes to applicable laws, rules, regulations and government policies and expanded regulatory and governmental oversight; changes in the general interest rate environment, including the availability of any relevant money-market index rate or the relationship between the relevant money-market index rate and the rate at which our assets are priced; the interest rate characteristics of our assets do not always match those of our funding arrangements; adverse market conditions or an inability to effectively manage our liquidity risk or access liquidity could negatively impact us; the cost and availability of funding in the capital markets; our ability to earn Floor Income and our ability to enter into hedges relative to that Floor Income are dependent on the future interest rate environment and therefore is variable; our use of derivatives exposes us to credit and market risk; our ability to continually and effectively align our cost structure with our business operations; a failure or breach of our operating systems, infrastructure or information technology systems; failure by any third party providing us material services or products or a breach or violation of law by one of these third parties; our work with government clients exposes us to additional risks inherent in the government contracting environment; acquisitions, strategic initiatives and investments or divestitures that we pursue; shareholder activism; reputational risk and social factors; and the other factors that are described in the “Risk Factors” section of Navient’s Annual Report on Form 10-K for the year ended December 31, 2024, and in our other reports filed with the Securities and Exchange Commission. The preparation of our consolidated financial statements also requires management to make certain estimates and assumptions including estimates and assumptions about future events. These estimates or assumptions may prove to be incorrect and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39" w:right="1099" w:bottom="1440" w:gutter="0" w:footer="0" w:header="0"/>
        </w:sectPr>
      </w:pPr>
    </w:p>
    <w:bookmarkStart w:id="8" w:name="page9"/>
    <w:bookmarkEnd w:id="8"/>
    <w:p>
      <w:pPr>
        <w:ind w:right="80"/>
        <w:spacing w:after="0" w:line="266" w:lineRule="auto"/>
        <w:rPr>
          <w:sz w:val="20"/>
          <w:szCs w:val="20"/>
          <w:color w:val="auto"/>
        </w:rPr>
      </w:pPr>
      <w:r>
        <w:rPr>
          <w:rFonts w:ascii="Arial" w:cs="Arial" w:eastAsia="Arial" w:hAnsi="Arial"/>
          <w:sz w:val="16"/>
          <w:szCs w:val="16"/>
          <w:color w:val="auto"/>
        </w:rPr>
        <w:t>actual results could differ materially. All forward-looking statements contained in this release are qualified by these cautionary statements and are made only as of the date of this release. The company does not undertake any obligation to update or revise these forward-looking statements except as required by law.</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Navient</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Navient.com.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38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Media:</w:t>
      </w:r>
      <w:r>
        <w:rPr>
          <w:sz w:val="20"/>
          <w:szCs w:val="20"/>
          <w:color w:val="auto"/>
        </w:rPr>
        <w:tab/>
      </w:r>
      <w:r>
        <w:rPr>
          <w:rFonts w:ascii="Arial" w:cs="Arial" w:eastAsia="Arial" w:hAnsi="Arial"/>
          <w:sz w:val="16"/>
          <w:szCs w:val="16"/>
          <w:color w:val="auto"/>
        </w:rPr>
        <w:t>Cate Fitzgerald, 703-831-6347, catherine.fitzgerald@navient.com</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Investors:</w:t>
        <w:tab/>
        <w:t>Jen Earyes, 571-592-8582, jen.earyes@navient.com</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703580</wp:posOffset>
            </wp:positionV>
            <wp:extent cx="1954530" cy="334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453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7" w:right="109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868680</wp:posOffset>
            </wp:positionV>
            <wp:extent cx="617220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188595"/>
                    </a:xfrm>
                    <a:prstGeom prst="rect">
                      <a:avLst/>
                    </a:prstGeom>
                    <a:noFill/>
                  </pic:spPr>
                </pic:pic>
              </a:graphicData>
            </a:graphic>
          </wp:anchor>
        </w:drawing>
        <w:t>SELECTED HISTORICAL FINANCIAL INFORMATION AND RATIOS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00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1500" w:type="dxa"/>
            <w:vAlign w:val="bottom"/>
            <w:gridSpan w:val="4"/>
            <w:shd w:val="clear" w:color="auto" w:fill="D9D9D9"/>
          </w:tcPr>
          <w:p>
            <w:pPr>
              <w:jc w:val="center"/>
              <w:ind w:right="180"/>
              <w:spacing w:after="0"/>
              <w:rPr>
                <w:sz w:val="20"/>
                <w:szCs w:val="20"/>
                <w:color w:val="auto"/>
              </w:rPr>
            </w:pPr>
            <w:r>
              <w:rPr>
                <w:rFonts w:ascii="Arial" w:cs="Arial" w:eastAsia="Arial" w:hAnsi="Arial"/>
                <w:sz w:val="13"/>
                <w:szCs w:val="13"/>
                <w:b w:val="1"/>
                <w:bCs w:val="1"/>
                <w:color w:val="auto"/>
                <w:w w:val="98"/>
              </w:rPr>
              <w:t>QUARTERS ENDED</w:t>
            </w:r>
          </w:p>
        </w:tc>
        <w:tc>
          <w:tcPr>
            <w:tcW w:w="10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00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2680" w:type="dxa"/>
            <w:vAlign w:val="bottom"/>
            <w:gridSpan w:val="6"/>
            <w:shd w:val="clear" w:color="auto" w:fill="D9D9D9"/>
          </w:tcPr>
          <w:p>
            <w:pPr>
              <w:jc w:val="right"/>
              <w:ind w:right="1020"/>
              <w:spacing w:after="0"/>
              <w:rPr>
                <w:sz w:val="20"/>
                <w:szCs w:val="20"/>
                <w:color w:val="auto"/>
              </w:rPr>
            </w:pPr>
            <w:r>
              <w:rPr>
                <w:rFonts w:ascii="Arial" w:cs="Arial" w:eastAsia="Arial" w:hAnsi="Arial"/>
                <w:sz w:val="13"/>
                <w:szCs w:val="13"/>
                <w:b w:val="1"/>
                <w:bCs w:val="1"/>
                <w:color w:val="auto"/>
              </w:rPr>
              <w:t>YEARS ENDED</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440"/>
              <w:spacing w:after="0" w:line="117"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line="117"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360"/>
              <w:spacing w:after="0" w:line="117" w:lineRule="exact"/>
              <w:rPr>
                <w:sz w:val="20"/>
                <w:szCs w:val="20"/>
                <w:color w:val="auto"/>
              </w:rPr>
            </w:pPr>
            <w:r>
              <w:rPr>
                <w:rFonts w:ascii="Arial" w:cs="Arial" w:eastAsia="Arial" w:hAnsi="Arial"/>
                <w:sz w:val="13"/>
                <w:szCs w:val="13"/>
                <w:b w:val="1"/>
                <w:bCs w:val="1"/>
                <w:color w:val="auto"/>
                <w:w w:val="96"/>
              </w:rPr>
              <w:t>December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460"/>
              <w:spacing w:after="0" w:line="117"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340"/>
              <w:spacing w:after="0" w:line="117"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3"/>
        </w:trPr>
        <w:tc>
          <w:tcPr>
            <w:tcW w:w="2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(In millions, except per share data)</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6"/>
              </w:rPr>
              <w:t>2025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6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GAAP Basis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Net income (loss)</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(86)</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24</w:t>
            </w:r>
          </w:p>
        </w:tc>
        <w:tc>
          <w:tcPr>
            <w:tcW w:w="200" w:type="dxa"/>
            <w:vAlign w:val="bottom"/>
          </w:tcPr>
          <w:p>
            <w:pPr>
              <w:spacing w:after="0"/>
              <w:rPr>
                <w:sz w:val="14"/>
                <w:szCs w:val="14"/>
                <w:color w:val="auto"/>
              </w:rPr>
            </w:pPr>
          </w:p>
        </w:tc>
        <w:tc>
          <w:tcPr>
            <w:tcW w:w="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(80)</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131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36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Diluted earnings (loss) per</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common share</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(.06)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360" w:type="dxa"/>
            <w:vAlign w:val="bottom"/>
            <w:gridSpan w:val="2"/>
          </w:tcPr>
          <w:p>
            <w:pPr>
              <w:spacing w:after="0" w:line="145" w:lineRule="exact"/>
              <w:rPr>
                <w:sz w:val="20"/>
                <w:szCs w:val="20"/>
                <w:color w:val="auto"/>
              </w:rPr>
            </w:pPr>
            <w:r>
              <w:rPr>
                <w:rFonts w:ascii="Arial" w:cs="Arial" w:eastAsia="Arial" w:hAnsi="Arial"/>
                <w:sz w:val="15"/>
                <w:szCs w:val="15"/>
                <w:color w:val="auto"/>
              </w:rPr>
              <w:t>Weighted average shares used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compute diluted earnings per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60" w:type="dxa"/>
            <w:vAlign w:val="bottom"/>
            <w:gridSpan w:val="2"/>
          </w:tcPr>
          <w:p>
            <w:pPr>
              <w:ind w:left="140"/>
              <w:spacing w:after="0"/>
              <w:rPr>
                <w:sz w:val="20"/>
                <w:szCs w:val="20"/>
                <w:color w:val="auto"/>
              </w:rPr>
            </w:pPr>
            <w:r>
              <w:rPr>
                <w:rFonts w:ascii="Arial" w:cs="Arial" w:eastAsia="Arial" w:hAnsi="Arial"/>
                <w:sz w:val="15"/>
                <w:szCs w:val="15"/>
                <w:color w:val="auto"/>
              </w:rPr>
              <w:t>share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Return on assets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line="162" w:lineRule="exact"/>
              <w:rPr>
                <w:sz w:val="20"/>
                <w:szCs w:val="20"/>
                <w:color w:val="auto"/>
              </w:rPr>
            </w:pPr>
            <w:r>
              <w:rPr>
                <w:rFonts w:ascii="Arial" w:cs="Arial" w:eastAsia="Arial" w:hAnsi="Arial"/>
                <w:sz w:val="15"/>
                <w:szCs w:val="15"/>
                <w:color w:val="auto"/>
              </w:rPr>
              <w:t>(.05)%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line="162" w:lineRule="exact"/>
              <w:rPr>
                <w:sz w:val="20"/>
                <w:szCs w:val="20"/>
                <w:color w:val="auto"/>
              </w:rPr>
            </w:pPr>
            <w:r>
              <w:rPr>
                <w:rFonts w:ascii="Arial" w:cs="Arial" w:eastAsia="Arial" w:hAnsi="Arial"/>
                <w:sz w:val="15"/>
                <w:szCs w:val="15"/>
                <w:color w:val="auto"/>
              </w:rPr>
              <w:t>(.72)%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line="162" w:lineRule="exact"/>
              <w:rPr>
                <w:sz w:val="20"/>
                <w:szCs w:val="20"/>
                <w:color w:val="auto"/>
              </w:rPr>
            </w:pPr>
            <w:r>
              <w:rPr>
                <w:rFonts w:ascii="Arial" w:cs="Arial" w:eastAsia="Arial" w:hAnsi="Arial"/>
                <w:sz w:val="15"/>
                <w:szCs w:val="15"/>
                <w:color w:val="auto"/>
              </w:rPr>
              <w:t>(.17)%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97"/>
        </w:trPr>
        <w:tc>
          <w:tcPr>
            <w:tcW w:w="2360" w:type="dxa"/>
            <w:vAlign w:val="bottom"/>
            <w:gridSpan w:val="2"/>
          </w:tcPr>
          <w:p>
            <w:pPr>
              <w:spacing w:after="0"/>
              <w:rPr>
                <w:sz w:val="20"/>
                <w:szCs w:val="20"/>
                <w:color w:val="auto"/>
              </w:rPr>
            </w:pPr>
            <w:r>
              <w:rPr>
                <w:rFonts w:ascii="Arial" w:cs="Arial" w:eastAsia="Arial" w:hAnsi="Arial"/>
                <w:sz w:val="15"/>
                <w:szCs w:val="15"/>
                <w:b w:val="1"/>
                <w:bCs w:val="1"/>
                <w:color w:val="auto"/>
              </w:rPr>
              <w:t>Core Earnings Basis</w:t>
            </w:r>
            <w:r>
              <w:rPr>
                <w:rFonts w:ascii="Arial" w:cs="Arial" w:eastAsia="Arial" w:hAnsi="Arial"/>
                <w:sz w:val="21"/>
                <w:szCs w:val="21"/>
                <w:b w:val="1"/>
                <w:bCs w:val="1"/>
                <w:color w:val="auto"/>
                <w:vertAlign w:val="superscript"/>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60" w:type="dxa"/>
            <w:vAlign w:val="bottom"/>
            <w:gridSpan w:val="2"/>
          </w:tcPr>
          <w:p>
            <w:pPr>
              <w:spacing w:after="0" w:line="189" w:lineRule="exact"/>
              <w:rPr>
                <w:sz w:val="20"/>
                <w:szCs w:val="20"/>
                <w:color w:val="auto"/>
              </w:rPr>
            </w:pPr>
            <w:r>
              <w:rPr>
                <w:rFonts w:ascii="Arial" w:cs="Arial" w:eastAsia="Arial" w:hAnsi="Arial"/>
                <w:sz w:val="15"/>
                <w:szCs w:val="15"/>
                <w:color w:val="auto"/>
              </w:rPr>
              <w:t>Net income(loss)</w:t>
            </w:r>
            <w:r>
              <w:rPr>
                <w:rFonts w:ascii="Arial" w:cs="Arial" w:eastAsia="Arial" w:hAnsi="Arial"/>
                <w:sz w:val="21"/>
                <w:szCs w:val="21"/>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(83)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(25)</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(35)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60" w:type="dxa"/>
            <w:vAlign w:val="bottom"/>
            <w:gridSpan w:val="2"/>
            <w:shd w:val="clear" w:color="auto" w:fill="CFF0FC"/>
          </w:tcPr>
          <w:p>
            <w:pPr>
              <w:spacing w:after="0" w:line="135" w:lineRule="exact"/>
              <w:rPr>
                <w:sz w:val="20"/>
                <w:szCs w:val="20"/>
                <w:color w:val="auto"/>
              </w:rPr>
            </w:pPr>
            <w:r>
              <w:rPr>
                <w:rFonts w:ascii="Arial" w:cs="Arial" w:eastAsia="Arial" w:hAnsi="Arial"/>
                <w:sz w:val="15"/>
                <w:szCs w:val="15"/>
                <w:color w:val="auto"/>
              </w:rPr>
              <w:t>Diluted earnings (loss) per</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FF0FC"/>
          </w:tcPr>
          <w:p>
            <w:pPr>
              <w:ind w:left="140"/>
              <w:spacing w:after="0" w:line="189" w:lineRule="exact"/>
              <w:rPr>
                <w:sz w:val="20"/>
                <w:szCs w:val="20"/>
                <w:color w:val="auto"/>
              </w:rPr>
            </w:pPr>
            <w:r>
              <w:rPr>
                <w:rFonts w:ascii="Arial" w:cs="Arial" w:eastAsia="Arial" w:hAnsi="Arial"/>
                <w:sz w:val="15"/>
                <w:szCs w:val="15"/>
                <w:color w:val="auto"/>
              </w:rPr>
              <w:t>common share</w:t>
            </w:r>
            <w:r>
              <w:rPr>
                <w:rFonts w:ascii="Arial" w:cs="Arial" w:eastAsia="Arial" w:hAnsi="Arial"/>
                <w:sz w:val="21"/>
                <w:szCs w:val="21"/>
                <w:color w:val="auto"/>
                <w:vertAlign w:val="superscript"/>
              </w:rPr>
              <w:t>(1)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.02</w:t>
            </w:r>
          </w:p>
        </w:tc>
        <w:tc>
          <w:tcPr>
            <w:tcW w:w="28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60" w:type="dxa"/>
            <w:vAlign w:val="bottom"/>
            <w:gridSpan w:val="2"/>
          </w:tcPr>
          <w:p>
            <w:pPr>
              <w:spacing w:after="0" w:line="145" w:lineRule="exact"/>
              <w:rPr>
                <w:sz w:val="20"/>
                <w:szCs w:val="20"/>
                <w:color w:val="auto"/>
              </w:rPr>
            </w:pPr>
            <w:r>
              <w:rPr>
                <w:rFonts w:ascii="Arial" w:cs="Arial" w:eastAsia="Arial" w:hAnsi="Arial"/>
                <w:sz w:val="15"/>
                <w:szCs w:val="15"/>
                <w:color w:val="auto"/>
              </w:rPr>
              <w:t>Weighted average shares used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compute diluted earnings per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60" w:type="dxa"/>
            <w:vAlign w:val="bottom"/>
            <w:gridSpan w:val="2"/>
          </w:tcPr>
          <w:p>
            <w:pPr>
              <w:ind w:left="140"/>
              <w:spacing w:after="0"/>
              <w:rPr>
                <w:sz w:val="20"/>
                <w:szCs w:val="20"/>
                <w:color w:val="auto"/>
              </w:rPr>
            </w:pPr>
            <w:r>
              <w:rPr>
                <w:rFonts w:ascii="Arial" w:cs="Arial" w:eastAsia="Arial" w:hAnsi="Arial"/>
                <w:sz w:val="15"/>
                <w:szCs w:val="15"/>
                <w:color w:val="auto"/>
              </w:rPr>
              <w:t>share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36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Net interest margin, Federal</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Education Loans segment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45"/>
        </w:trPr>
        <w:tc>
          <w:tcPr>
            <w:tcW w:w="2360" w:type="dxa"/>
            <w:vAlign w:val="bottom"/>
            <w:gridSpan w:val="2"/>
          </w:tcPr>
          <w:p>
            <w:pPr>
              <w:spacing w:after="0" w:line="145" w:lineRule="exact"/>
              <w:rPr>
                <w:sz w:val="20"/>
                <w:szCs w:val="20"/>
                <w:color w:val="auto"/>
              </w:rPr>
            </w:pPr>
            <w:r>
              <w:rPr>
                <w:rFonts w:ascii="Arial" w:cs="Arial" w:eastAsia="Arial" w:hAnsi="Arial"/>
                <w:sz w:val="15"/>
                <w:szCs w:val="15"/>
                <w:color w:val="auto"/>
              </w:rPr>
              <w:t>Net interest margin, Consumer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gridSpan w:val="2"/>
          </w:tcPr>
          <w:p>
            <w:pPr>
              <w:ind w:left="140"/>
              <w:spacing w:after="0"/>
              <w:rPr>
                <w:sz w:val="20"/>
                <w:szCs w:val="20"/>
                <w:color w:val="auto"/>
              </w:rPr>
            </w:pPr>
            <w:r>
              <w:rPr>
                <w:rFonts w:ascii="Arial" w:cs="Arial" w:eastAsia="Arial" w:hAnsi="Arial"/>
                <w:sz w:val="15"/>
                <w:szCs w:val="15"/>
                <w:color w:val="auto"/>
              </w:rPr>
              <w:t>Lending segment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2.77%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Return on assets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.01%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line="162" w:lineRule="exact"/>
              <w:rPr>
                <w:sz w:val="20"/>
                <w:szCs w:val="20"/>
                <w:color w:val="auto"/>
              </w:rPr>
            </w:pPr>
            <w:r>
              <w:rPr>
                <w:rFonts w:ascii="Arial" w:cs="Arial" w:eastAsia="Arial" w:hAnsi="Arial"/>
                <w:sz w:val="15"/>
                <w:szCs w:val="15"/>
                <w:color w:val="auto"/>
              </w:rPr>
              <w:t>(.69)%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(.20)%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line="162" w:lineRule="exact"/>
              <w:rPr>
                <w:sz w:val="20"/>
                <w:szCs w:val="20"/>
                <w:color w:val="auto"/>
              </w:rPr>
            </w:pPr>
            <w:r>
              <w:rPr>
                <w:rFonts w:ascii="Arial" w:cs="Arial" w:eastAsia="Arial" w:hAnsi="Arial"/>
                <w:sz w:val="15"/>
                <w:szCs w:val="15"/>
                <w:color w:val="auto"/>
              </w:rPr>
              <w:t>(.07)%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Education Loan Portfolios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Ending FFELP Loans, net</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28,141</w:t>
            </w:r>
          </w:p>
        </w:tc>
        <w:tc>
          <w:tcPr>
            <w:tcW w:w="280" w:type="dxa"/>
            <w:vAlign w:val="bottom"/>
          </w:tcPr>
          <w:p>
            <w:pPr>
              <w:spacing w:after="0"/>
              <w:rPr>
                <w:sz w:val="14"/>
                <w:szCs w:val="14"/>
                <w:color w:val="auto"/>
              </w:rPr>
            </w:pP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28,952</w:t>
            </w:r>
          </w:p>
        </w:tc>
        <w:tc>
          <w:tcPr>
            <w:tcW w:w="280" w:type="dxa"/>
            <w:vAlign w:val="bottom"/>
          </w:tcPr>
          <w:p>
            <w:pPr>
              <w:spacing w:after="0"/>
              <w:rPr>
                <w:sz w:val="14"/>
                <w:szCs w:val="14"/>
                <w:color w:val="auto"/>
              </w:rPr>
            </w:pP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30,852</w:t>
            </w:r>
          </w:p>
        </w:tc>
        <w:tc>
          <w:tcPr>
            <w:tcW w:w="200" w:type="dxa"/>
            <w:vAlign w:val="bottom"/>
          </w:tcPr>
          <w:p>
            <w:pPr>
              <w:spacing w:after="0"/>
              <w:rPr>
                <w:sz w:val="14"/>
                <w:szCs w:val="14"/>
                <w:color w:val="auto"/>
              </w:rPr>
            </w:pPr>
          </w:p>
        </w:tc>
        <w:tc>
          <w:tcPr>
            <w:tcW w:w="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28,141</w:t>
            </w:r>
          </w:p>
        </w:tc>
        <w:tc>
          <w:tcPr>
            <w:tcW w:w="280" w:type="dxa"/>
            <w:vAlign w:val="bottom"/>
          </w:tcPr>
          <w:p>
            <w:pPr>
              <w:spacing w:after="0"/>
              <w:rPr>
                <w:sz w:val="14"/>
                <w:szCs w:val="14"/>
                <w:color w:val="auto"/>
              </w:rPr>
            </w:pP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30,852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36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Ending Private Education Loans,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15,451</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15,456</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15,716</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15,451</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15,716</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360" w:type="dxa"/>
            <w:vAlign w:val="bottom"/>
            <w:tcBorders>
              <w:bottom w:val="single" w:sz="8" w:color="CFF0FC"/>
            </w:tcBorders>
            <w:gridSpan w:val="2"/>
            <w:shd w:val="clear" w:color="auto" w:fill="CFF0FC"/>
          </w:tcPr>
          <w:p>
            <w:pPr>
              <w:ind w:left="140"/>
              <w:spacing w:after="0" w:line="166" w:lineRule="exact"/>
              <w:rPr>
                <w:sz w:val="20"/>
                <w:szCs w:val="20"/>
                <w:color w:val="auto"/>
              </w:rPr>
            </w:pPr>
            <w:r>
              <w:rPr>
                <w:rFonts w:ascii="Arial" w:cs="Arial" w:eastAsia="Arial" w:hAnsi="Arial"/>
                <w:sz w:val="15"/>
                <w:szCs w:val="15"/>
                <w:color w:val="auto"/>
              </w:rPr>
              <w:t>net</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60" w:type="dxa"/>
            <w:vAlign w:val="bottom"/>
            <w:gridSpan w:val="2"/>
          </w:tcPr>
          <w:p>
            <w:pPr>
              <w:spacing w:after="0" w:line="156" w:lineRule="exact"/>
              <w:rPr>
                <w:sz w:val="20"/>
                <w:szCs w:val="20"/>
                <w:color w:val="auto"/>
              </w:rPr>
            </w:pPr>
            <w:r>
              <w:rPr>
                <w:rFonts w:ascii="Arial" w:cs="Arial" w:eastAsia="Arial" w:hAnsi="Arial"/>
                <w:sz w:val="15"/>
                <w:szCs w:val="15"/>
                <w:color w:val="auto"/>
              </w:rPr>
              <w:t>Ending total education loans, net</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43,592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44,408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46,568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43,592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46,568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60" w:type="dxa"/>
            <w:vAlign w:val="bottom"/>
            <w:gridSpan w:val="2"/>
            <w:shd w:val="clear" w:color="auto" w:fill="CFF0FC"/>
          </w:tcPr>
          <w:p>
            <w:pPr>
              <w:spacing w:after="0" w:line="143" w:lineRule="exact"/>
              <w:rPr>
                <w:sz w:val="20"/>
                <w:szCs w:val="20"/>
                <w:color w:val="auto"/>
              </w:rPr>
            </w:pPr>
            <w:r>
              <w:rPr>
                <w:rFonts w:ascii="Arial" w:cs="Arial" w:eastAsia="Arial" w:hAnsi="Arial"/>
                <w:sz w:val="15"/>
                <w:szCs w:val="15"/>
                <w:color w:val="auto"/>
              </w:rPr>
              <w:t>Average FFELP Loans</w:t>
            </w:r>
          </w:p>
        </w:tc>
        <w:tc>
          <w:tcPr>
            <w:tcW w:w="20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28,924</w:t>
            </w:r>
          </w:p>
        </w:tc>
        <w:tc>
          <w:tcPr>
            <w:tcW w:w="2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29,641</w:t>
            </w:r>
          </w:p>
        </w:tc>
        <w:tc>
          <w:tcPr>
            <w:tcW w:w="2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31,554</w:t>
            </w:r>
          </w:p>
        </w:tc>
        <w:tc>
          <w:tcPr>
            <w:tcW w:w="2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29,945</w:t>
            </w:r>
          </w:p>
        </w:tc>
        <w:tc>
          <w:tcPr>
            <w:tcW w:w="2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33,946</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Average Private Education Loans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15,907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15,894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16,337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15,987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16,809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CFF0FC"/>
            </w:tcBorders>
            <w:gridSpan w:val="2"/>
            <w:shd w:val="clear" w:color="auto" w:fill="CFF0FC"/>
          </w:tcPr>
          <w:p>
            <w:pPr>
              <w:spacing w:after="0" w:line="156" w:lineRule="exact"/>
              <w:rPr>
                <w:sz w:val="20"/>
                <w:szCs w:val="20"/>
                <w:color w:val="auto"/>
              </w:rPr>
            </w:pPr>
            <w:r>
              <w:rPr>
                <w:rFonts w:ascii="Arial" w:cs="Arial" w:eastAsia="Arial" w:hAnsi="Arial"/>
                <w:sz w:val="15"/>
                <w:szCs w:val="15"/>
                <w:color w:val="auto"/>
              </w:rPr>
              <w:t>Average total education loans</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44,831</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45,535</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47,891</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45,932</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50,755</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-2219960</wp:posOffset>
            </wp:positionV>
            <wp:extent cx="617220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-479425</wp:posOffset>
            </wp:positionV>
            <wp:extent cx="128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-479425</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-479425</wp:posOffset>
            </wp:positionV>
            <wp:extent cx="1289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-479425</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-479425</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-24765</wp:posOffset>
            </wp:positionV>
            <wp:extent cx="128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-8255</wp:posOffset>
            </wp:positionV>
            <wp:extent cx="1289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-24765</wp:posOffset>
            </wp:positionV>
            <wp:extent cx="128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-8255</wp:posOffset>
            </wp:positionV>
            <wp:extent cx="128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-24765</wp:posOffset>
            </wp:positionV>
            <wp:extent cx="128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-8255</wp:posOffset>
            </wp:positionV>
            <wp:extent cx="128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-24765</wp:posOffset>
            </wp:positionV>
            <wp:extent cx="128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-8255</wp:posOffset>
            </wp:positionV>
            <wp:extent cx="128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-24765</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-8255</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111125</wp:posOffset>
            </wp:positionV>
            <wp:extent cx="737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99" w:lineRule="exact"/>
        <w:rPr>
          <w:sz w:val="20"/>
          <w:szCs w:val="20"/>
          <w:color w:val="auto"/>
        </w:rPr>
      </w:pPr>
    </w:p>
    <w:p>
      <w:pPr>
        <w:ind w:left="320" w:hanging="316"/>
        <w:spacing w:after="0"/>
        <w:tabs>
          <w:tab w:leader="none" w:pos="3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 on pages 18 – 28.</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90" w:right="1099" w:bottom="1440" w:gutter="0" w:footer="0" w:header="0"/>
        </w:sectPr>
      </w:pPr>
    </w:p>
    <w:bookmarkStart w:id="10" w:name="page11"/>
    <w:bookmarkEnd w:id="10"/>
    <w:p>
      <w:pPr>
        <w:ind w:left="10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688340</wp:posOffset>
            </wp:positionH>
            <wp:positionV relativeFrom="page">
              <wp:posOffset>757555</wp:posOffset>
            </wp:positionV>
            <wp:extent cx="6172200" cy="368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2200" cy="368300"/>
                    </a:xfrm>
                    <a:prstGeom prst="rect">
                      <a:avLst/>
                    </a:prstGeom>
                    <a:noFill/>
                  </pic:spPr>
                </pic:pic>
              </a:graphicData>
            </a:graphic>
          </wp:anchor>
        </w:drawing>
        <w:t>RESULTS OF OPERATIONS</w:t>
      </w:r>
    </w:p>
    <w:p>
      <w:pPr>
        <w:spacing w:after="0" w:line="200" w:lineRule="exact"/>
        <w:rPr>
          <w:sz w:val="20"/>
          <w:szCs w:val="20"/>
          <w:color w:val="auto"/>
        </w:rPr>
      </w:pPr>
    </w:p>
    <w:p>
      <w:pPr>
        <w:spacing w:after="0" w:line="22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We present the results of operations below first in accordance with GAAP. Following our discussion of earnings results on a GAAP basis, we present our results on a segment basis. We have three reportable operating segments as of December 31, 2025: Federal Education Loans, Consumer Lending and Other. Prior to the divestiture of our healthcare business in third-quarter 2024 and our government services business in first-quarter 2025, we had a fourth reportable operating segment, Business Processing. Our segments operate in distinct business environments and we manage and evaluate the financial performance of our segments using non-GAAP financial measures we call Core Earnings (see “Non-GAAP Financial Measures — Core Earnings”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6172200" cy="368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2200" cy="368935"/>
                    </a:xfrm>
                    <a:prstGeom prst="rect">
                      <a:avLst/>
                    </a:prstGeom>
                    <a:noFill/>
                  </pic:spPr>
                </pic:pic>
              </a:graphicData>
            </a:graphic>
          </wp:anchor>
        </w:drawing>
      </w:r>
    </w:p>
    <w:p>
      <w:pPr>
        <w:spacing w:after="0" w:line="32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GAAP INCOME STATEMENTS (UNAUDITED)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rPr>
              <w:t>December 31, 2025</w:t>
            </w:r>
          </w:p>
        </w:tc>
        <w:tc>
          <w:tcPr>
            <w:tcW w:w="100" w:type="dxa"/>
            <w:vAlign w:val="bottom"/>
          </w:tcPr>
          <w:p>
            <w:pPr>
              <w:spacing w:after="0"/>
              <w:rPr>
                <w:sz w:val="13"/>
                <w:szCs w:val="13"/>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vs.</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vs.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rPr>
              <w:t>September 30, 2025</w:t>
            </w:r>
          </w:p>
        </w:tc>
        <w:tc>
          <w:tcPr>
            <w:tcW w:w="100" w:type="dxa"/>
            <w:vAlign w:val="bottom"/>
          </w:tcPr>
          <w:p>
            <w:pPr>
              <w:spacing w:after="0"/>
              <w:rPr>
                <w:sz w:val="12"/>
                <w:szCs w:val="12"/>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rPr>
              <w:t>QUARTERS ENDED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left="229"/>
              <w:spacing w:after="0"/>
              <w:rPr>
                <w:sz w:val="20"/>
                <w:szCs w:val="20"/>
                <w:color w:val="auto"/>
              </w:rPr>
            </w:pPr>
            <w:r>
              <w:rPr>
                <w:rFonts w:ascii="Arial" w:cs="Arial" w:eastAsia="Arial" w:hAnsi="Arial"/>
                <w:sz w:val="13"/>
                <w:szCs w:val="13"/>
                <w:b w:val="1"/>
                <w:bCs w:val="1"/>
                <w:color w:val="auto"/>
              </w:rPr>
              <w:t>Increase</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left="249"/>
              <w:spacing w:after="0"/>
              <w:rPr>
                <w:sz w:val="20"/>
                <w:szCs w:val="20"/>
                <w:color w:val="auto"/>
              </w:rPr>
            </w:pPr>
            <w:r>
              <w:rPr>
                <w:rFonts w:ascii="Arial" w:cs="Arial" w:eastAsia="Arial" w:hAnsi="Arial"/>
                <w:sz w:val="13"/>
                <w:szCs w:val="13"/>
                <w:b w:val="1"/>
                <w:bCs w:val="1"/>
                <w:color w:val="auto"/>
              </w:rPr>
              <w:t>Increase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 except per share</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29"/>
              <w:spacing w:after="0"/>
              <w:rPr>
                <w:sz w:val="20"/>
                <w:szCs w:val="20"/>
                <w:color w:val="auto"/>
              </w:rPr>
            </w:pPr>
            <w:r>
              <w:rPr>
                <w:rFonts w:ascii="Arial" w:cs="Arial" w:eastAsia="Arial" w:hAnsi="Arial"/>
                <w:sz w:val="13"/>
                <w:szCs w:val="13"/>
                <w:b w:val="1"/>
                <w:bCs w:val="1"/>
                <w:color w:val="auto"/>
              </w:rPr>
              <w:t>(Decrease)</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249"/>
              <w:spacing w:after="0"/>
              <w:rPr>
                <w:sz w:val="20"/>
                <w:szCs w:val="20"/>
                <w:color w:val="auto"/>
              </w:rPr>
            </w:pPr>
            <w:r>
              <w:rPr>
                <w:rFonts w:ascii="Arial" w:cs="Arial" w:eastAsia="Arial" w:hAnsi="Arial"/>
                <w:sz w:val="13"/>
                <w:szCs w:val="13"/>
                <w:b w:val="1"/>
                <w:bCs w:val="1"/>
                <w:color w:val="auto"/>
              </w:rPr>
              <w:t>(Decrease)</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20" w:type="dxa"/>
            <w:vAlign w:val="bottom"/>
            <w:gridSpan w:val="3"/>
            <w:vMerge w:val="continue"/>
          </w:tcPr>
          <w:p>
            <w:pPr>
              <w:spacing w:after="0"/>
              <w:rPr>
                <w:sz w:val="11"/>
                <w:szCs w:val="11"/>
                <w:color w:val="auto"/>
              </w:rPr>
            </w:pPr>
          </w:p>
        </w:tc>
        <w:tc>
          <w:tcPr>
            <w:tcW w:w="1180" w:type="dxa"/>
            <w:vAlign w:val="bottom"/>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1"/>
                <w:szCs w:val="11"/>
                <w:color w:val="auto"/>
              </w:rPr>
            </w:pPr>
          </w:p>
        </w:tc>
        <w:tc>
          <w:tcPr>
            <w:tcW w:w="1020" w:type="dxa"/>
            <w:vAlign w:val="bottom"/>
          </w:tcPr>
          <w:p>
            <w:pPr>
              <w:jc w:val="right"/>
              <w:ind w:right="68"/>
              <w:spacing w:after="0" w:line="12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b w:val="1"/>
                <w:bCs w:val="1"/>
                <w:color w:val="auto"/>
              </w:rPr>
              <w:t>data)</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328"/>
              <w:spacing w:after="0" w:line="135" w:lineRule="exact"/>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368"/>
              <w:spacing w:after="0" w:line="135" w:lineRule="exact"/>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328"/>
              <w:spacing w:after="0" w:line="135"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229"/>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right"/>
              <w:ind w:right="228"/>
              <w:spacing w:after="0" w:line="135" w:lineRule="exact"/>
              <w:rPr>
                <w:sz w:val="20"/>
                <w:szCs w:val="20"/>
                <w:color w:val="auto"/>
              </w:rPr>
            </w:pPr>
            <w:r>
              <w:rPr>
                <w:rFonts w:ascii="Arial" w:cs="Arial" w:eastAsia="Arial" w:hAnsi="Arial"/>
                <w:sz w:val="13"/>
                <w:szCs w:val="13"/>
                <w:b w:val="1"/>
                <w:bCs w:val="1"/>
                <w:color w:val="auto"/>
                <w:w w:val="86"/>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229"/>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228"/>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Interest income:</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ind w:left="100"/>
              <w:spacing w:after="0"/>
              <w:rPr>
                <w:sz w:val="20"/>
                <w:szCs w:val="20"/>
                <w:color w:val="auto"/>
              </w:rPr>
            </w:pPr>
            <w:r>
              <w:rPr>
                <w:rFonts w:ascii="Arial" w:cs="Arial" w:eastAsia="Arial" w:hAnsi="Arial"/>
                <w:sz w:val="14"/>
                <w:szCs w:val="14"/>
                <w:color w:val="auto"/>
              </w:rPr>
              <w:t>FFELP Loans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484</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(40)</w:t>
            </w:r>
          </w:p>
        </w:tc>
        <w:tc>
          <w:tcPr>
            <w:tcW w:w="3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(93)</w:t>
            </w: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Private Education Loans</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2220" w:type="dxa"/>
            <w:vAlign w:val="bottom"/>
            <w:gridSpan w:val="3"/>
          </w:tcPr>
          <w:p>
            <w:pPr>
              <w:ind w:left="100"/>
              <w:spacing w:after="0"/>
              <w:rPr>
                <w:sz w:val="20"/>
                <w:szCs w:val="20"/>
                <w:color w:val="auto"/>
              </w:rPr>
            </w:pPr>
            <w:r>
              <w:rPr>
                <w:rFonts w:ascii="Arial" w:cs="Arial" w:eastAsia="Arial" w:hAnsi="Arial"/>
                <w:sz w:val="14"/>
                <w:szCs w:val="14"/>
                <w:color w:val="auto"/>
              </w:rPr>
              <w:t>Cash and investments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Total interest income</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862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(35)</w:t>
            </w:r>
          </w:p>
        </w:tc>
        <w:tc>
          <w:tcPr>
            <w:tcW w:w="3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(116)</w:t>
            </w:r>
          </w:p>
        </w:tc>
        <w:tc>
          <w:tcPr>
            <w:tcW w:w="2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220" w:type="dxa"/>
            <w:vAlign w:val="bottom"/>
            <w:gridSpan w:val="3"/>
          </w:tcPr>
          <w:p>
            <w:pPr>
              <w:spacing w:after="0"/>
              <w:rPr>
                <w:sz w:val="20"/>
                <w:szCs w:val="20"/>
                <w:color w:val="auto"/>
              </w:rPr>
            </w:pPr>
            <w:r>
              <w:rPr>
                <w:rFonts w:ascii="Arial" w:cs="Arial" w:eastAsia="Arial" w:hAnsi="Arial"/>
                <w:sz w:val="14"/>
                <w:szCs w:val="14"/>
                <w:color w:val="auto"/>
              </w:rPr>
              <w:t>Total interest expense</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(99)</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(24)</w:t>
            </w:r>
          </w:p>
        </w:tc>
        <w:tc>
          <w:tcPr>
            <w:tcW w:w="3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(17)</w:t>
            </w:r>
          </w:p>
        </w:tc>
        <w:tc>
          <w:tcPr>
            <w:tcW w:w="2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220" w:type="dxa"/>
            <w:vAlign w:val="bottom"/>
            <w:gridSpan w:val="3"/>
          </w:tcPr>
          <w:p>
            <w:pPr>
              <w:spacing w:after="0"/>
              <w:rPr>
                <w:sz w:val="20"/>
                <w:szCs w:val="20"/>
                <w:color w:val="auto"/>
              </w:rPr>
            </w:pPr>
            <w:r>
              <w:rPr>
                <w:rFonts w:ascii="Arial" w:cs="Arial" w:eastAsia="Arial" w:hAnsi="Arial"/>
                <w:sz w:val="14"/>
                <w:szCs w:val="14"/>
                <w:color w:val="auto"/>
              </w:rPr>
              <w:t>Less: provisions for loan losses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(124)</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6"/>
        </w:trPr>
        <w:tc>
          <w:tcPr>
            <w:tcW w:w="2220" w:type="dxa"/>
            <w:vAlign w:val="bottom"/>
            <w:gridSpan w:val="3"/>
            <w:shd w:val="clear" w:color="auto" w:fill="CFF0FC"/>
          </w:tcPr>
          <w:p>
            <w:pPr>
              <w:spacing w:after="0" w:line="147" w:lineRule="exact"/>
              <w:rPr>
                <w:sz w:val="20"/>
                <w:szCs w:val="20"/>
                <w:color w:val="auto"/>
              </w:rPr>
            </w:pPr>
            <w:r>
              <w:rPr>
                <w:rFonts w:ascii="Arial" w:cs="Arial" w:eastAsia="Arial" w:hAnsi="Arial"/>
                <w:sz w:val="14"/>
                <w:szCs w:val="14"/>
                <w:color w:val="auto"/>
              </w:rPr>
              <w:t>Net interest income (loss) after</w:t>
            </w:r>
          </w:p>
        </w:tc>
        <w:tc>
          <w:tcPr>
            <w:tcW w:w="22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provisions for loan losses</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2220" w:type="dxa"/>
            <w:vAlign w:val="bottom"/>
            <w:gridSpan w:val="3"/>
          </w:tcPr>
          <w:p>
            <w:pPr>
              <w:spacing w:after="0"/>
              <w:rPr>
                <w:sz w:val="20"/>
                <w:szCs w:val="20"/>
                <w:color w:val="auto"/>
              </w:rPr>
            </w:pPr>
            <w:r>
              <w:rPr>
                <w:rFonts w:ascii="Arial" w:cs="Arial" w:eastAsia="Arial" w:hAnsi="Arial"/>
                <w:sz w:val="14"/>
                <w:szCs w:val="14"/>
                <w:color w:val="auto"/>
              </w:rPr>
              <w:t>Other income (loss):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Servicing revenue</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(2)</w:t>
            </w:r>
          </w:p>
        </w:tc>
        <w:tc>
          <w:tcPr>
            <w:tcW w:w="3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Asset recovery and business</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gridSpan w:val="3"/>
          </w:tcPr>
          <w:p>
            <w:pPr>
              <w:ind w:left="260"/>
              <w:spacing w:after="0"/>
              <w:rPr>
                <w:sz w:val="20"/>
                <w:szCs w:val="20"/>
                <w:color w:val="auto"/>
              </w:rPr>
            </w:pPr>
            <w:r>
              <w:rPr>
                <w:rFonts w:ascii="Arial" w:cs="Arial" w:eastAsia="Arial" w:hAnsi="Arial"/>
                <w:sz w:val="14"/>
                <w:szCs w:val="14"/>
                <w:color w:val="auto"/>
              </w:rPr>
              <w:t>processing revenue</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(43)</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(6)</w:t>
            </w:r>
          </w:p>
        </w:tc>
        <w:tc>
          <w:tcPr>
            <w:tcW w:w="3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3"/>
        </w:trPr>
        <w:tc>
          <w:tcPr>
            <w:tcW w:w="22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Gain (loss) on sale of</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gridSpan w:val="3"/>
          </w:tcPr>
          <w:p>
            <w:pPr>
              <w:ind w:left="220"/>
              <w:spacing w:after="0"/>
              <w:rPr>
                <w:sz w:val="20"/>
                <w:szCs w:val="20"/>
                <w:color w:val="auto"/>
              </w:rPr>
            </w:pPr>
            <w:r>
              <w:rPr>
                <w:rFonts w:ascii="Arial" w:cs="Arial" w:eastAsia="Arial" w:hAnsi="Arial"/>
                <w:sz w:val="14"/>
                <w:szCs w:val="14"/>
                <w:color w:val="auto"/>
              </w:rPr>
              <w:t>subsidiaries</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3"/>
        </w:trPr>
        <w:tc>
          <w:tcPr>
            <w:tcW w:w="2220" w:type="dxa"/>
            <w:vAlign w:val="bottom"/>
            <w:gridSpan w:val="3"/>
            <w:shd w:val="clear" w:color="auto" w:fill="CFF0FC"/>
          </w:tcPr>
          <w:p>
            <w:pPr>
              <w:ind w:left="100"/>
              <w:spacing w:after="0" w:line="153" w:lineRule="exact"/>
              <w:rPr>
                <w:sz w:val="20"/>
                <w:szCs w:val="20"/>
                <w:color w:val="auto"/>
              </w:rPr>
            </w:pPr>
            <w:r>
              <w:rPr>
                <w:rFonts w:ascii="Arial" w:cs="Arial" w:eastAsia="Arial" w:hAnsi="Arial"/>
                <w:sz w:val="14"/>
                <w:szCs w:val="14"/>
                <w:color w:val="auto"/>
              </w:rPr>
              <w:t>Gains (losses) on derivative</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and</w:t>
            </w:r>
          </w:p>
        </w:tc>
        <w:tc>
          <w:tcPr>
            <w:tcW w:w="2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73"/>
              <w:spacing w:after="0"/>
              <w:rPr>
                <w:sz w:val="20"/>
                <w:szCs w:val="20"/>
                <w:color w:val="auto"/>
              </w:rPr>
            </w:pPr>
            <w:r>
              <w:rPr>
                <w:rFonts w:ascii="Arial" w:cs="Arial" w:eastAsia="Arial" w:hAnsi="Arial"/>
                <w:sz w:val="14"/>
                <w:szCs w:val="14"/>
                <w:color w:val="auto"/>
              </w:rPr>
              <w:t>(55)</w:t>
            </w:r>
          </w:p>
        </w:tc>
        <w:tc>
          <w:tcPr>
            <w:tcW w:w="280" w:type="dxa"/>
            <w:vAlign w:val="bottom"/>
            <w:shd w:val="clear" w:color="auto" w:fill="CFF0FC"/>
          </w:tcPr>
          <w:p>
            <w:pPr>
              <w:spacing w:after="0"/>
              <w:rPr>
                <w:sz w:val="14"/>
                <w:szCs w:val="14"/>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58"/>
        </w:trPr>
        <w:tc>
          <w:tcPr>
            <w:tcW w:w="2220" w:type="dxa"/>
            <w:vAlign w:val="bottom"/>
            <w:gridSpan w:val="3"/>
            <w:shd w:val="clear" w:color="auto" w:fill="CFF0FC"/>
          </w:tcPr>
          <w:p>
            <w:pPr>
              <w:ind w:left="260"/>
              <w:spacing w:after="0" w:line="158" w:lineRule="exact"/>
              <w:rPr>
                <w:sz w:val="20"/>
                <w:szCs w:val="20"/>
                <w:color w:val="auto"/>
              </w:rPr>
            </w:pPr>
            <w:r>
              <w:rPr>
                <w:rFonts w:ascii="Arial" w:cs="Arial" w:eastAsia="Arial" w:hAnsi="Arial"/>
                <w:sz w:val="14"/>
                <w:szCs w:val="14"/>
                <w:color w:val="auto"/>
              </w:rPr>
              <w:t>hedging activities, net</w:t>
            </w:r>
          </w:p>
        </w:tc>
        <w:tc>
          <w:tcPr>
            <w:tcW w:w="22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20" w:type="dxa"/>
            <w:vAlign w:val="bottom"/>
            <w:gridSpan w:val="3"/>
          </w:tcPr>
          <w:p>
            <w:pPr>
              <w:spacing w:after="0" w:line="155" w:lineRule="exact"/>
              <w:rPr>
                <w:sz w:val="20"/>
                <w:szCs w:val="20"/>
                <w:color w:val="auto"/>
              </w:rPr>
            </w:pPr>
            <w:r>
              <w:rPr>
                <w:rFonts w:ascii="Arial" w:cs="Arial" w:eastAsia="Arial" w:hAnsi="Arial"/>
                <w:sz w:val="14"/>
                <w:szCs w:val="14"/>
                <w:color w:val="auto"/>
              </w:rPr>
              <w:t>Total other income</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88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73"/>
              <w:spacing w:after="0" w:line="155" w:lineRule="exact"/>
              <w:rPr>
                <w:sz w:val="20"/>
                <w:szCs w:val="20"/>
                <w:color w:val="auto"/>
              </w:rPr>
            </w:pPr>
            <w:r>
              <w:rPr>
                <w:rFonts w:ascii="Arial" w:cs="Arial" w:eastAsia="Arial" w:hAnsi="Arial"/>
                <w:sz w:val="14"/>
                <w:szCs w:val="14"/>
                <w:color w:val="auto"/>
              </w:rPr>
              <w:t>(69)</w:t>
            </w:r>
          </w:p>
        </w:tc>
        <w:tc>
          <w:tcPr>
            <w:tcW w:w="280" w:type="dxa"/>
            <w:vAlign w:val="bottom"/>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Expenses:</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ind w:left="1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(58)</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3"/>
        </w:trPr>
        <w:tc>
          <w:tcPr>
            <w:tcW w:w="2220" w:type="dxa"/>
            <w:vAlign w:val="bottom"/>
            <w:gridSpan w:val="3"/>
            <w:shd w:val="clear" w:color="auto" w:fill="CFF0FC"/>
          </w:tcPr>
          <w:p>
            <w:pPr>
              <w:ind w:left="120"/>
              <w:spacing w:after="0" w:line="153" w:lineRule="exact"/>
              <w:rPr>
                <w:sz w:val="20"/>
                <w:szCs w:val="20"/>
                <w:color w:val="auto"/>
              </w:rPr>
            </w:pPr>
            <w:r>
              <w:rPr>
                <w:rFonts w:ascii="Arial" w:cs="Arial" w:eastAsia="Arial" w:hAnsi="Arial"/>
                <w:sz w:val="14"/>
                <w:szCs w:val="14"/>
                <w:color w:val="auto"/>
              </w:rPr>
              <w:t>Goodwill and acquired</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intangible asset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impairment and</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amortization expense</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20" w:type="dxa"/>
            <w:vAlign w:val="bottom"/>
            <w:gridSpan w:val="3"/>
          </w:tcPr>
          <w:p>
            <w:pPr>
              <w:ind w:left="120"/>
              <w:spacing w:after="0" w:line="153" w:lineRule="exact"/>
              <w:rPr>
                <w:sz w:val="20"/>
                <w:szCs w:val="20"/>
                <w:color w:val="auto"/>
              </w:rPr>
            </w:pPr>
            <w:r>
              <w:rPr>
                <w:rFonts w:ascii="Arial" w:cs="Arial" w:eastAsia="Arial" w:hAnsi="Arial"/>
                <w:sz w:val="14"/>
                <w:szCs w:val="14"/>
                <w:color w:val="auto"/>
              </w:rPr>
              <w:t>Restructuring/other</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reorganization expenses</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Total expenses</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(9)</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(52)</w:t>
            </w:r>
          </w:p>
        </w:tc>
        <w:tc>
          <w:tcPr>
            <w:tcW w:w="2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6"/>
        </w:trPr>
        <w:tc>
          <w:tcPr>
            <w:tcW w:w="2220" w:type="dxa"/>
            <w:vAlign w:val="bottom"/>
            <w:tcBorders>
              <w:top w:val="single" w:sz="8" w:color="CFF0FC"/>
            </w:tcBorders>
            <w:gridSpan w:val="3"/>
          </w:tcPr>
          <w:p>
            <w:pPr>
              <w:spacing w:after="0" w:line="147" w:lineRule="exact"/>
              <w:rPr>
                <w:sz w:val="20"/>
                <w:szCs w:val="20"/>
                <w:color w:val="auto"/>
              </w:rPr>
            </w:pPr>
            <w:r>
              <w:rPr>
                <w:rFonts w:ascii="Arial" w:cs="Arial" w:eastAsia="Arial" w:hAnsi="Arial"/>
                <w:sz w:val="14"/>
                <w:szCs w:val="14"/>
                <w:color w:val="auto"/>
              </w:rPr>
              <w:t>Income (loss) before income tax</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3"/>
          </w:tcPr>
          <w:p>
            <w:pPr>
              <w:ind w:left="120"/>
              <w:spacing w:after="0"/>
              <w:rPr>
                <w:sz w:val="20"/>
                <w:szCs w:val="20"/>
                <w:color w:val="auto"/>
              </w:rPr>
            </w:pPr>
            <w:r>
              <w:rPr>
                <w:rFonts w:ascii="Arial" w:cs="Arial" w:eastAsia="Arial" w:hAnsi="Arial"/>
                <w:sz w:val="14"/>
                <w:szCs w:val="14"/>
                <w:color w:val="auto"/>
              </w:rPr>
              <w:t>expense (benefit)</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4"/>
                <w:szCs w:val="14"/>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4"/>
                <w:szCs w:val="14"/>
                <w:color w:val="auto"/>
              </w:rPr>
              <w:t>(33)</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32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220" w:type="dxa"/>
            <w:vAlign w:val="bottom"/>
          </w:tcPr>
          <w:p>
            <w:pPr>
              <w:jc w:val="right"/>
              <w:ind w:right="69"/>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73"/>
              <w:spacing w:after="0" w:line="155" w:lineRule="exact"/>
              <w:rPr>
                <w:sz w:val="20"/>
                <w:szCs w:val="20"/>
                <w:color w:val="auto"/>
              </w:rPr>
            </w:pPr>
            <w:r>
              <w:rPr>
                <w:rFonts w:ascii="Arial" w:cs="Arial" w:eastAsia="Arial" w:hAnsi="Arial"/>
                <w:sz w:val="14"/>
                <w:szCs w:val="14"/>
                <w:color w:val="auto"/>
              </w:rPr>
              <w:t>(29)</w:t>
            </w:r>
          </w:p>
        </w:tc>
        <w:tc>
          <w:tcPr>
            <w:tcW w:w="28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2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Basic earnings (loss) per</w:t>
            </w:r>
          </w:p>
        </w:tc>
        <w:tc>
          <w:tcPr>
            <w:tcW w:w="220" w:type="dxa"/>
            <w:vAlign w:val="bottom"/>
            <w:vMerge w:val="restart"/>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20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(93)%</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1"/>
        </w:trPr>
        <w:tc>
          <w:tcPr>
            <w:tcW w:w="2220" w:type="dxa"/>
            <w:vAlign w:val="bottom"/>
            <w:gridSpan w:val="3"/>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common share</w:t>
            </w:r>
          </w:p>
        </w:tc>
        <w:tc>
          <w:tcPr>
            <w:tcW w:w="220" w:type="dxa"/>
            <w:vAlign w:val="bottom"/>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Diluted earnings (loss) per</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1"/>
        </w:trPr>
        <w:tc>
          <w:tcPr>
            <w:tcW w:w="2220" w:type="dxa"/>
            <w:vAlign w:val="bottom"/>
            <w:gridSpan w:val="3"/>
          </w:tcPr>
          <w:p>
            <w:pPr>
              <w:ind w:left="120"/>
              <w:spacing w:after="0" w:line="125" w:lineRule="exact"/>
              <w:rPr>
                <w:sz w:val="20"/>
                <w:szCs w:val="20"/>
                <w:color w:val="auto"/>
              </w:rPr>
            </w:pPr>
            <w:r>
              <w:rPr>
                <w:rFonts w:ascii="Arial" w:cs="Arial" w:eastAsia="Arial" w:hAnsi="Arial"/>
                <w:sz w:val="14"/>
                <w:szCs w:val="14"/>
                <w:b w:val="1"/>
                <w:bCs w:val="1"/>
                <w:color w:val="auto"/>
              </w:rPr>
              <w:t>common share</w:t>
            </w:r>
          </w:p>
        </w:tc>
        <w:tc>
          <w:tcPr>
            <w:tcW w:w="2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gridSpan w:val="3"/>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Dividends per common share</w:t>
            </w:r>
          </w:p>
        </w:tc>
        <w:tc>
          <w:tcPr>
            <w:tcW w:w="220" w:type="dxa"/>
            <w:vAlign w:val="bottom"/>
            <w:shd w:val="clear" w:color="auto" w:fill="CFF0FC"/>
          </w:tcPr>
          <w:p>
            <w:pPr>
              <w:jc w:val="right"/>
              <w:ind w:right="69"/>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3"/>
            <w:shd w:val="clear" w:color="auto" w:fill="CFF0FC"/>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-2030730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-2030730</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-2030730</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-2030730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-2030730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-2030730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-2030730</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-993775</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-993775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-993775</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-993775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-993775</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-993775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-993775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-676275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-676275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-676275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-676275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-676275</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-676275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-676275</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-359410</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-342265</wp:posOffset>
            </wp:positionV>
            <wp:extent cx="59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-359410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-342265</wp:posOffset>
            </wp:positionV>
            <wp:extent cx="59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-359410</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-342265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-359410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-342265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-359410</wp:posOffset>
            </wp:positionV>
            <wp:extent cx="120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-342265</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-359410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-342265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-359410</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-342265</wp:posOffset>
            </wp:positionV>
            <wp:extent cx="1200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-24765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-7620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-24765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-7620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-24765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-7620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-24765</wp:posOffset>
            </wp:positionV>
            <wp:extent cx="1200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-7620</wp:posOffset>
            </wp:positionV>
            <wp:extent cx="120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-24765</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-7620</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67" w:right="10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YEARS ENDED</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3"/>
          </w:tcPr>
          <w:p>
            <w:pPr>
              <w:jc w:val="center"/>
              <w:ind w:left="489"/>
              <w:spacing w:after="0"/>
              <w:rPr>
                <w:sz w:val="20"/>
                <w:szCs w:val="20"/>
                <w:color w:val="auto"/>
              </w:rPr>
            </w:pPr>
            <w:r>
              <w:rPr>
                <w:rFonts w:ascii="Arial" w:cs="Arial" w:eastAsia="Arial" w:hAnsi="Arial"/>
                <w:sz w:val="13"/>
                <w:szCs w:val="13"/>
                <w:b w:val="1"/>
                <w:bCs w:val="1"/>
                <w:color w:val="auto"/>
              </w:rPr>
              <w:t>Increase</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469"/>
              <w:spacing w:after="0"/>
              <w:rPr>
                <w:sz w:val="20"/>
                <w:szCs w:val="20"/>
                <w:color w:val="auto"/>
              </w:rPr>
            </w:pPr>
            <w:r>
              <w:rPr>
                <w:rFonts w:ascii="Arial" w:cs="Arial" w:eastAsia="Arial" w:hAnsi="Arial"/>
                <w:sz w:val="13"/>
                <w:szCs w:val="13"/>
                <w:b w:val="1"/>
                <w:bCs w:val="1"/>
                <w:color w:val="auto"/>
              </w:rPr>
              <w:t>(Decrease)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29"/>
              <w:spacing w:after="0" w:line="142" w:lineRule="exact"/>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ind w:right="328"/>
              <w:spacing w:after="0" w:line="142" w:lineRule="exact"/>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ind w:right="529"/>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ind w:right="528"/>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22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Interest income:</w:t>
            </w:r>
          </w:p>
        </w:tc>
        <w:tc>
          <w:tcPr>
            <w:tcW w:w="176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tcPr>
          <w:p>
            <w:pPr>
              <w:ind w:left="100"/>
              <w:spacing w:after="0"/>
              <w:rPr>
                <w:sz w:val="20"/>
                <w:szCs w:val="20"/>
                <w:color w:val="auto"/>
              </w:rPr>
            </w:pPr>
            <w:r>
              <w:rPr>
                <w:rFonts w:ascii="Arial" w:cs="Arial" w:eastAsia="Arial" w:hAnsi="Arial"/>
                <w:sz w:val="14"/>
                <w:szCs w:val="14"/>
                <w:color w:val="auto"/>
              </w:rPr>
              <w:t>FFELP Loans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1,903</w:t>
            </w:r>
          </w:p>
        </w:tc>
        <w:tc>
          <w:tcPr>
            <w:tcW w:w="280" w:type="dxa"/>
            <w:vAlign w:val="bottom"/>
          </w:tcPr>
          <w:p>
            <w:pPr>
              <w:spacing w:after="0"/>
              <w:rPr>
                <w:sz w:val="14"/>
                <w:szCs w:val="1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2,396</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(493)</w:t>
            </w:r>
          </w:p>
        </w:tc>
        <w:tc>
          <w:tcPr>
            <w:tcW w:w="4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Private Education Loans</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1,259</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(137)</w:t>
            </w:r>
          </w:p>
        </w:tc>
        <w:tc>
          <w:tcPr>
            <w:tcW w:w="4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(11)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tcPr>
          <w:p>
            <w:pPr>
              <w:ind w:left="100"/>
              <w:spacing w:after="0"/>
              <w:rPr>
                <w:sz w:val="20"/>
                <w:szCs w:val="20"/>
                <w:color w:val="auto"/>
              </w:rPr>
            </w:pPr>
            <w:r>
              <w:rPr>
                <w:rFonts w:ascii="Arial" w:cs="Arial" w:eastAsia="Arial" w:hAnsi="Arial"/>
                <w:sz w:val="14"/>
                <w:szCs w:val="14"/>
                <w:color w:val="auto"/>
              </w:rPr>
              <w:t>Cash and investments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(71)</w:t>
            </w:r>
          </w:p>
        </w:tc>
        <w:tc>
          <w:tcPr>
            <w:tcW w:w="420" w:type="dxa"/>
            <w:vAlign w:val="bottom"/>
          </w:tcPr>
          <w:p>
            <w:pPr>
              <w:spacing w:after="0"/>
              <w:rPr>
                <w:sz w:val="14"/>
                <w:szCs w:val="14"/>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4"/>
                <w:szCs w:val="14"/>
                <w:color w:val="auto"/>
              </w:rPr>
              <w:t>(46)</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 w:type="dxa"/>
            <w:vAlign w:val="bottom"/>
          </w:tcPr>
          <w:p>
            <w:pPr>
              <w:spacing w:after="0"/>
              <w:rPr>
                <w:sz w:val="13"/>
                <w:szCs w:val="13"/>
                <w:color w:val="auto"/>
              </w:rPr>
            </w:pPr>
          </w:p>
        </w:tc>
        <w:tc>
          <w:tcPr>
            <w:tcW w:w="39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interest income</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3,108</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3,809</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(701)</w:t>
            </w:r>
          </w:p>
        </w:tc>
        <w:tc>
          <w:tcPr>
            <w:tcW w:w="4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(18)</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Total interest expense</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2,589</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3,273</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(684)</w:t>
            </w:r>
          </w:p>
        </w:tc>
        <w:tc>
          <w:tcPr>
            <w:tcW w:w="420" w:type="dxa"/>
            <w:vAlign w:val="bottom"/>
          </w:tcPr>
          <w:p>
            <w:pPr>
              <w:spacing w:after="0"/>
              <w:rPr>
                <w:sz w:val="14"/>
                <w:szCs w:val="14"/>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4"/>
                <w:szCs w:val="14"/>
                <w:color w:val="auto"/>
              </w:rPr>
              <w:t>(21)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 w:type="dxa"/>
            <w:vAlign w:val="bottom"/>
          </w:tcPr>
          <w:p>
            <w:pPr>
              <w:spacing w:after="0"/>
              <w:rPr>
                <w:sz w:val="13"/>
                <w:szCs w:val="13"/>
                <w:color w:val="auto"/>
              </w:rPr>
            </w:pPr>
          </w:p>
        </w:tc>
        <w:tc>
          <w:tcPr>
            <w:tcW w:w="39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519</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536</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(17)</w:t>
            </w:r>
          </w:p>
        </w:tc>
        <w:tc>
          <w:tcPr>
            <w:tcW w:w="4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(3)</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Less: provisions for loan losses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3980" w:type="dxa"/>
            <w:vAlign w:val="bottom"/>
            <w:gridSpan w:val="2"/>
            <w:shd w:val="clear" w:color="auto" w:fill="CFF0FC"/>
          </w:tcPr>
          <w:p>
            <w:pPr>
              <w:spacing w:after="0" w:line="147" w:lineRule="exact"/>
              <w:rPr>
                <w:sz w:val="20"/>
                <w:szCs w:val="20"/>
                <w:color w:val="auto"/>
              </w:rPr>
            </w:pPr>
            <w:r>
              <w:rPr>
                <w:rFonts w:ascii="Arial" w:cs="Arial" w:eastAsia="Arial" w:hAnsi="Arial"/>
                <w:sz w:val="14"/>
                <w:szCs w:val="14"/>
                <w:color w:val="auto"/>
              </w:rPr>
              <w:t>Net interest income after</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9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provisions for loan losses</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(184)</w:t>
            </w:r>
          </w:p>
        </w:tc>
        <w:tc>
          <w:tcPr>
            <w:tcW w:w="4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(43)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Other income (loss):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Servicing revenue</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w:t>
            </w:r>
          </w:p>
        </w:tc>
        <w:tc>
          <w:tcPr>
            <w:tcW w:w="4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(6)</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398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Asset recovery and business</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980" w:type="dxa"/>
            <w:vAlign w:val="bottom"/>
            <w:gridSpan w:val="2"/>
          </w:tcPr>
          <w:p>
            <w:pPr>
              <w:ind w:left="260"/>
              <w:spacing w:after="0"/>
              <w:rPr>
                <w:sz w:val="20"/>
                <w:szCs w:val="20"/>
                <w:color w:val="auto"/>
              </w:rPr>
            </w:pPr>
            <w:r>
              <w:rPr>
                <w:rFonts w:ascii="Arial" w:cs="Arial" w:eastAsia="Arial" w:hAnsi="Arial"/>
                <w:sz w:val="14"/>
                <w:szCs w:val="14"/>
                <w:color w:val="auto"/>
              </w:rPr>
              <w:t>processing revenue</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(248)</w:t>
            </w:r>
          </w:p>
        </w:tc>
        <w:tc>
          <w:tcPr>
            <w:tcW w:w="420" w:type="dxa"/>
            <w:vAlign w:val="bottom"/>
          </w:tcPr>
          <w:p>
            <w:pPr>
              <w:spacing w:after="0"/>
              <w:rPr>
                <w:sz w:val="14"/>
                <w:szCs w:val="14"/>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4"/>
                <w:szCs w:val="14"/>
                <w:color w:val="auto"/>
              </w:rPr>
              <w:t>(92)</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8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tcPr>
          <w:p>
            <w:pPr>
              <w:ind w:left="100"/>
              <w:spacing w:after="0"/>
              <w:rPr>
                <w:sz w:val="20"/>
                <w:szCs w:val="20"/>
                <w:color w:val="auto"/>
              </w:rPr>
            </w:pPr>
            <w:r>
              <w:rPr>
                <w:rFonts w:ascii="Arial" w:cs="Arial" w:eastAsia="Arial" w:hAnsi="Arial"/>
                <w:sz w:val="14"/>
                <w:szCs w:val="14"/>
                <w:color w:val="auto"/>
              </w:rPr>
              <w:t>Gain (loss) on sale of subsidiaries</w:t>
            </w:r>
          </w:p>
        </w:tc>
        <w:tc>
          <w:tcPr>
            <w:tcW w:w="2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(191)</w:t>
            </w:r>
          </w:p>
        </w:tc>
        <w:tc>
          <w:tcPr>
            <w:tcW w:w="420" w:type="dxa"/>
            <w:vAlign w:val="bottom"/>
          </w:tcPr>
          <w:p>
            <w:pPr>
              <w:spacing w:after="0"/>
              <w:rPr>
                <w:sz w:val="14"/>
                <w:szCs w:val="14"/>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4"/>
                <w:szCs w:val="14"/>
                <w:color w:val="auto"/>
              </w:rPr>
              <w:t>(100)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3980" w:type="dxa"/>
            <w:vAlign w:val="bottom"/>
            <w:gridSpan w:val="2"/>
            <w:shd w:val="clear" w:color="auto" w:fill="CFF0FC"/>
          </w:tcPr>
          <w:p>
            <w:pPr>
              <w:ind w:left="100"/>
              <w:spacing w:after="0" w:line="153" w:lineRule="exact"/>
              <w:rPr>
                <w:sz w:val="20"/>
                <w:szCs w:val="20"/>
                <w:color w:val="auto"/>
              </w:rPr>
            </w:pPr>
            <w:r>
              <w:rPr>
                <w:rFonts w:ascii="Arial" w:cs="Arial" w:eastAsia="Arial" w:hAnsi="Arial"/>
                <w:sz w:val="14"/>
                <w:szCs w:val="14"/>
                <w:color w:val="auto"/>
              </w:rPr>
              <w:t>Gains (losses) on derivative and</w:t>
            </w:r>
          </w:p>
        </w:tc>
        <w:tc>
          <w:tcPr>
            <w:tcW w:w="22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(30)</w:t>
            </w:r>
          </w:p>
        </w:tc>
        <w:tc>
          <w:tcPr>
            <w:tcW w:w="38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(100)</w:t>
            </w:r>
          </w:p>
        </w:tc>
        <w:tc>
          <w:tcPr>
            <w:tcW w:w="42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59"/>
              <w:spacing w:after="0"/>
              <w:rPr>
                <w:sz w:val="20"/>
                <w:szCs w:val="20"/>
                <w:color w:val="auto"/>
              </w:rPr>
            </w:pPr>
            <w:r>
              <w:rPr>
                <w:rFonts w:ascii="Arial" w:cs="Arial" w:eastAsia="Arial" w:hAnsi="Arial"/>
                <w:sz w:val="14"/>
                <w:szCs w:val="14"/>
                <w:color w:val="auto"/>
              </w:rPr>
              <w:t>(143)</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3980" w:type="dxa"/>
            <w:vAlign w:val="bottom"/>
            <w:gridSpan w:val="2"/>
            <w:shd w:val="clear" w:color="auto" w:fill="CFF0FC"/>
          </w:tcPr>
          <w:p>
            <w:pPr>
              <w:ind w:left="260"/>
              <w:spacing w:after="0" w:line="158" w:lineRule="exact"/>
              <w:rPr>
                <w:sz w:val="20"/>
                <w:szCs w:val="20"/>
                <w:color w:val="auto"/>
              </w:rPr>
            </w:pPr>
            <w:r>
              <w:rPr>
                <w:rFonts w:ascii="Arial" w:cs="Arial" w:eastAsia="Arial" w:hAnsi="Arial"/>
                <w:sz w:val="14"/>
                <w:szCs w:val="14"/>
                <w:color w:val="auto"/>
              </w:rPr>
              <w:t>hedging activities, net</w:t>
            </w:r>
          </w:p>
        </w:tc>
        <w:tc>
          <w:tcPr>
            <w:tcW w:w="220" w:type="dxa"/>
            <w:vAlign w:val="bottom"/>
            <w:shd w:val="clear" w:color="auto" w:fill="CFF0FC"/>
          </w:tcPr>
          <w:p>
            <w:pPr>
              <w:spacing w:after="0"/>
              <w:rPr>
                <w:sz w:val="13"/>
                <w:szCs w:val="13"/>
                <w:color w:val="auto"/>
              </w:rPr>
            </w:pPr>
          </w:p>
        </w:tc>
        <w:tc>
          <w:tcPr>
            <w:tcW w:w="1140" w:type="dxa"/>
            <w:vAlign w:val="bottom"/>
            <w:gridSpan w:val="2"/>
            <w:vMerge w:val="continue"/>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gridSpan w:val="2"/>
            <w:vMerge w:val="continue"/>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gridSpan w:val="2"/>
            <w:vMerge w:val="continue"/>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980" w:type="dxa"/>
            <w:vAlign w:val="bottom"/>
            <w:gridSpan w:val="2"/>
          </w:tcPr>
          <w:p>
            <w:pPr>
              <w:spacing w:after="0" w:line="155" w:lineRule="exact"/>
              <w:rPr>
                <w:sz w:val="20"/>
                <w:szCs w:val="20"/>
                <w:color w:val="auto"/>
              </w:rPr>
            </w:pPr>
            <w:r>
              <w:rPr>
                <w:rFonts w:ascii="Arial" w:cs="Arial" w:eastAsia="Arial" w:hAnsi="Arial"/>
                <w:sz w:val="14"/>
                <w:szCs w:val="14"/>
                <w:color w:val="auto"/>
              </w:rPr>
              <w:t>Total other income</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91</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616</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(525)</w:t>
            </w:r>
          </w:p>
        </w:tc>
        <w:tc>
          <w:tcPr>
            <w:tcW w:w="420" w:type="dxa"/>
            <w:vAlign w:val="bottom"/>
          </w:tcPr>
          <w:p>
            <w:pPr>
              <w:spacing w:after="0"/>
              <w:rPr>
                <w:sz w:val="13"/>
                <w:szCs w:val="13"/>
                <w:color w:val="auto"/>
              </w:rPr>
            </w:pPr>
          </w:p>
        </w:tc>
        <w:tc>
          <w:tcPr>
            <w:tcW w:w="1080" w:type="dxa"/>
            <w:vAlign w:val="bottom"/>
            <w:gridSpan w:val="2"/>
          </w:tcPr>
          <w:p>
            <w:pPr>
              <w:jc w:val="right"/>
              <w:ind w:right="59"/>
              <w:spacing w:after="0" w:line="155" w:lineRule="exact"/>
              <w:rPr>
                <w:sz w:val="20"/>
                <w:szCs w:val="20"/>
                <w:color w:val="auto"/>
              </w:rPr>
            </w:pPr>
            <w:r>
              <w:rPr>
                <w:rFonts w:ascii="Arial" w:cs="Arial" w:eastAsia="Arial" w:hAnsi="Arial"/>
                <w:sz w:val="14"/>
                <w:szCs w:val="14"/>
                <w:color w:val="auto"/>
              </w:rPr>
              <w:t>(85)</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Expenses:</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(259)</w:t>
            </w:r>
          </w:p>
        </w:tc>
        <w:tc>
          <w:tcPr>
            <w:tcW w:w="420" w:type="dxa"/>
            <w:vAlign w:val="bottom"/>
          </w:tcPr>
          <w:p>
            <w:pPr>
              <w:spacing w:after="0"/>
              <w:rPr>
                <w:sz w:val="14"/>
                <w:szCs w:val="14"/>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4"/>
                <w:szCs w:val="14"/>
                <w:color w:val="auto"/>
              </w:rPr>
              <w:t>(38)</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3980" w:type="dxa"/>
            <w:vAlign w:val="bottom"/>
            <w:gridSpan w:val="2"/>
            <w:shd w:val="clear" w:color="auto" w:fill="CFF0FC"/>
          </w:tcPr>
          <w:p>
            <w:pPr>
              <w:ind w:left="120"/>
              <w:spacing w:after="0" w:line="153" w:lineRule="exact"/>
              <w:rPr>
                <w:sz w:val="20"/>
                <w:szCs w:val="20"/>
                <w:color w:val="auto"/>
              </w:rPr>
            </w:pPr>
            <w:r>
              <w:rPr>
                <w:rFonts w:ascii="Arial" w:cs="Arial" w:eastAsia="Arial" w:hAnsi="Arial"/>
                <w:sz w:val="14"/>
                <w:szCs w:val="14"/>
                <w:color w:val="auto"/>
              </w:rPr>
              <w:t>Goodwill and acquired intangible</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asset impairment and</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amortization expense</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(143)</w:t>
            </w:r>
          </w:p>
        </w:tc>
        <w:tc>
          <w:tcPr>
            <w:tcW w:w="4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(98)</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398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Restructuring/other</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(22)</w:t>
            </w:r>
          </w:p>
        </w:tc>
        <w:tc>
          <w:tcPr>
            <w:tcW w:w="420" w:type="dxa"/>
            <w:vAlign w:val="bottom"/>
          </w:tcPr>
          <w:p>
            <w:pPr>
              <w:spacing w:after="0"/>
              <w:rPr>
                <w:sz w:val="13"/>
                <w:szCs w:val="13"/>
                <w:color w:val="auto"/>
              </w:rPr>
            </w:pPr>
          </w:p>
        </w:tc>
        <w:tc>
          <w:tcPr>
            <w:tcW w:w="1080" w:type="dxa"/>
            <w:vAlign w:val="bottom"/>
            <w:gridSpan w:val="2"/>
            <w:vMerge w:val="restart"/>
          </w:tcPr>
          <w:p>
            <w:pPr>
              <w:jc w:val="right"/>
              <w:ind w:right="59"/>
              <w:spacing w:after="0"/>
              <w:rPr>
                <w:sz w:val="20"/>
                <w:szCs w:val="20"/>
                <w:color w:val="auto"/>
              </w:rPr>
            </w:pPr>
            <w:r>
              <w:rPr>
                <w:rFonts w:ascii="Arial" w:cs="Arial" w:eastAsia="Arial" w:hAnsi="Arial"/>
                <w:sz w:val="14"/>
                <w:szCs w:val="14"/>
                <w:color w:val="auto"/>
              </w:rPr>
              <w:t>(56)</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398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reorganization expenses</w:t>
            </w: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9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expenses</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441</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865</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(424)</w:t>
            </w:r>
          </w:p>
        </w:tc>
        <w:tc>
          <w:tcPr>
            <w:tcW w:w="4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(49)</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980" w:type="dxa"/>
            <w:vAlign w:val="bottom"/>
            <w:gridSpan w:val="2"/>
          </w:tcPr>
          <w:p>
            <w:pPr>
              <w:spacing w:after="0" w:line="155" w:lineRule="exact"/>
              <w:rPr>
                <w:sz w:val="20"/>
                <w:szCs w:val="20"/>
                <w:color w:val="auto"/>
              </w:rPr>
            </w:pPr>
            <w:r>
              <w:rPr>
                <w:rFonts w:ascii="Arial" w:cs="Arial" w:eastAsia="Arial" w:hAnsi="Arial"/>
                <w:sz w:val="14"/>
                <w:szCs w:val="14"/>
                <w:color w:val="auto"/>
              </w:rPr>
              <w:t>Income (loss) before income tax expense (benefit)</w:t>
            </w: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(111)</w:t>
            </w:r>
          </w:p>
        </w:tc>
        <w:tc>
          <w:tcPr>
            <w:tcW w:w="3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174</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(285)</w:t>
            </w:r>
          </w:p>
        </w:tc>
        <w:tc>
          <w:tcPr>
            <w:tcW w:w="420" w:type="dxa"/>
            <w:vAlign w:val="bottom"/>
          </w:tcPr>
          <w:p>
            <w:pPr>
              <w:spacing w:after="0"/>
              <w:rPr>
                <w:sz w:val="13"/>
                <w:szCs w:val="13"/>
                <w:color w:val="auto"/>
              </w:rPr>
            </w:pPr>
          </w:p>
        </w:tc>
        <w:tc>
          <w:tcPr>
            <w:tcW w:w="1080" w:type="dxa"/>
            <w:vAlign w:val="bottom"/>
            <w:gridSpan w:val="2"/>
          </w:tcPr>
          <w:p>
            <w:pPr>
              <w:jc w:val="right"/>
              <w:ind w:right="59"/>
              <w:spacing w:after="0" w:line="155" w:lineRule="exact"/>
              <w:rPr>
                <w:sz w:val="20"/>
                <w:szCs w:val="20"/>
                <w:color w:val="auto"/>
              </w:rPr>
            </w:pPr>
            <w:r>
              <w:rPr>
                <w:rFonts w:ascii="Arial" w:cs="Arial" w:eastAsia="Arial" w:hAnsi="Arial"/>
                <w:sz w:val="14"/>
                <w:szCs w:val="14"/>
                <w:color w:val="auto"/>
              </w:rPr>
              <w:t>(164)</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(31)</w:t>
            </w: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(74)</w:t>
            </w:r>
          </w:p>
        </w:tc>
        <w:tc>
          <w:tcPr>
            <w:tcW w:w="4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(172)</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(80)</w:t>
            </w:r>
          </w:p>
        </w:tc>
        <w:tc>
          <w:tcPr>
            <w:tcW w:w="3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131</w:t>
            </w:r>
          </w:p>
        </w:tc>
        <w:tc>
          <w:tcPr>
            <w:tcW w:w="620" w:type="dxa"/>
            <w:vAlign w:val="bottom"/>
            <w:gridSpan w:val="2"/>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(211)</w:t>
            </w:r>
          </w:p>
        </w:tc>
        <w:tc>
          <w:tcPr>
            <w:tcW w:w="42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(161)%</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0" w:type="dxa"/>
            <w:vAlign w:val="bottom"/>
          </w:tcPr>
          <w:p>
            <w:pPr>
              <w:spacing w:after="0"/>
              <w:rPr>
                <w:sz w:val="11"/>
                <w:szCs w:val="11"/>
                <w:color w:val="auto"/>
              </w:rPr>
            </w:pPr>
          </w:p>
        </w:tc>
        <w:tc>
          <w:tcPr>
            <w:tcW w:w="3980" w:type="dxa"/>
            <w:vAlign w:val="bottom"/>
            <w:gridSpan w:val="2"/>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Basic earnings (loss) per</w:t>
            </w:r>
          </w:p>
        </w:tc>
        <w:tc>
          <w:tcPr>
            <w:tcW w:w="2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28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8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(2.01)</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3980" w:type="dxa"/>
            <w:vAlign w:val="bottom"/>
            <w:gridSpan w:val="2"/>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common share</w:t>
            </w:r>
          </w:p>
        </w:tc>
        <w:tc>
          <w:tcPr>
            <w:tcW w:w="220" w:type="dxa"/>
            <w:vAlign w:val="bottom"/>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80" w:type="dxa"/>
            <w:vAlign w:val="bottom"/>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9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gridSpan w:val="2"/>
            <w:vMerge w:val="continue"/>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0" w:type="dxa"/>
            <w:vAlign w:val="bottom"/>
          </w:tcPr>
          <w:p>
            <w:pPr>
              <w:spacing w:after="0"/>
              <w:rPr>
                <w:sz w:val="11"/>
                <w:szCs w:val="11"/>
                <w:color w:val="auto"/>
              </w:rPr>
            </w:pPr>
          </w:p>
        </w:tc>
        <w:tc>
          <w:tcPr>
            <w:tcW w:w="39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Diluted earnings (loss) per</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280" w:type="dxa"/>
            <w:vAlign w:val="bottom"/>
          </w:tcPr>
          <w:p>
            <w:pPr>
              <w:spacing w:after="0"/>
              <w:rPr>
                <w:sz w:val="11"/>
                <w:szCs w:val="11"/>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280" w:type="dxa"/>
            <w:vAlign w:val="bottom"/>
          </w:tcPr>
          <w:p>
            <w:pPr>
              <w:spacing w:after="0"/>
              <w:rPr>
                <w:sz w:val="11"/>
                <w:szCs w:val="11"/>
                <w:color w:val="auto"/>
              </w:rPr>
            </w:pPr>
          </w:p>
        </w:tc>
        <w:tc>
          <w:tcPr>
            <w:tcW w:w="340" w:type="dxa"/>
            <w:vAlign w:val="bottom"/>
            <w:vMerge w:val="restart"/>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(169)%</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3980" w:type="dxa"/>
            <w:vAlign w:val="bottom"/>
            <w:gridSpan w:val="2"/>
          </w:tcPr>
          <w:p>
            <w:pPr>
              <w:ind w:left="120"/>
              <w:spacing w:after="0" w:line="125" w:lineRule="exact"/>
              <w:rPr>
                <w:sz w:val="20"/>
                <w:szCs w:val="20"/>
                <w:color w:val="auto"/>
              </w:rPr>
            </w:pPr>
            <w:r>
              <w:rPr>
                <w:rFonts w:ascii="Arial" w:cs="Arial" w:eastAsia="Arial" w:hAnsi="Arial"/>
                <w:sz w:val="14"/>
                <w:szCs w:val="14"/>
                <w:b w:val="1"/>
                <w:bCs w:val="1"/>
                <w:color w:val="auto"/>
              </w:rPr>
              <w:t>common share</w:t>
            </w:r>
          </w:p>
        </w:tc>
        <w:tc>
          <w:tcPr>
            <w:tcW w:w="2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Pr>
          <w:p>
            <w:pPr>
              <w:spacing w:after="0"/>
              <w:rPr>
                <w:sz w:val="14"/>
                <w:szCs w:val="14"/>
                <w:color w:val="auto"/>
              </w:rPr>
            </w:pPr>
          </w:p>
        </w:tc>
        <w:tc>
          <w:tcPr>
            <w:tcW w:w="3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Dividends per common share</w:t>
            </w:r>
          </w:p>
        </w:tc>
        <w:tc>
          <w:tcPr>
            <w:tcW w:w="2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.64</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.64</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gridSpan w:val="2"/>
          </w:tcPr>
          <w:p>
            <w:pPr>
              <w:jc w:val="right"/>
              <w:ind w:right="6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751"/>
        </w:trPr>
        <w:tc>
          <w:tcPr>
            <w:tcW w:w="6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3636010</wp:posOffset>
            </wp:positionH>
            <wp:positionV relativeFrom="paragraph">
              <wp:posOffset>-2579370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-2579370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-2579370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-2579370</wp:posOffset>
            </wp:positionV>
            <wp:extent cx="1200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3636010</wp:posOffset>
            </wp:positionH>
            <wp:positionV relativeFrom="paragraph">
              <wp:posOffset>-1645285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-1645285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-1645285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-1645285</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3636010</wp:posOffset>
            </wp:positionH>
            <wp:positionV relativeFrom="paragraph">
              <wp:posOffset>-1430655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-1430655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-1430655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-1430655</wp:posOffset>
            </wp:positionV>
            <wp:extent cx="120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3636010</wp:posOffset>
            </wp:positionH>
            <wp:positionV relativeFrom="paragraph">
              <wp:posOffset>-1113790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3636010</wp:posOffset>
            </wp:positionH>
            <wp:positionV relativeFrom="paragraph">
              <wp:posOffset>-1096645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-1113790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-1096645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-1113790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-1096645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-1113790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-1096645</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3636010</wp:posOffset>
            </wp:positionH>
            <wp:positionV relativeFrom="paragraph">
              <wp:posOffset>-779145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3636010</wp:posOffset>
            </wp:positionH>
            <wp:positionV relativeFrom="paragraph">
              <wp:posOffset>-762000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-779145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-762000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-779145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-762000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-779145</wp:posOffset>
            </wp:positionV>
            <wp:extent cx="120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-762000</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40"/>
          </w:cols>
          <w:pgMar w:left="420" w:top="988" w:right="439" w:bottom="1440" w:gutter="0" w:footer="0" w:header="0"/>
        </w:sectPr>
      </w:pPr>
    </w:p>
    <w:bookmarkStart w:id="12" w:name="page13"/>
    <w:bookmarkEnd w:id="12"/>
    <w:p>
      <w:pPr>
        <w:ind w:left="76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688340</wp:posOffset>
            </wp:positionH>
            <wp:positionV relativeFrom="page">
              <wp:posOffset>757555</wp:posOffset>
            </wp:positionV>
            <wp:extent cx="6172200" cy="368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2200" cy="368300"/>
                    </a:xfrm>
                    <a:prstGeom prst="rect">
                      <a:avLst/>
                    </a:prstGeom>
                    <a:noFill/>
                  </pic:spPr>
                </pic:pic>
              </a:graphicData>
            </a:graphic>
          </wp:anchor>
        </w:drawing>
        <w:t>GAAP BALANCE SHEETS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534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tcPr>
          <w:p>
            <w:pPr>
              <w:spacing w:after="0" w:line="145" w:lineRule="exact"/>
              <w:rPr>
                <w:sz w:val="20"/>
                <w:szCs w:val="20"/>
                <w:color w:val="auto"/>
              </w:rPr>
            </w:pPr>
            <w:r>
              <w:rPr>
                <w:rFonts w:ascii="Arial" w:cs="Arial" w:eastAsia="Arial" w:hAnsi="Arial"/>
                <w:sz w:val="15"/>
                <w:szCs w:val="15"/>
                <w:color w:val="auto"/>
              </w:rPr>
              <w:t>FFELP Loans (net of allowance for loan losses of $173, $186 and $180,</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340" w:type="dxa"/>
            <w:vAlign w:val="bottom"/>
          </w:tcPr>
          <w:p>
            <w:pPr>
              <w:ind w:left="140"/>
              <w:spacing w:after="0"/>
              <w:rPr>
                <w:sz w:val="20"/>
                <w:szCs w:val="20"/>
                <w:color w:val="auto"/>
              </w:rPr>
            </w:pPr>
            <w:r>
              <w:rPr>
                <w:rFonts w:ascii="Arial" w:cs="Arial" w:eastAsia="Arial" w:hAnsi="Arial"/>
                <w:sz w:val="15"/>
                <w:szCs w:val="15"/>
                <w:color w:val="auto"/>
              </w:rPr>
              <w:t>respectively)</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28,141</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28,952</w:t>
            </w:r>
          </w:p>
        </w:tc>
        <w:tc>
          <w:tcPr>
            <w:tcW w:w="12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30,852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shd w:val="clear" w:color="auto" w:fill="CFF0FC"/>
          </w:tcPr>
          <w:p>
            <w:pPr>
              <w:spacing w:after="0" w:line="145" w:lineRule="exact"/>
              <w:rPr>
                <w:sz w:val="20"/>
                <w:szCs w:val="20"/>
                <w:color w:val="auto"/>
              </w:rPr>
            </w:pPr>
            <w:r>
              <w:rPr>
                <w:rFonts w:ascii="Arial" w:cs="Arial" w:eastAsia="Arial" w:hAnsi="Arial"/>
                <w:sz w:val="15"/>
                <w:szCs w:val="15"/>
                <w:color w:val="auto"/>
              </w:rPr>
              <w:t>Private Education Loans (net of allowance for loan losses of $364, $406</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and $441, respectively)</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15,451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15,456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15,716</w:t>
            </w: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Pr>
          <w:p>
            <w:pPr>
              <w:spacing w:after="0" w:line="162" w:lineRule="exact"/>
              <w:rPr>
                <w:sz w:val="20"/>
                <w:szCs w:val="20"/>
                <w:color w:val="auto"/>
              </w:rPr>
            </w:pPr>
            <w:r>
              <w:rPr>
                <w:rFonts w:ascii="Arial" w:cs="Arial" w:eastAsia="Arial" w:hAnsi="Arial"/>
                <w:sz w:val="15"/>
                <w:szCs w:val="15"/>
                <w:color w:val="auto"/>
              </w:rPr>
              <w:t>Investments</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166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143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637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571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722</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Pr>
          <w:p>
            <w:pPr>
              <w:spacing w:after="0" w:line="162" w:lineRule="exact"/>
              <w:rPr>
                <w:sz w:val="20"/>
                <w:szCs w:val="20"/>
                <w:color w:val="auto"/>
              </w:rPr>
            </w:pPr>
            <w:r>
              <w:rPr>
                <w:rFonts w:ascii="Arial" w:cs="Arial" w:eastAsia="Arial" w:hAnsi="Arial"/>
                <w:sz w:val="15"/>
                <w:szCs w:val="15"/>
                <w:color w:val="auto"/>
              </w:rPr>
              <w:t>Restricted cash and cash equivalents</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1,467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1,301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1,381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Goodwill and acquired intangible assets, net</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437</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Pr>
          <w:p>
            <w:pPr>
              <w:spacing w:after="0" w:line="162" w:lineRule="exact"/>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2,385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2,538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3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Total assets</w:t>
            </w: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1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48,681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49,306</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51,789</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5340" w:type="dxa"/>
            <w:vAlign w:val="bottom"/>
            <w:tcBorders>
              <w:top w:val="single" w:sz="8" w:color="CFF0FC"/>
            </w:tcBorders>
          </w:tcPr>
          <w:p>
            <w:pPr>
              <w:spacing w:after="0" w:line="143" w:lineRule="exact"/>
              <w:rPr>
                <w:sz w:val="20"/>
                <w:szCs w:val="20"/>
                <w:color w:val="auto"/>
              </w:rPr>
            </w:pPr>
            <w:r>
              <w:rPr>
                <w:rFonts w:ascii="Arial" w:cs="Arial" w:eastAsia="Arial" w:hAnsi="Arial"/>
                <w:sz w:val="15"/>
                <w:szCs w:val="15"/>
                <w:b w:val="1"/>
                <w:bCs w:val="1"/>
                <w:color w:val="auto"/>
              </w:rPr>
              <w:t>Liabilities</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Short-term borrowings</w:t>
            </w:r>
          </w:p>
        </w:tc>
        <w:tc>
          <w:tcPr>
            <w:tcW w:w="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w w:val="95"/>
              </w:rPr>
              <w:t>$</w:t>
            </w: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5,073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w w:val="95"/>
              </w:rPr>
              <w:t>$</w:t>
            </w: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4,920</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5,134</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Pr>
          <w:p>
            <w:pPr>
              <w:spacing w:after="0" w:line="162" w:lineRule="exact"/>
              <w:rPr>
                <w:sz w:val="20"/>
                <w:szCs w:val="20"/>
                <w:color w:val="auto"/>
              </w:rPr>
            </w:pPr>
            <w:r>
              <w:rPr>
                <w:rFonts w:ascii="Arial" w:cs="Arial" w:eastAsia="Arial" w:hAnsi="Arial"/>
                <w:sz w:val="15"/>
                <w:szCs w:val="15"/>
                <w:color w:val="auto"/>
              </w:rPr>
              <w:t>Long-term borrowings</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40,633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41,414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43,184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576</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533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830</w:t>
            </w: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Total liabilities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46,282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49,148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534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Commitments and contingencies</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Pr>
          <w:p>
            <w:pPr>
              <w:spacing w:after="0" w:line="162" w:lineRule="exact"/>
              <w:rPr>
                <w:sz w:val="20"/>
                <w:szCs w:val="20"/>
                <w:color w:val="auto"/>
              </w:rPr>
            </w:pPr>
            <w:r>
              <w:rPr>
                <w:rFonts w:ascii="Arial" w:cs="Arial" w:eastAsia="Arial" w:hAnsi="Arial"/>
                <w:sz w:val="15"/>
                <w:szCs w:val="15"/>
                <w:b w:val="1"/>
                <w:bCs w:val="1"/>
                <w:color w:val="auto"/>
              </w:rPr>
              <w:t>Equity</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shd w:val="clear" w:color="auto" w:fill="CFF0FC"/>
          </w:tcPr>
          <w:p>
            <w:pPr>
              <w:spacing w:after="0" w:line="145" w:lineRule="exact"/>
              <w:rPr>
                <w:sz w:val="20"/>
                <w:szCs w:val="20"/>
                <w:color w:val="auto"/>
              </w:rPr>
            </w:pPr>
            <w:r>
              <w:rPr>
                <w:rFonts w:ascii="Arial" w:cs="Arial" w:eastAsia="Arial" w:hAnsi="Arial"/>
                <w:sz w:val="15"/>
                <w:szCs w:val="15"/>
                <w:color w:val="auto"/>
              </w:rPr>
              <w:t>Series A Junior Participating Preferred Stock, par value $0.20 per share;</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2 million shares authorized at December 31, 2021; no shares issued</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3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or outstanding</w:t>
            </w: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9"/>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tcPr>
          <w:p>
            <w:pPr>
              <w:spacing w:after="0" w:line="145" w:lineRule="exact"/>
              <w:rPr>
                <w:sz w:val="20"/>
                <w:szCs w:val="20"/>
                <w:color w:val="auto"/>
              </w:rPr>
            </w:pPr>
            <w:r>
              <w:rPr>
                <w:rFonts w:ascii="Arial" w:cs="Arial" w:eastAsia="Arial" w:hAnsi="Arial"/>
                <w:sz w:val="15"/>
                <w:szCs w:val="15"/>
                <w:color w:val="auto"/>
              </w:rPr>
              <w:t>Common stock, par value $0.01 per share; 1.125 billion shares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Pr>
          <w:p>
            <w:pPr>
              <w:ind w:left="140"/>
              <w:spacing w:after="0" w:line="162" w:lineRule="exact"/>
              <w:rPr>
                <w:sz w:val="20"/>
                <w:szCs w:val="20"/>
                <w:color w:val="auto"/>
              </w:rPr>
            </w:pPr>
            <w:r>
              <w:rPr>
                <w:rFonts w:ascii="Arial" w:cs="Arial" w:eastAsia="Arial" w:hAnsi="Arial"/>
                <w:sz w:val="15"/>
                <w:szCs w:val="15"/>
                <w:color w:val="auto"/>
              </w:rPr>
              <w:t>authorized: 467 million, 467 million and 465 million shares,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340" w:type="dxa"/>
            <w:vAlign w:val="bottom"/>
          </w:tcPr>
          <w:p>
            <w:pPr>
              <w:ind w:left="140"/>
              <w:spacing w:after="0"/>
              <w:rPr>
                <w:sz w:val="20"/>
                <w:szCs w:val="20"/>
                <w:color w:val="auto"/>
              </w:rPr>
            </w:pPr>
            <w:r>
              <w:rPr>
                <w:rFonts w:ascii="Arial" w:cs="Arial" w:eastAsia="Arial" w:hAnsi="Arial"/>
                <w:sz w:val="15"/>
                <w:szCs w:val="15"/>
                <w:color w:val="auto"/>
              </w:rPr>
              <w:t>respectively, issued</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3,403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3,398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3,380</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Pr>
          <w:p>
            <w:pPr>
              <w:spacing w:after="0" w:line="162" w:lineRule="exact"/>
              <w:rPr>
                <w:sz w:val="20"/>
                <w:szCs w:val="20"/>
                <w:color w:val="auto"/>
              </w:rPr>
            </w:pPr>
            <w:r>
              <w:rPr>
                <w:rFonts w:ascii="Arial" w:cs="Arial" w:eastAsia="Arial" w:hAnsi="Arial"/>
                <w:sz w:val="15"/>
                <w:szCs w:val="15"/>
                <w:color w:val="auto"/>
              </w:rPr>
              <w:t>Accumulated other comprehensive income (loss), net of tax</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5"/>
                <w:szCs w:val="15"/>
                <w:color w:val="auto"/>
              </w:rPr>
              <w:t>Retained earnings</w:t>
            </w: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4,552</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4,573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4,697</w:t>
            </w: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5340" w:type="dxa"/>
            <w:vAlign w:val="bottom"/>
          </w:tcPr>
          <w:p>
            <w:pPr>
              <w:spacing w:after="0" w:line="156" w:lineRule="exact"/>
              <w:rPr>
                <w:sz w:val="20"/>
                <w:szCs w:val="20"/>
                <w:color w:val="auto"/>
              </w:rPr>
            </w:pPr>
            <w:r>
              <w:rPr>
                <w:rFonts w:ascii="Arial" w:cs="Arial" w:eastAsia="Arial" w:hAnsi="Arial"/>
                <w:sz w:val="15"/>
                <w:szCs w:val="15"/>
                <w:color w:val="auto"/>
              </w:rPr>
              <w:t>Total stockholders’ equity before treasury stock</w:t>
            </w:r>
          </w:p>
        </w:tc>
        <w:tc>
          <w:tcPr>
            <w:tcW w:w="12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7,961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5"/>
                <w:szCs w:val="15"/>
                <w:color w:val="auto"/>
              </w:rPr>
              <w:t>7,974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8,084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shd w:val="clear" w:color="auto" w:fill="CFF0FC"/>
          </w:tcPr>
          <w:p>
            <w:pPr>
              <w:spacing w:after="0" w:line="145" w:lineRule="exact"/>
              <w:rPr>
                <w:sz w:val="20"/>
                <w:szCs w:val="20"/>
                <w:color w:val="auto"/>
              </w:rPr>
            </w:pPr>
            <w:r>
              <w:rPr>
                <w:rFonts w:ascii="Arial" w:cs="Arial" w:eastAsia="Arial" w:hAnsi="Arial"/>
                <w:sz w:val="15"/>
                <w:szCs w:val="15"/>
                <w:color w:val="auto"/>
              </w:rPr>
              <w:t>Less: Common stock held in treasury at cost: 371 million,</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5"/>
                <w:szCs w:val="15"/>
                <w:color w:val="auto"/>
              </w:rPr>
              <w:t>(5,535)</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rPr>
              <w:t>(5,443)</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5340" w:type="dxa"/>
            <w:vAlign w:val="bottom"/>
            <w:shd w:val="clear" w:color="auto" w:fill="CFF0FC"/>
          </w:tcPr>
          <w:p>
            <w:pPr>
              <w:ind w:left="140"/>
              <w:spacing w:after="0" w:line="166" w:lineRule="exact"/>
              <w:rPr>
                <w:sz w:val="20"/>
                <w:szCs w:val="20"/>
                <w:color w:val="auto"/>
              </w:rPr>
            </w:pPr>
            <w:r>
              <w:rPr>
                <w:rFonts w:ascii="Arial" w:cs="Arial" w:eastAsia="Arial" w:hAnsi="Arial"/>
                <w:sz w:val="15"/>
                <w:szCs w:val="15"/>
                <w:color w:val="auto"/>
              </w:rPr>
              <w:t>369 million and 362 million shares, respectively</w:t>
            </w: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20"/>
              <w:spacing w:after="0" w:line="166" w:lineRule="exact"/>
              <w:rPr>
                <w:sz w:val="20"/>
                <w:szCs w:val="20"/>
                <w:color w:val="auto"/>
              </w:rPr>
            </w:pPr>
            <w:r>
              <w:rPr>
                <w:rFonts w:ascii="Arial" w:cs="Arial" w:eastAsia="Arial" w:hAnsi="Arial"/>
                <w:sz w:val="15"/>
                <w:szCs w:val="15"/>
                <w:color w:val="auto"/>
              </w:rPr>
              <w:t>(5,562)</w:t>
            </w:r>
          </w:p>
        </w:tc>
        <w:tc>
          <w:tcPr>
            <w:tcW w:w="120" w:type="dxa"/>
            <w:vAlign w:val="bottom"/>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340" w:type="dxa"/>
            <w:vAlign w:val="bottom"/>
            <w:tcBorders>
              <w:top w:val="single" w:sz="8" w:color="CFF0FC"/>
            </w:tcBorders>
          </w:tcPr>
          <w:p>
            <w:pPr>
              <w:spacing w:after="0" w:line="149" w:lineRule="exact"/>
              <w:rPr>
                <w:sz w:val="20"/>
                <w:szCs w:val="20"/>
                <w:color w:val="auto"/>
              </w:rPr>
            </w:pPr>
            <w:r>
              <w:rPr>
                <w:rFonts w:ascii="Arial" w:cs="Arial" w:eastAsia="Arial" w:hAnsi="Arial"/>
                <w:sz w:val="15"/>
                <w:szCs w:val="15"/>
                <w:color w:val="auto"/>
              </w:rPr>
              <w:t>Total equity</w:t>
            </w: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2,399</w:t>
            </w: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2,439</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2,641</w:t>
            </w:r>
          </w:p>
        </w:tc>
        <w:tc>
          <w:tcPr>
            <w:tcW w:w="100" w:type="dxa"/>
            <w:vAlign w:val="bottom"/>
            <w:tcBorders>
              <w:top w:val="single" w:sz="8" w:color="CFF0F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3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Total liabilities and equity</w:t>
            </w: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1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48,681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49,306</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51,789</w:t>
            </w: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gridSpan w:val="2"/>
          </w:tcPr>
          <w:p>
            <w:pPr>
              <w:jc w:val="right"/>
              <w:ind w:right="66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751"/>
        </w:trPr>
        <w:tc>
          <w:tcPr>
            <w:tcW w:w="6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-3034030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-3016885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-3034030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-3016885</wp:posOffset>
            </wp:positionV>
            <wp:extent cx="59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-3034030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-3016885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-2596515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-2596515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-2596515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-1319530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-1319530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-1319530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-1010920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-1010920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-1015365</wp:posOffset>
            </wp:positionV>
            <wp:extent cx="85725"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-779145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-762635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-779145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-762635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-779145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-762635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367" w:right="439" w:bottom="1440" w:gutter="0" w:footer="0" w:header="0"/>
        </w:sectPr>
      </w:pPr>
    </w:p>
    <w:bookmarkStart w:id="13" w:name="page14"/>
    <w:bookmarkEnd w:id="13"/>
    <w:p>
      <w:pPr>
        <w:ind w:left="14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722630</wp:posOffset>
            </wp:positionH>
            <wp:positionV relativeFrom="page">
              <wp:posOffset>637540</wp:posOffset>
            </wp:positionV>
            <wp:extent cx="6103620" cy="2571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03620" cy="257175"/>
                    </a:xfrm>
                    <a:prstGeom prst="rect">
                      <a:avLst/>
                    </a:prstGeom>
                    <a:noFill/>
                  </pic:spPr>
                </pic:pic>
              </a:graphicData>
            </a:graphic>
          </wp:anchor>
        </w:drawing>
        <w:t>GAAP COMPARISON OF 2025 RESULTS WITH 2024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December 31, 2025 Compared with Three Months Ended December 31, 2024</w:t>
      </w:r>
    </w:p>
    <w:p>
      <w:pPr>
        <w:spacing w:after="0" w:line="11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For the three months ended December 31, 2025, net loss was $5 million, or $0.06 diluted loss per common share, compared with net income of $24 million, or $0.22 diluted earnings per common share, for the year-ago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primary contributors to the change in net income are as follows:</w:t>
      </w:r>
    </w:p>
    <w:p>
      <w:pPr>
        <w:spacing w:after="0" w:line="59" w:lineRule="exact"/>
        <w:rPr>
          <w:sz w:val="20"/>
          <w:szCs w:val="20"/>
          <w:color w:val="auto"/>
        </w:rPr>
      </w:pPr>
    </w:p>
    <w:p>
      <w:pPr>
        <w:ind w:left="620" w:right="20" w:hanging="227"/>
        <w:spacing w:after="0" w:line="259"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interest income decreased by $17 million primarily due to a $17 million decrease in mark-to-market gains on fair value hedges recorded in interest expense as well as the paydown of the FFELP and Private Education Loan portfolios and changing product mix of the Private Education Loan portfolio (Refinance Loans increased as a percentage of the portfolio). This was partially offset by the impact of decreasing interest rates on the different index resets for the FFELP Loan assets and debt.</w:t>
      </w:r>
    </w:p>
    <w:p>
      <w:pPr>
        <w:spacing w:after="0" w:line="15" w:lineRule="exact"/>
        <w:rPr>
          <w:rFonts w:ascii="Arial" w:cs="Arial" w:eastAsia="Arial" w:hAnsi="Arial"/>
          <w:sz w:val="16"/>
          <w:szCs w:val="16"/>
          <w:color w:val="auto"/>
        </w:rPr>
      </w:pPr>
    </w:p>
    <w:p>
      <w:pPr>
        <w:ind w:left="760" w:hanging="367"/>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Provisions for loan losses decreased $1 million from $45 million to $44 million:</w:t>
      </w:r>
    </w:p>
    <w:p>
      <w:pPr>
        <w:spacing w:after="0" w:line="59" w:lineRule="exact"/>
        <w:rPr>
          <w:rFonts w:ascii="Arial" w:cs="Arial" w:eastAsia="Arial" w:hAnsi="Arial"/>
          <w:sz w:val="16"/>
          <w:szCs w:val="16"/>
          <w:color w:val="auto"/>
        </w:rPr>
      </w:pPr>
    </w:p>
    <w:p>
      <w:pPr>
        <w:ind w:left="1280" w:hanging="369"/>
        <w:spacing w:after="0"/>
        <w:tabs>
          <w:tab w:leader="none" w:pos="12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provision for FFELP Loan losses decreased $6 million from $7 million to $1 million.</w:t>
      </w:r>
    </w:p>
    <w:p>
      <w:pPr>
        <w:spacing w:after="0" w:line="59" w:lineRule="exact"/>
        <w:rPr>
          <w:rFonts w:ascii="Arial" w:cs="Arial" w:eastAsia="Arial" w:hAnsi="Arial"/>
          <w:sz w:val="16"/>
          <w:szCs w:val="16"/>
          <w:color w:val="auto"/>
        </w:rPr>
      </w:pPr>
    </w:p>
    <w:p>
      <w:pPr>
        <w:ind w:left="1280" w:hanging="369"/>
        <w:spacing w:after="0"/>
        <w:tabs>
          <w:tab w:leader="none" w:pos="12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provision for Private Education Loan losses increased $5 million from $38 million to $43 million.</w:t>
      </w:r>
    </w:p>
    <w:p>
      <w:pPr>
        <w:spacing w:after="0" w:line="59" w:lineRule="exact"/>
        <w:rPr>
          <w:sz w:val="20"/>
          <w:szCs w:val="20"/>
          <w:color w:val="auto"/>
        </w:rPr>
      </w:pPr>
    </w:p>
    <w:p>
      <w:pPr>
        <w:ind w:left="620" w:right="360"/>
        <w:spacing w:after="0" w:line="281" w:lineRule="auto"/>
        <w:rPr>
          <w:sz w:val="20"/>
          <w:szCs w:val="20"/>
          <w:color w:val="auto"/>
        </w:rPr>
      </w:pPr>
      <w:r>
        <w:rPr>
          <w:rFonts w:ascii="Arial" w:cs="Arial" w:eastAsia="Arial" w:hAnsi="Arial"/>
          <w:sz w:val="16"/>
          <w:szCs w:val="16"/>
          <w:color w:val="auto"/>
        </w:rPr>
        <w:t>The provision for FFELP Loan losses of $1 million in the current period was the result of relatively stable credit trends. The provision of $7 million in the year-ago quarter was the result of an increase in delinquency balances.</w:t>
      </w:r>
    </w:p>
    <w:p>
      <w:pPr>
        <w:spacing w:after="0" w:line="1" w:lineRule="exact"/>
        <w:rPr>
          <w:sz w:val="20"/>
          <w:szCs w:val="20"/>
          <w:color w:val="auto"/>
        </w:rPr>
      </w:pPr>
    </w:p>
    <w:p>
      <w:pPr>
        <w:ind w:left="620" w:right="220"/>
        <w:spacing w:after="0" w:line="256" w:lineRule="auto"/>
        <w:rPr>
          <w:sz w:val="20"/>
          <w:szCs w:val="20"/>
          <w:color w:val="auto"/>
        </w:rPr>
      </w:pPr>
      <w:r>
        <w:rPr>
          <w:rFonts w:ascii="Arial" w:cs="Arial" w:eastAsia="Arial" w:hAnsi="Arial"/>
          <w:sz w:val="16"/>
          <w:szCs w:val="16"/>
          <w:color w:val="auto"/>
        </w:rPr>
        <w:t>The provision for Private Education Loan losses of $43 million in the current period included $9 million associated with loan originations and $34 million primarily reflecting our macroeconomic outlook and a response to fourth-quarter delinquency trends within our legacy Private Education Loan portfolio. The provision of $38 million in the year-ago quarter included $6 million in connection with loan originations, $18 million related to lowering the expected recovery rate on defaulted loans and $14 million related to a general reserve build primarily as a result of an increase in delinquency balances.</w:t>
      </w:r>
    </w:p>
    <w:p>
      <w:pPr>
        <w:spacing w:after="0" w:line="18" w:lineRule="exact"/>
        <w:rPr>
          <w:sz w:val="20"/>
          <w:szCs w:val="20"/>
          <w:color w:val="auto"/>
        </w:rPr>
      </w:pPr>
    </w:p>
    <w:p>
      <w:pPr>
        <w:ind w:left="620" w:right="240" w:hanging="227"/>
        <w:spacing w:after="0" w:line="266"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Asset recovery and business processing revenue decreased $43 million as a result of the sale of our government services business in February 2025. With the sale of our government services business, Navient no longer provides business processing segment services.</w:t>
      </w:r>
    </w:p>
    <w:p>
      <w:pPr>
        <w:spacing w:after="0" w:line="9" w:lineRule="exact"/>
        <w:rPr>
          <w:rFonts w:ascii="Arial" w:cs="Arial" w:eastAsia="Arial" w:hAnsi="Arial"/>
          <w:sz w:val="16"/>
          <w:szCs w:val="16"/>
          <w:color w:val="auto"/>
        </w:rPr>
      </w:pPr>
    </w:p>
    <w:p>
      <w:pPr>
        <w:ind w:left="620" w:right="520" w:hanging="227"/>
        <w:spacing w:after="0" w:line="266"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Gain (loss) on sale of subsidiaries includes a $28 million loss in the year-ago quarter as a result of our entering into an agreement on December 19, 2024 to sell our government services businesses, resulting in the classification of these businesses as held for sale and adjustment of the basis of these businesses to the expected sales price.</w:t>
      </w:r>
    </w:p>
    <w:p>
      <w:pPr>
        <w:spacing w:after="0" w:line="9" w:lineRule="exact"/>
        <w:rPr>
          <w:rFonts w:ascii="Arial" w:cs="Arial" w:eastAsia="Arial" w:hAnsi="Arial"/>
          <w:sz w:val="16"/>
          <w:szCs w:val="16"/>
          <w:color w:val="auto"/>
        </w:rPr>
      </w:pPr>
    </w:p>
    <w:p>
      <w:pPr>
        <w:ind w:left="620" w:right="160" w:hanging="227"/>
        <w:spacing w:after="0" w:line="266"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gains on derivative and hedging activities decreased $55 million due primarily to interest rate fluctuations. Valuations of derivative instruments fluctuate based upon many factors including changes in interest rates and other market factors. As a result, net gains and losses on derivative and hedging activities may vary significantly in future periods.</w:t>
      </w:r>
    </w:p>
    <w:p>
      <w:pPr>
        <w:spacing w:after="0" w:line="9" w:lineRule="exact"/>
        <w:rPr>
          <w:rFonts w:ascii="Arial" w:cs="Arial" w:eastAsia="Arial" w:hAnsi="Arial"/>
          <w:sz w:val="16"/>
          <w:szCs w:val="16"/>
          <w:color w:val="auto"/>
        </w:rPr>
      </w:pPr>
    </w:p>
    <w:p>
      <w:pPr>
        <w:ind w:left="620" w:right="40" w:hanging="227"/>
        <w:spacing w:after="0" w:line="253"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Operating expenses decreased $58 million, $42 million of which was due to a decline in business processing expenses as a result of the sale of our government services business in February 2025 ($40 million of the reduction is in the Business Processing segment and $2 million of the reduction is in the Other segment). In addition, there was a $6 million decline in expenses in connection with providing transition services related to our various strategic initiatives. As of October 2025 we had no further obligations to provide these transition services. The remaining $10 million decrease primarily relates to cost saving initiatives implemented which have reduced our operating costs mostly in connection with our shared service functions and corporate footprint.</w:t>
      </w:r>
    </w:p>
    <w:p>
      <w:pPr>
        <w:spacing w:after="0" w:line="19" w:lineRule="exact"/>
        <w:rPr>
          <w:rFonts w:ascii="Arial" w:cs="Arial" w:eastAsia="Arial" w:hAnsi="Arial"/>
          <w:sz w:val="16"/>
          <w:szCs w:val="16"/>
          <w:color w:val="auto"/>
        </w:rPr>
      </w:pPr>
    </w:p>
    <w:p>
      <w:pPr>
        <w:ind w:left="620" w:right="220" w:hanging="227"/>
        <w:spacing w:after="0" w:line="259"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Restructuring and other reorganization expenses increased $6 million primarily due to severance-related costs and asset write-offs related to the retirement of significant components of our legacy technology infrastructure as a result of the various strategic initiatives that have been and continue to be implemented to simplify the company, reduce our expense base and enhance our flexibility.</w:t>
      </w:r>
    </w:p>
    <w:p>
      <w:pPr>
        <w:spacing w:after="0" w:line="259" w:lineRule="exact"/>
        <w:rPr>
          <w:sz w:val="20"/>
          <w:szCs w:val="20"/>
          <w:color w:val="auto"/>
        </w:rPr>
      </w:pPr>
    </w:p>
    <w:p>
      <w:pPr>
        <w:ind w:right="1060"/>
        <w:spacing w:after="0" w:line="266" w:lineRule="auto"/>
        <w:rPr>
          <w:sz w:val="20"/>
          <w:szCs w:val="20"/>
          <w:color w:val="auto"/>
        </w:rPr>
      </w:pPr>
      <w:r>
        <w:rPr>
          <w:rFonts w:ascii="Arial" w:cs="Arial" w:eastAsia="Arial" w:hAnsi="Arial"/>
          <w:sz w:val="16"/>
          <w:szCs w:val="16"/>
          <w:color w:val="auto"/>
        </w:rPr>
        <w:t>We repurchased 2.1 million and 4.4 million shares of our common stock during the fourth quarters of 2025 and 2024, respectively. As a result of repurchases, our average outstanding diluted shares decreased by 10 million common shares (or 9%) from the year-ago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7" w:right="10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Year Ended December 31, 2025 Compared with Year Ended December 31, 2024</w:t>
      </w:r>
    </w:p>
    <w:p>
      <w:pPr>
        <w:spacing w:after="0" w:line="5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For the year ended December 31, 2025, net loss was $80 million, or $0.81 diluted loss per common share, compared with net income of $131 million, or $1.18 diluted earnings per common share, for the year-ago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primary contributors to the change in net income (loss) are as follows:</w:t>
      </w:r>
    </w:p>
    <w:p>
      <w:pPr>
        <w:spacing w:after="0" w:line="59" w:lineRule="exact"/>
        <w:rPr>
          <w:sz w:val="20"/>
          <w:szCs w:val="20"/>
          <w:color w:val="auto"/>
        </w:rPr>
      </w:pPr>
    </w:p>
    <w:p>
      <w:pPr>
        <w:ind w:left="620" w:right="20" w:hanging="227"/>
        <w:spacing w:after="0" w:line="25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interest income decreased by $17 million primarily as a result of the paydown of the FFELP and Private Education Loan portfolios, the changing product mix of the Private Education Loan portfolio (Refinance Loans increased as a percentage of the portfolio) and the net impact of decreasing interest rates on the different index resets for the FFELP Loan and Private Education Loan assets and debt. Additionally, there was a $12 million decrease in mark-to-market gains on fair value hedges recorded in interest expense. These decreases were partially offset by a $55 million decline in net premium amortization on the loan portfolios due to both a decrease in prepayment rate assumptions, mostly in response to the significant decline in actual FFELP Loan prepayments since the beginning of 2025, as well as the significant decline in actual FFELP Loan prepayments from $5.4 billion in the year-ago period to $977 million in the current period.</w:t>
      </w:r>
    </w:p>
    <w:p>
      <w:pPr>
        <w:spacing w:after="0" w:line="20" w:lineRule="exact"/>
        <w:rPr>
          <w:rFonts w:ascii="Arial" w:cs="Arial" w:eastAsia="Arial" w:hAnsi="Arial"/>
          <w:sz w:val="16"/>
          <w:szCs w:val="16"/>
          <w:color w:val="auto"/>
        </w:rPr>
      </w:pPr>
    </w:p>
    <w:p>
      <w:pPr>
        <w:ind w:left="760" w:hanging="367"/>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Provisions for loan losses increased $167 million, from $113 million to $280 million:</w:t>
      </w:r>
    </w:p>
    <w:p>
      <w:pPr>
        <w:spacing w:after="0" w:line="59" w:lineRule="exact"/>
        <w:rPr>
          <w:rFonts w:ascii="Arial" w:cs="Arial" w:eastAsia="Arial" w:hAnsi="Arial"/>
          <w:sz w:val="16"/>
          <w:szCs w:val="16"/>
          <w:color w:val="auto"/>
        </w:rPr>
      </w:pPr>
    </w:p>
    <w:p>
      <w:pPr>
        <w:ind w:left="1280" w:hanging="369"/>
        <w:spacing w:after="0"/>
        <w:tabs>
          <w:tab w:leader="none" w:pos="12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provision for FFELP Loan losses increased $30 million from $1 million to $31 million.</w:t>
      </w:r>
    </w:p>
    <w:p>
      <w:pPr>
        <w:spacing w:after="0" w:line="59" w:lineRule="exact"/>
        <w:rPr>
          <w:rFonts w:ascii="Arial" w:cs="Arial" w:eastAsia="Arial" w:hAnsi="Arial"/>
          <w:sz w:val="16"/>
          <w:szCs w:val="16"/>
          <w:color w:val="auto"/>
        </w:rPr>
      </w:pPr>
    </w:p>
    <w:p>
      <w:pPr>
        <w:ind w:left="1280" w:hanging="369"/>
        <w:spacing w:after="0"/>
        <w:tabs>
          <w:tab w:leader="none" w:pos="12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provision for Private Education Loan losses increased $137 million from $112 million to $249 million.</w:t>
      </w:r>
    </w:p>
    <w:p>
      <w:pPr>
        <w:spacing w:after="0" w:line="59" w:lineRule="exact"/>
        <w:rPr>
          <w:sz w:val="20"/>
          <w:szCs w:val="20"/>
          <w:color w:val="auto"/>
        </w:rPr>
      </w:pPr>
    </w:p>
    <w:p>
      <w:pPr>
        <w:jc w:val="both"/>
        <w:ind w:left="620" w:right="480"/>
        <w:spacing w:after="0" w:line="266" w:lineRule="auto"/>
        <w:rPr>
          <w:sz w:val="20"/>
          <w:szCs w:val="20"/>
          <w:color w:val="auto"/>
        </w:rPr>
      </w:pPr>
      <w:r>
        <w:rPr>
          <w:rFonts w:ascii="Arial" w:cs="Arial" w:eastAsia="Arial" w:hAnsi="Arial"/>
          <w:sz w:val="16"/>
          <w:szCs w:val="16"/>
          <w:color w:val="auto"/>
        </w:rPr>
        <w:t>The provision for FFELP Loan losses of $31 million in the current period was primarily the result of elevated delinquency balances, our forecasted macroeconomic outlook, as well as the continued extension of the portfolio. The provision of $1 million in the year-ago period was primarily the result of relatively stable credit trends.</w:t>
      </w:r>
    </w:p>
    <w:p>
      <w:pPr>
        <w:spacing w:after="0" w:line="9" w:lineRule="exact"/>
        <w:rPr>
          <w:sz w:val="20"/>
          <w:szCs w:val="20"/>
          <w:color w:val="auto"/>
        </w:rPr>
      </w:pPr>
    </w:p>
    <w:p>
      <w:pPr>
        <w:ind w:left="620" w:right="120"/>
        <w:spacing w:after="0" w:line="256" w:lineRule="auto"/>
        <w:rPr>
          <w:sz w:val="20"/>
          <w:szCs w:val="20"/>
          <w:color w:val="auto"/>
        </w:rPr>
      </w:pPr>
      <w:r>
        <w:rPr>
          <w:rFonts w:ascii="Arial" w:cs="Arial" w:eastAsia="Arial" w:hAnsi="Arial"/>
          <w:sz w:val="16"/>
          <w:szCs w:val="16"/>
          <w:color w:val="auto"/>
        </w:rPr>
        <w:t>The provision for Private Education Loan losses of $249 million in the current period included $41 million associated with loan originations and $208 million primarily associated with elevated delinquency balances as well as our forecasted macroeconomic outlook. The provision of $112 million in the year-ago period included $39 million related to lowering the expected recovery rate on defaulted loans, $32 million associated with loan originations and $41 million related to a general reserve build.</w:t>
      </w:r>
    </w:p>
    <w:p>
      <w:pPr>
        <w:spacing w:after="0" w:line="18" w:lineRule="exact"/>
        <w:rPr>
          <w:sz w:val="20"/>
          <w:szCs w:val="20"/>
          <w:color w:val="auto"/>
        </w:rPr>
      </w:pPr>
    </w:p>
    <w:p>
      <w:pPr>
        <w:ind w:left="620" w:right="240" w:hanging="227"/>
        <w:spacing w:after="0" w:line="259"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Asset recovery and business processing revenue decreased $248 million as a result of the sale of our healthcare services business in the third quarter of 2024 ($88 million of the decrease), and our government services business in February 2025 ($160 million of the decrease). With the sale of our government services business, Navient no longer provides business processing segment services.</w:t>
      </w:r>
    </w:p>
    <w:p>
      <w:pPr>
        <w:spacing w:after="0" w:line="15" w:lineRule="exact"/>
        <w:rPr>
          <w:rFonts w:ascii="Arial" w:cs="Arial" w:eastAsia="Arial" w:hAnsi="Arial"/>
          <w:sz w:val="16"/>
          <w:szCs w:val="16"/>
          <w:color w:val="auto"/>
        </w:rPr>
      </w:pPr>
    </w:p>
    <w:p>
      <w:pPr>
        <w:ind w:left="620" w:right="120" w:hanging="227"/>
        <w:spacing w:after="0" w:line="266"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income increased $17 million primarily related to the transition services we provide related to our various strategic initiatives. The transition services related to the outsourcing of loan servicing and the sale of our healthcare services business ended in May 2025. The transition services related to the sale of our government services business ended in October 2025.</w:t>
      </w:r>
    </w:p>
    <w:p>
      <w:pPr>
        <w:spacing w:after="0" w:line="9" w:lineRule="exact"/>
        <w:rPr>
          <w:rFonts w:ascii="Arial" w:cs="Arial" w:eastAsia="Arial" w:hAnsi="Arial"/>
          <w:sz w:val="16"/>
          <w:szCs w:val="16"/>
          <w:color w:val="auto"/>
        </w:rPr>
      </w:pPr>
    </w:p>
    <w:p>
      <w:pPr>
        <w:ind w:left="620" w:right="140" w:hanging="227"/>
        <w:spacing w:after="0" w:line="256"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Gain (loss) on sale of subsidiaries was a $191 million net gain in the year-ago period which included a $219 million gain on sale of our healthcare services business in third-quarter 2024 and a $28 million loss in fourth-quarter 2024 resulting from reclassification of our government services businesses to held for sale commensurate with our entering into an agreement on December 19, 2024 to sell these businesses, resulting in adjustment of the basis of these businesses to the expected sales price.</w:t>
      </w:r>
    </w:p>
    <w:p>
      <w:pPr>
        <w:spacing w:after="0" w:line="17" w:lineRule="exact"/>
        <w:rPr>
          <w:rFonts w:ascii="Arial" w:cs="Arial" w:eastAsia="Arial" w:hAnsi="Arial"/>
          <w:sz w:val="16"/>
          <w:szCs w:val="16"/>
          <w:color w:val="auto"/>
        </w:rPr>
      </w:pPr>
    </w:p>
    <w:p>
      <w:pPr>
        <w:ind w:left="620" w:right="140" w:hanging="227"/>
        <w:spacing w:after="0" w:line="259"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gains on derivative and hedging activities decreased $100 million. The primary factor affecting the change was interest rate fluctuations. Valuations of derivative instruments fluctuate based upon many factors including changes in interest rates and other market factors. As a result, net gains and losses on derivative and hedging activities may vary significantly in future periods.</w:t>
      </w:r>
    </w:p>
    <w:p>
      <w:pPr>
        <w:spacing w:after="0" w:line="15" w:lineRule="exact"/>
        <w:rPr>
          <w:rFonts w:ascii="Arial" w:cs="Arial" w:eastAsia="Arial" w:hAnsi="Arial"/>
          <w:sz w:val="16"/>
          <w:szCs w:val="16"/>
          <w:color w:val="auto"/>
        </w:rPr>
      </w:pPr>
    </w:p>
    <w:p>
      <w:pPr>
        <w:ind w:left="620" w:hanging="227"/>
        <w:spacing w:after="0" w:line="252"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Operating expenses decreased $259 million, $240 million of which was due to a decline in business processing expenses as a result of the sale of our government services business in February 2025 and our healthcare services business in the third quarter of 2024 ($208 million of the reduction is in the Business Processing segment and $32 million of the reduction is in the Other segment). In addition, regulatory-related expenses decreased $35 million primarily due to $43 million of regulatory-related expenses recorded in the year-ago period in connection with the September 2024 CFPB settlement agreement. Current period expense includes $30 million, an $18 million increase from the prior year, of expense in connection with providing transition services related to our various strategic initiatives. There is $33 million of revenue recognized in the Other segment related to these services.</w:t>
      </w:r>
    </w:p>
    <w:p>
      <w:pPr>
        <w:spacing w:after="0" w:line="20" w:lineRule="exact"/>
        <w:rPr>
          <w:rFonts w:ascii="Arial" w:cs="Arial" w:eastAsia="Arial" w:hAnsi="Arial"/>
          <w:sz w:val="16"/>
          <w:szCs w:val="16"/>
          <w:color w:val="auto"/>
        </w:rPr>
      </w:pPr>
    </w:p>
    <w:p>
      <w:pPr>
        <w:ind w:left="620" w:right="120" w:hanging="227"/>
        <w:spacing w:after="0" w:line="266"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Goodwill and acquired intangible asset impairment and amortization expense decreased by $143 million due to a $138 million impairment recognized in the year-ago period related to our government services business which was sold in February 2025.</w:t>
      </w:r>
    </w:p>
    <w:p>
      <w:pPr>
        <w:spacing w:after="0" w:line="9" w:lineRule="exact"/>
        <w:rPr>
          <w:rFonts w:ascii="Arial" w:cs="Arial" w:eastAsia="Arial" w:hAnsi="Arial"/>
          <w:sz w:val="16"/>
          <w:szCs w:val="16"/>
          <w:color w:val="auto"/>
        </w:rPr>
      </w:pPr>
    </w:p>
    <w:p>
      <w:pPr>
        <w:ind w:left="620" w:right="60" w:hanging="227"/>
        <w:spacing w:after="0" w:line="266"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Restructuring and other reorganization expenses decreased $22 million primarily due to a decrease in severance-related costs incurred in connection with the various strategic initiatives that have been and continue to be implemented to simplify the company, reduce our expense base and enhance our flexibility.</w:t>
      </w:r>
    </w:p>
    <w:p>
      <w:pPr>
        <w:spacing w:after="0" w:line="252"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We repurchased 8.5 million and 11.5 million shares of our common stock during 2025 and 2024, respectively. As a result of repurchases, our average outstanding diluted shares decreased by 12 million common shares (or 11%) from the year-ago period.</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43" w:right="1099" w:bottom="1440" w:gutter="0" w:footer="0" w:header="0"/>
        </w:sectPr>
      </w:pPr>
    </w:p>
    <w:bookmarkStart w:id="15" w:name="page16"/>
    <w:bookmarkEnd w:id="15"/>
    <w:p>
      <w:pPr>
        <w:ind w:lef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774700</wp:posOffset>
            </wp:positionV>
            <wp:extent cx="617220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2200" cy="205740"/>
                    </a:xfrm>
                    <a:prstGeom prst="rect">
                      <a:avLst/>
                    </a:prstGeom>
                    <a:noFill/>
                  </pic:spPr>
                </pic:pic>
              </a:graphicData>
            </a:graphic>
          </wp:anchor>
        </w:drawing>
        <w:t>PRIVATE EDUCATION LOANS PORTFOLIO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Education Loan Delinquencies and Forbearance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left="12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left="129"/>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3"/>
        </w:trPr>
        <w:tc>
          <w:tcPr>
            <w:tcW w:w="126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740" w:type="dxa"/>
            <w:vAlign w:val="bottom"/>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2025</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3"/>
                <w:szCs w:val="13"/>
                <w:b w:val="1"/>
                <w:bCs w:val="1"/>
                <w:color w:val="auto"/>
              </w:rPr>
              <w:t>Balance</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3"/>
                <w:szCs w:val="13"/>
                <w:b w:val="1"/>
                <w:bCs w:val="1"/>
                <w:color w:val="auto"/>
              </w:rPr>
              <w:t>Balance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3"/>
                <w:szCs w:val="13"/>
                <w:b w:val="1"/>
                <w:bCs w:val="1"/>
                <w:color w:val="auto"/>
              </w:rPr>
              <w:t>Balance</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Loans in-school/grace/deferment</w:t>
            </w:r>
            <w:r>
              <w:rPr>
                <w:rFonts w:ascii="Arial" w:cs="Arial" w:eastAsia="Arial" w:hAnsi="Arial"/>
                <w:sz w:val="18"/>
                <w:szCs w:val="18"/>
                <w:color w:val="auto"/>
                <w:vertAlign w:val="superscript"/>
              </w:rPr>
              <w:t>(1)</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395</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402</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372</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4"/>
                <w:szCs w:val="14"/>
                <w:color w:val="auto"/>
              </w:rPr>
              <w:t>Loans in forbearance</w:t>
            </w:r>
            <w:r>
              <w:rPr>
                <w:rFonts w:ascii="Arial" w:cs="Arial" w:eastAsia="Arial" w:hAnsi="Arial"/>
                <w:sz w:val="18"/>
                <w:szCs w:val="18"/>
                <w:color w:val="auto"/>
                <w:vertAlign w:val="superscript"/>
              </w:rPr>
              <w:t>(2)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00" w:type="dxa"/>
            <w:vAlign w:val="bottom"/>
            <w:gridSpan w:val="2"/>
            <w:shd w:val="clear" w:color="auto" w:fill="CFF0FC"/>
          </w:tcPr>
          <w:p>
            <w:pPr>
              <w:spacing w:after="0" w:line="153" w:lineRule="exact"/>
              <w:rPr>
                <w:sz w:val="20"/>
                <w:szCs w:val="20"/>
                <w:color w:val="auto"/>
              </w:rPr>
            </w:pPr>
            <w:r>
              <w:rPr>
                <w:rFonts w:ascii="Arial" w:cs="Arial" w:eastAsia="Arial" w:hAnsi="Arial"/>
                <w:sz w:val="14"/>
                <w:szCs w:val="14"/>
                <w:color w:val="auto"/>
              </w:rPr>
              <w:t>Loans in repayment and percentage</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of each status:</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Loans current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14,291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FF0FC"/>
          </w:tcPr>
          <w:p>
            <w:pPr>
              <w:ind w:left="100"/>
              <w:spacing w:after="0" w:line="162" w:lineRule="exact"/>
              <w:rPr>
                <w:sz w:val="20"/>
                <w:szCs w:val="20"/>
                <w:color w:val="auto"/>
              </w:rPr>
            </w:pPr>
            <w:r>
              <w:rPr>
                <w:rFonts w:ascii="Arial" w:cs="Arial" w:eastAsia="Arial" w:hAnsi="Arial"/>
                <w:sz w:val="14"/>
                <w:szCs w:val="14"/>
                <w:color w:val="auto"/>
              </w:rPr>
              <w:t>Loans delinquent 31-60 days</w:t>
            </w:r>
            <w:r>
              <w:rPr>
                <w:rFonts w:ascii="Arial" w:cs="Arial" w:eastAsia="Arial" w:hAnsi="Arial"/>
                <w:sz w:val="18"/>
                <w:szCs w:val="18"/>
                <w:color w:val="auto"/>
                <w:vertAlign w:val="superscript"/>
              </w:rPr>
              <w:t>(3)</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100"/>
              <w:spacing w:after="0" w:line="162" w:lineRule="exact"/>
              <w:rPr>
                <w:sz w:val="20"/>
                <w:szCs w:val="20"/>
                <w:color w:val="auto"/>
              </w:rPr>
            </w:pPr>
            <w:r>
              <w:rPr>
                <w:rFonts w:ascii="Arial" w:cs="Arial" w:eastAsia="Arial" w:hAnsi="Arial"/>
                <w:sz w:val="14"/>
                <w:szCs w:val="14"/>
                <w:color w:val="auto"/>
              </w:rPr>
              <w:t>Loans delinquent 61-90 days</w:t>
            </w:r>
            <w:r>
              <w:rPr>
                <w:rFonts w:ascii="Arial" w:cs="Arial" w:eastAsia="Arial" w:hAnsi="Arial"/>
                <w:sz w:val="18"/>
                <w:szCs w:val="18"/>
                <w:color w:val="auto"/>
                <w:vertAlign w:val="superscript"/>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4"/>
                <w:szCs w:val="14"/>
                <w:color w:val="auto"/>
              </w:rPr>
              <w:t>Loans delinquent greater than</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00" w:type="dxa"/>
            <w:vAlign w:val="bottom"/>
            <w:tcBorders>
              <w:bottom w:val="single" w:sz="8" w:color="CFF0FC"/>
            </w:tcBorders>
            <w:gridSpan w:val="2"/>
            <w:shd w:val="clear" w:color="auto" w:fill="CFF0FC"/>
          </w:tcPr>
          <w:p>
            <w:pPr>
              <w:ind w:left="260"/>
              <w:spacing w:after="0" w:line="175" w:lineRule="exact"/>
              <w:rPr>
                <w:sz w:val="20"/>
                <w:szCs w:val="20"/>
                <w:color w:val="auto"/>
              </w:rPr>
            </w:pPr>
            <w:r>
              <w:rPr>
                <w:rFonts w:ascii="Arial" w:cs="Arial" w:eastAsia="Arial" w:hAnsi="Arial"/>
                <w:sz w:val="14"/>
                <w:szCs w:val="14"/>
                <w:color w:val="auto"/>
              </w:rPr>
              <w:t>90 days</w:t>
            </w:r>
            <w:r>
              <w:rPr>
                <w:rFonts w:ascii="Arial" w:cs="Arial" w:eastAsia="Arial" w:hAnsi="Arial"/>
                <w:sz w:val="19"/>
                <w:szCs w:val="19"/>
                <w:color w:val="auto"/>
                <w:vertAlign w:val="superscript"/>
              </w:rPr>
              <w:t>(3)</w:t>
            </w:r>
          </w:p>
        </w:tc>
        <w:tc>
          <w:tcPr>
            <w:tcW w:w="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1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00" w:type="dxa"/>
            <w:vAlign w:val="bottom"/>
            <w:gridSpan w:val="2"/>
          </w:tcPr>
          <w:p>
            <w:pPr>
              <w:spacing w:after="0" w:line="147" w:lineRule="exact"/>
              <w:rPr>
                <w:sz w:val="20"/>
                <w:szCs w:val="20"/>
                <w:color w:val="auto"/>
              </w:rPr>
            </w:pPr>
            <w:r>
              <w:rPr>
                <w:rFonts w:ascii="Arial" w:cs="Arial" w:eastAsia="Arial" w:hAnsi="Arial"/>
                <w:sz w:val="14"/>
                <w:szCs w:val="14"/>
                <w:color w:val="auto"/>
              </w:rPr>
              <w:t>Total Private Education Loans in</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15,184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15,221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15,363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1"/>
        </w:trPr>
        <w:tc>
          <w:tcPr>
            <w:tcW w:w="4000" w:type="dxa"/>
            <w:vAlign w:val="bottom"/>
            <w:gridSpan w:val="2"/>
          </w:tcPr>
          <w:p>
            <w:pPr>
              <w:ind w:left="120"/>
              <w:spacing w:after="0" w:line="125" w:lineRule="exact"/>
              <w:rPr>
                <w:sz w:val="20"/>
                <w:szCs w:val="20"/>
                <w:color w:val="auto"/>
              </w:rPr>
            </w:pPr>
            <w:r>
              <w:rPr>
                <w:rFonts w:ascii="Arial" w:cs="Arial" w:eastAsia="Arial" w:hAnsi="Arial"/>
                <w:sz w:val="14"/>
                <w:szCs w:val="14"/>
                <w:color w:val="auto"/>
              </w:rPr>
              <w:t>repayment</w:t>
            </w: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Total Private Education Loans, gross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15,815</w:t>
            </w: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15,862</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16,157</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line="153" w:lineRule="exact"/>
              <w:rPr>
                <w:sz w:val="20"/>
                <w:szCs w:val="20"/>
                <w:color w:val="auto"/>
              </w:rPr>
            </w:pPr>
            <w:r>
              <w:rPr>
                <w:rFonts w:ascii="Arial" w:cs="Arial" w:eastAsia="Arial" w:hAnsi="Arial"/>
                <w:sz w:val="14"/>
                <w:szCs w:val="14"/>
                <w:color w:val="auto"/>
              </w:rPr>
              <w:t>Private Education Loan allowance for</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(364)</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(406)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(441)</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loan losses</w:t>
            </w: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Private Education Loans, net</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15,451</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15,456</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15,716</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000" w:type="dxa"/>
            <w:vAlign w:val="bottom"/>
            <w:gridSpan w:val="2"/>
          </w:tcPr>
          <w:p>
            <w:pPr>
              <w:spacing w:after="0" w:line="133" w:lineRule="exact"/>
              <w:rPr>
                <w:sz w:val="20"/>
                <w:szCs w:val="20"/>
                <w:color w:val="auto"/>
              </w:rPr>
            </w:pPr>
            <w:r>
              <w:rPr>
                <w:rFonts w:ascii="Arial" w:cs="Arial" w:eastAsia="Arial" w:hAnsi="Arial"/>
                <w:sz w:val="14"/>
                <w:szCs w:val="14"/>
                <w:color w:val="auto"/>
              </w:rPr>
              <w:t>Percentage of Private Education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31"/>
        </w:trPr>
        <w:tc>
          <w:tcPr>
            <w:tcW w:w="400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Loans in repayment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00" w:type="dxa"/>
            <w:vAlign w:val="bottom"/>
            <w:gridSpan w:val="2"/>
            <w:shd w:val="clear" w:color="auto" w:fill="CFF0FC"/>
          </w:tcPr>
          <w:p>
            <w:pPr>
              <w:spacing w:after="0" w:line="133" w:lineRule="exact"/>
              <w:rPr>
                <w:sz w:val="20"/>
                <w:szCs w:val="20"/>
                <w:color w:val="auto"/>
              </w:rPr>
            </w:pPr>
            <w:r>
              <w:rPr>
                <w:rFonts w:ascii="Arial" w:cs="Arial" w:eastAsia="Arial" w:hAnsi="Arial"/>
                <w:sz w:val="14"/>
                <w:szCs w:val="14"/>
                <w:color w:val="auto"/>
              </w:rPr>
              <w:t>Delinquencies as a percentage of</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Private Education Loans in</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1"/>
        </w:trPr>
        <w:tc>
          <w:tcPr>
            <w:tcW w:w="4000" w:type="dxa"/>
            <w:vAlign w:val="bottom"/>
            <w:gridSpan w:val="2"/>
            <w:shd w:val="clear" w:color="auto" w:fill="CFF0FC"/>
          </w:tcPr>
          <w:p>
            <w:pPr>
              <w:ind w:left="120"/>
              <w:spacing w:after="0" w:line="125" w:lineRule="exact"/>
              <w:rPr>
                <w:sz w:val="20"/>
                <w:szCs w:val="20"/>
                <w:color w:val="auto"/>
              </w:rPr>
            </w:pPr>
            <w:r>
              <w:rPr>
                <w:rFonts w:ascii="Arial" w:cs="Arial" w:eastAsia="Arial" w:hAnsi="Arial"/>
                <w:sz w:val="14"/>
                <w:szCs w:val="14"/>
                <w:color w:val="auto"/>
              </w:rPr>
              <w:t>repayment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tcBorders>
              <w:top w:val="single" w:sz="8" w:color="CFF0FC"/>
            </w:tcBorders>
            <w:gridSpan w:val="2"/>
          </w:tcPr>
          <w:p>
            <w:pPr>
              <w:spacing w:after="0" w:line="133" w:lineRule="exact"/>
              <w:rPr>
                <w:sz w:val="20"/>
                <w:szCs w:val="20"/>
                <w:color w:val="auto"/>
              </w:rPr>
            </w:pPr>
            <w:r>
              <w:rPr>
                <w:rFonts w:ascii="Arial" w:cs="Arial" w:eastAsia="Arial" w:hAnsi="Arial"/>
                <w:sz w:val="14"/>
                <w:szCs w:val="14"/>
                <w:color w:val="auto"/>
              </w:rPr>
              <w:t>Loans in forbearance as a percentage</w:t>
            </w:r>
          </w:p>
        </w:tc>
        <w:tc>
          <w:tcPr>
            <w:tcW w:w="80" w:type="dxa"/>
            <w:vAlign w:val="bottom"/>
            <w:tcBorders>
              <w:top w:val="single" w:sz="8" w:color="CFF0FC"/>
            </w:tcBorders>
          </w:tcPr>
          <w:p>
            <w:pPr>
              <w:spacing w:after="0"/>
              <w:rPr>
                <w:sz w:val="11"/>
                <w:szCs w:val="11"/>
                <w:color w:val="auto"/>
              </w:rPr>
            </w:pPr>
          </w:p>
        </w:tc>
        <w:tc>
          <w:tcPr>
            <w:tcW w:w="64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80"/>
              <w:spacing w:after="0"/>
              <w:rPr>
                <w:sz w:val="20"/>
                <w:szCs w:val="20"/>
                <w:color w:val="auto"/>
              </w:rPr>
            </w:pPr>
            <w:r>
              <w:rPr>
                <w:rFonts w:ascii="Arial" w:cs="Arial" w:eastAsia="Arial" w:hAnsi="Arial"/>
                <w:sz w:val="14"/>
                <w:szCs w:val="14"/>
                <w:color w:val="auto"/>
              </w:rPr>
              <w:t>of loans in repayment and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1"/>
        </w:trPr>
        <w:tc>
          <w:tcPr>
            <w:tcW w:w="4000" w:type="dxa"/>
            <w:vAlign w:val="bottom"/>
            <w:gridSpan w:val="2"/>
          </w:tcPr>
          <w:p>
            <w:pPr>
              <w:ind w:left="120"/>
              <w:spacing w:after="0" w:line="125" w:lineRule="exact"/>
              <w:rPr>
                <w:sz w:val="20"/>
                <w:szCs w:val="20"/>
                <w:color w:val="auto"/>
              </w:rPr>
            </w:pPr>
            <w:r>
              <w:rPr>
                <w:rFonts w:ascii="Arial" w:cs="Arial" w:eastAsia="Arial" w:hAnsi="Arial"/>
                <w:sz w:val="14"/>
                <w:szCs w:val="14"/>
                <w:color w:val="auto"/>
              </w:rPr>
              <w:t>forbearance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0" w:type="dxa"/>
            <w:vAlign w:val="bottom"/>
            <w:gridSpan w:val="2"/>
            <w:shd w:val="clear" w:color="auto" w:fill="CFF0FC"/>
          </w:tcPr>
          <w:p>
            <w:pPr>
              <w:spacing w:after="0" w:line="116" w:lineRule="exact"/>
              <w:rPr>
                <w:sz w:val="20"/>
                <w:szCs w:val="20"/>
                <w:color w:val="auto"/>
              </w:rPr>
            </w:pPr>
            <w:r>
              <w:rPr>
                <w:rFonts w:ascii="Arial" w:cs="Arial" w:eastAsia="Arial" w:hAnsi="Arial"/>
                <w:sz w:val="13"/>
                <w:szCs w:val="13"/>
                <w:color w:val="auto"/>
              </w:rPr>
              <w:t>Percentage of Private Education</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8"/>
        </w:trPr>
        <w:tc>
          <w:tcPr>
            <w:tcW w:w="4000" w:type="dxa"/>
            <w:vAlign w:val="bottom"/>
            <w:gridSpan w:val="2"/>
            <w:shd w:val="clear" w:color="auto" w:fill="CFF0FC"/>
          </w:tcPr>
          <w:p>
            <w:pPr>
              <w:ind w:left="120"/>
              <w:spacing w:after="0" w:line="142" w:lineRule="exact"/>
              <w:rPr>
                <w:sz w:val="20"/>
                <w:szCs w:val="20"/>
                <w:color w:val="auto"/>
              </w:rPr>
            </w:pPr>
            <w:r>
              <w:rPr>
                <w:rFonts w:ascii="Arial" w:cs="Arial" w:eastAsia="Arial" w:hAnsi="Arial"/>
                <w:sz w:val="12"/>
                <w:szCs w:val="12"/>
                <w:color w:val="auto"/>
              </w:rPr>
              <w:t>Loans with a cosigner</w:t>
            </w:r>
            <w:r>
              <w:rPr>
                <w:rFonts w:ascii="Arial" w:cs="Arial" w:eastAsia="Arial" w:hAnsi="Arial"/>
                <w:sz w:val="16"/>
                <w:szCs w:val="16"/>
                <w:color w:val="auto"/>
                <w:vertAlign w:val="superscript"/>
              </w:rPr>
              <w:t>(4)</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-1679575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-1679575</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-1679575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-1679575</wp:posOffset>
            </wp:positionV>
            <wp:extent cx="939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-1679575</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-1679575</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-1053465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-1036955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-1053465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-1036955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-1053465</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-1036955</wp:posOffset>
            </wp:positionV>
            <wp:extent cx="596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-539115</wp:posOffset>
            </wp:positionV>
            <wp:extent cx="939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-522605</wp:posOffset>
            </wp:positionV>
            <wp:extent cx="93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-539115</wp:posOffset>
            </wp:positionV>
            <wp:extent cx="939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-522605</wp:posOffset>
            </wp:positionV>
            <wp:extent cx="93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-539115</wp:posOffset>
            </wp:positionV>
            <wp:extent cx="939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-522605</wp:posOffset>
            </wp:positionV>
            <wp:extent cx="93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-24765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-7620</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-24765</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-7620</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-24765</wp:posOffset>
            </wp:positionV>
            <wp:extent cx="939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-7620</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111125</wp:posOffset>
            </wp:positionV>
            <wp:extent cx="7372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7" w:lineRule="exact"/>
        <w:rPr>
          <w:sz w:val="20"/>
          <w:szCs w:val="20"/>
          <w:color w:val="auto"/>
        </w:rPr>
      </w:pPr>
    </w:p>
    <w:p>
      <w:pPr>
        <w:ind w:left="220" w:right="60" w:hanging="216"/>
        <w:spacing w:after="0" w:line="222" w:lineRule="auto"/>
        <w:tabs>
          <w:tab w:leader="none" w:pos="319"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Loans for customers who are attending school or are in other permitted educational activities and are not yet required to make payments on their loans, e.g., loans for customers who have requested and qualify for other permitted program deferments such as various military eligible deferments.</w:t>
      </w:r>
    </w:p>
    <w:p>
      <w:pPr>
        <w:spacing w:after="0" w:line="40" w:lineRule="exact"/>
        <w:rPr>
          <w:rFonts w:ascii="Arial" w:cs="Arial" w:eastAsia="Arial" w:hAnsi="Arial"/>
          <w:sz w:val="19"/>
          <w:szCs w:val="19"/>
          <w:color w:val="auto"/>
          <w:vertAlign w:val="superscript"/>
        </w:rPr>
      </w:pPr>
    </w:p>
    <w:p>
      <w:pPr>
        <w:ind w:left="220" w:hanging="216"/>
        <w:spacing w:after="0" w:line="222" w:lineRule="auto"/>
        <w:tabs>
          <w:tab w:leader="none" w:pos="319"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Loans for customers who have requested extension of grace period generally during employment transition or who have temporarily ceased making full payments due to hardship or other factors such as disaster relief consistent with established loan program servicing policies and procedures.</w:t>
      </w:r>
    </w:p>
    <w:p>
      <w:pPr>
        <w:spacing w:after="0" w:line="12" w:lineRule="exact"/>
        <w:rPr>
          <w:rFonts w:ascii="Arial" w:cs="Arial" w:eastAsia="Arial" w:hAnsi="Arial"/>
          <w:sz w:val="19"/>
          <w:szCs w:val="19"/>
          <w:color w:val="auto"/>
          <w:vertAlign w:val="superscript"/>
        </w:rPr>
      </w:pPr>
    </w:p>
    <w:p>
      <w:pPr>
        <w:ind w:left="320" w:hanging="316"/>
        <w:spacing w:after="0"/>
        <w:tabs>
          <w:tab w:leader="none" w:pos="3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period of delinquency is based on the number of days scheduled payments are contractually past due.</w:t>
      </w:r>
    </w:p>
    <w:p>
      <w:pPr>
        <w:spacing w:after="0" w:line="47" w:lineRule="exact"/>
        <w:rPr>
          <w:rFonts w:ascii="Arial" w:cs="Arial" w:eastAsia="Arial" w:hAnsi="Arial"/>
          <w:sz w:val="19"/>
          <w:szCs w:val="19"/>
          <w:color w:val="auto"/>
          <w:vertAlign w:val="superscript"/>
        </w:rPr>
      </w:pPr>
    </w:p>
    <w:p>
      <w:pPr>
        <w:ind w:left="220" w:right="280" w:hanging="216"/>
        <w:spacing w:after="0" w:line="217" w:lineRule="auto"/>
        <w:tabs>
          <w:tab w:leader="none" w:pos="319"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Excluding Private Education Refinance Loans, which do not have a cosigner, the cosigner rate was 67%, 67% and 66% for fourth-quarter 2025, third-quarter 2025 and fourth-quarter 2024, respectively.</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68" w:right="1099" w:bottom="1440" w:gutter="0" w:footer="0" w:header="0"/>
        </w:sectPr>
      </w:pPr>
    </w:p>
    <w:bookmarkStart w:id="16" w:name="page17"/>
    <w:bookmarkEnd w:id="16"/>
    <w:p>
      <w:pPr>
        <w:ind w:left="7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72200" cy="171450"/>
                    </a:xfrm>
                    <a:prstGeom prst="rect">
                      <a:avLst/>
                    </a:prstGeom>
                    <a:noFill/>
                  </pic:spPr>
                </pic:pic>
              </a:graphicData>
            </a:graphic>
          </wp:anchor>
        </w:drawing>
        <w:t>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60" w:type="dxa"/>
            <w:vAlign w:val="bottom"/>
            <w:gridSpan w:val="2"/>
            <w:shd w:val="clear" w:color="auto" w:fill="D9D9D9"/>
          </w:tcPr>
          <w:p>
            <w:pPr>
              <w:jc w:val="center"/>
              <w:ind w:right="60"/>
              <w:spacing w:after="0"/>
              <w:rPr>
                <w:sz w:val="20"/>
                <w:szCs w:val="20"/>
                <w:color w:val="auto"/>
              </w:rPr>
            </w:pPr>
            <w:r>
              <w:rPr>
                <w:rFonts w:ascii="Arial" w:cs="Arial" w:eastAsia="Arial" w:hAnsi="Arial"/>
                <w:sz w:val="13"/>
                <w:szCs w:val="13"/>
                <w:b w:val="1"/>
                <w:bCs w:val="1"/>
                <w:color w:val="auto"/>
                <w:w w:val="96"/>
              </w:rPr>
              <w:t>QUARTER ENDED</w:t>
            </w:r>
          </w:p>
        </w:tc>
        <w:tc>
          <w:tcPr>
            <w:tcW w:w="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December 31, 2025</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FFELP</w:t>
            </w:r>
          </w:p>
        </w:tc>
        <w:tc>
          <w:tcPr>
            <w:tcW w:w="80" w:type="dxa"/>
            <w:vAlign w:val="bottom"/>
          </w:tcPr>
          <w:p>
            <w:pPr>
              <w:spacing w:after="0"/>
              <w:rPr>
                <w:sz w:val="9"/>
                <w:szCs w:val="9"/>
                <w:color w:val="auto"/>
              </w:rPr>
            </w:pPr>
          </w:p>
        </w:tc>
        <w:tc>
          <w:tcPr>
            <w:tcW w:w="1160" w:type="dxa"/>
            <w:vAlign w:val="bottom"/>
            <w:gridSpan w:val="2"/>
          </w:tcPr>
          <w:p>
            <w:pPr>
              <w:jc w:val="center"/>
              <w:ind w:right="380"/>
              <w:spacing w:after="0" w:line="111" w:lineRule="exact"/>
              <w:rPr>
                <w:sz w:val="20"/>
                <w:szCs w:val="20"/>
                <w:color w:val="auto"/>
              </w:rPr>
            </w:pPr>
            <w:r>
              <w:rPr>
                <w:rFonts w:ascii="Arial" w:cs="Arial" w:eastAsia="Arial" w:hAnsi="Arial"/>
                <w:sz w:val="12"/>
                <w:szCs w:val="12"/>
                <w:b w:val="1"/>
                <w:bCs w:val="1"/>
                <w:color w:val="auto"/>
              </w:rPr>
              <w:t>Private</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3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Education</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4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Loans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9"/>
              </w:rPr>
              <w:t>Loans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Allowance at beginning of period</w:t>
            </w:r>
          </w:p>
        </w:tc>
        <w:tc>
          <w:tcPr>
            <w:tcW w:w="300" w:type="dxa"/>
            <w:vAlign w:val="bottom"/>
            <w:gridSpan w:val="2"/>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406</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753"/>
              <w:spacing w:after="0" w:line="142"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592</w:t>
            </w: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Total provision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Charge-offs:</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572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Gross charge-offs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1"/>
                <w:szCs w:val="11"/>
                <w:color w:val="auto"/>
              </w:rPr>
            </w:pPr>
          </w:p>
        </w:tc>
        <w:tc>
          <w:tcPr>
            <w:tcW w:w="11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(100)</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(114)</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572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Expected future recoveries on current period gross charge-offs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14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5720" w:type="dxa"/>
            <w:vAlign w:val="bottom"/>
            <w:gridSpan w:val="2"/>
            <w:vMerge w:val="restart"/>
          </w:tcPr>
          <w:p>
            <w:pPr>
              <w:ind w:left="80"/>
              <w:spacing w:after="0" w:line="157" w:lineRule="exact"/>
              <w:rPr>
                <w:sz w:val="20"/>
                <w:szCs w:val="20"/>
                <w:color w:val="auto"/>
              </w:rPr>
            </w:pPr>
            <w:r>
              <w:rPr>
                <w:rFonts w:ascii="Arial" w:cs="Arial" w:eastAsia="Arial" w:hAnsi="Arial"/>
                <w:sz w:val="13"/>
                <w:szCs w:val="13"/>
                <w:color w:val="auto"/>
              </w:rPr>
              <w:t>Total</w:t>
            </w:r>
            <w:r>
              <w:rPr>
                <w:rFonts w:ascii="Arial" w:cs="Arial" w:eastAsia="Arial" w:hAnsi="Arial"/>
                <w:sz w:val="18"/>
                <w:szCs w:val="18"/>
                <w:color w:val="auto"/>
                <w:vertAlign w:val="superscript"/>
              </w:rPr>
              <w:t>(1)</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(14)</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(86)</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ind w:left="80"/>
              <w:spacing w:after="0" w:line="176" w:lineRule="exact"/>
              <w:rPr>
                <w:sz w:val="20"/>
                <w:szCs w:val="20"/>
                <w:color w:val="auto"/>
              </w:rPr>
            </w:pPr>
            <w:r>
              <w:rPr>
                <w:rFonts w:ascii="Arial" w:cs="Arial" w:eastAsia="Arial" w:hAnsi="Arial"/>
                <w:sz w:val="13"/>
                <w:szCs w:val="13"/>
                <w:color w:val="auto"/>
              </w:rPr>
              <w:t>Adjustment resulting from the change in charge-off rate</w:t>
            </w:r>
            <w:r>
              <w:rPr>
                <w:rFonts w:ascii="Arial" w:cs="Arial" w:eastAsia="Arial" w:hAnsi="Arial"/>
                <w:sz w:val="18"/>
                <w:szCs w:val="18"/>
                <w:color w:val="auto"/>
                <w:vertAlign w:val="superscript"/>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charge-offs</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20"/>
              <w:spacing w:after="0" w:line="115"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0"/>
                <w:szCs w:val="10"/>
                <w:color w:val="auto"/>
              </w:rPr>
            </w:pPr>
          </w:p>
        </w:tc>
        <w:tc>
          <w:tcPr>
            <w:tcW w:w="1160" w:type="dxa"/>
            <w:vAlign w:val="bottom"/>
            <w:gridSpan w:val="2"/>
          </w:tcPr>
          <w:p>
            <w:pPr>
              <w:jc w:val="right"/>
              <w:ind w:right="200"/>
              <w:spacing w:after="0" w:line="115" w:lineRule="exact"/>
              <w:rPr>
                <w:sz w:val="20"/>
                <w:szCs w:val="20"/>
                <w:color w:val="auto"/>
              </w:rPr>
            </w:pPr>
            <w:r>
              <w:rPr>
                <w:rFonts w:ascii="Arial" w:cs="Arial" w:eastAsia="Arial" w:hAnsi="Arial"/>
                <w:sz w:val="13"/>
                <w:szCs w:val="13"/>
                <w:color w:val="auto"/>
              </w:rPr>
              <w:t>(87)</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gridSpan w:val="2"/>
          </w:tcPr>
          <w:p>
            <w:pPr>
              <w:jc w:val="right"/>
              <w:ind w:right="40"/>
              <w:spacing w:after="0" w:line="115" w:lineRule="exact"/>
              <w:rPr>
                <w:sz w:val="20"/>
                <w:szCs w:val="20"/>
                <w:color w:val="auto"/>
              </w:rPr>
            </w:pPr>
            <w:r>
              <w:rPr>
                <w:rFonts w:ascii="Arial" w:cs="Arial" w:eastAsia="Arial" w:hAnsi="Arial"/>
                <w:sz w:val="13"/>
                <w:szCs w:val="13"/>
                <w:color w:val="auto"/>
              </w:rPr>
              <w:t>(101)</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(GAAP)</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173</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364</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537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excluding expected future recoveries on previously fully</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173</w:t>
            </w:r>
          </w:p>
        </w:tc>
        <w:tc>
          <w:tcPr>
            <w:tcW w:w="26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534</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3"/>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5720" w:type="dxa"/>
            <w:vAlign w:val="bottom"/>
            <w:gridSpan w:val="2"/>
          </w:tcPr>
          <w:p>
            <w:pPr>
              <w:ind w:left="120"/>
              <w:spacing w:after="0" w:line="129" w:lineRule="exact"/>
              <w:rPr>
                <w:sz w:val="20"/>
                <w:szCs w:val="20"/>
                <w:color w:val="auto"/>
              </w:rPr>
            </w:pPr>
            <w:r>
              <w:rPr>
                <w:rFonts w:ascii="Arial" w:cs="Arial" w:eastAsia="Arial" w:hAnsi="Arial"/>
                <w:sz w:val="11"/>
                <w:szCs w:val="11"/>
                <w:color w:val="auto"/>
              </w:rPr>
              <w:t>charged-off loans (Non-GAAP Financial Measure)</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0" w:type="dxa"/>
            <w:vAlign w:val="bottom"/>
          </w:tcPr>
          <w:p>
            <w:pPr>
              <w:spacing w:after="0"/>
              <w:rPr>
                <w:sz w:val="8"/>
                <w:szCs w:val="8"/>
                <w:color w:val="auto"/>
              </w:rPr>
            </w:pPr>
          </w:p>
        </w:tc>
        <w:tc>
          <w:tcPr>
            <w:tcW w:w="5720" w:type="dxa"/>
            <w:vAlign w:val="bottom"/>
            <w:gridSpan w:val="2"/>
            <w:shd w:val="clear" w:color="auto" w:fill="CFF0FC"/>
          </w:tcPr>
          <w:p>
            <w:pPr>
              <w:spacing w:after="0" w:line="102" w:lineRule="exact"/>
              <w:rPr>
                <w:sz w:val="20"/>
                <w:szCs w:val="20"/>
                <w:color w:val="auto"/>
              </w:rPr>
            </w:pPr>
            <w:r>
              <w:rPr>
                <w:rFonts w:ascii="Arial" w:cs="Arial" w:eastAsia="Arial" w:hAnsi="Arial"/>
                <w:sz w:val="11"/>
                <w:szCs w:val="11"/>
                <w:color w:val="auto"/>
              </w:rPr>
              <w:t>Net charge-offs as a percentage of average loans in repayment, excluding the net adjustment</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shd w:val="clear" w:color="auto" w:fill="CFF0FC"/>
          </w:tcPr>
          <w:p>
            <w:pPr>
              <w:ind w:left="120"/>
              <w:spacing w:after="0" w:line="176" w:lineRule="exact"/>
              <w:rPr>
                <w:sz w:val="20"/>
                <w:szCs w:val="20"/>
                <w:color w:val="auto"/>
              </w:rPr>
            </w:pPr>
            <w:r>
              <w:rPr>
                <w:rFonts w:ascii="Arial" w:cs="Arial" w:eastAsia="Arial" w:hAnsi="Arial"/>
                <w:sz w:val="13"/>
                <w:szCs w:val="13"/>
                <w:color w:val="auto"/>
              </w:rPr>
              <w:t>resulting from the change in charge-off rate (annualized)</w:t>
            </w:r>
            <w:r>
              <w:rPr>
                <w:rFonts w:ascii="Arial" w:cs="Arial" w:eastAsia="Arial" w:hAnsi="Arial"/>
                <w:sz w:val="18"/>
                <w:szCs w:val="18"/>
                <w:color w:val="auto"/>
                <w:vertAlign w:val="superscript"/>
              </w:rPr>
              <w:t>(2)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2.24%</w:t>
            </w:r>
          </w:p>
        </w:tc>
        <w:tc>
          <w:tcPr>
            <w:tcW w:w="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5720" w:type="dxa"/>
            <w:vAlign w:val="bottom"/>
            <w:gridSpan w:val="2"/>
          </w:tcPr>
          <w:p>
            <w:pPr>
              <w:spacing w:after="0" w:line="122" w:lineRule="exact"/>
              <w:rPr>
                <w:sz w:val="20"/>
                <w:szCs w:val="20"/>
                <w:color w:val="auto"/>
              </w:rPr>
            </w:pPr>
            <w:r>
              <w:rPr>
                <w:rFonts w:ascii="Arial" w:cs="Arial" w:eastAsia="Arial" w:hAnsi="Arial"/>
                <w:sz w:val="13"/>
                <w:szCs w:val="13"/>
                <w:color w:val="auto"/>
              </w:rPr>
              <w:t>Net adjustment resulting from the change in charge-off rate as a percentage of average loans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7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in repayment (annualized)</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charge-offs as a percentage of average loans in repayment (annualized)</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40"/>
              <w:spacing w:after="0" w:line="115" w:lineRule="exact"/>
              <w:rPr>
                <w:sz w:val="20"/>
                <w:szCs w:val="20"/>
                <w:color w:val="auto"/>
              </w:rPr>
            </w:pPr>
            <w:r>
              <w:rPr>
                <w:rFonts w:ascii="Arial" w:cs="Arial" w:eastAsia="Arial" w:hAnsi="Arial"/>
                <w:sz w:val="13"/>
                <w:szCs w:val="13"/>
                <w:color w:val="auto"/>
              </w:rPr>
              <w:t>.23%</w:t>
            </w:r>
          </w:p>
        </w:tc>
        <w:tc>
          <w:tcPr>
            <w:tcW w:w="80" w:type="dxa"/>
            <w:vAlign w:val="bottom"/>
          </w:tcPr>
          <w:p>
            <w:pPr>
              <w:spacing w:after="0"/>
              <w:rPr>
                <w:sz w:val="10"/>
                <w:szCs w:val="10"/>
                <w:color w:val="auto"/>
              </w:rPr>
            </w:pPr>
          </w:p>
        </w:tc>
        <w:tc>
          <w:tcPr>
            <w:tcW w:w="116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2.26%</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3"/>
                <w:szCs w:val="13"/>
                <w:color w:val="auto"/>
              </w:rPr>
              <w:t>Allowance coverage of charge-offs (annualized)</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total loans</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28,314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15,815</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Average loans in repayment</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24,006</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15,268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loans in repayment</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23,572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15,184</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60" w:type="dxa"/>
            <w:vAlign w:val="bottom"/>
            <w:gridSpan w:val="2"/>
            <w:shd w:val="clear" w:color="auto" w:fill="D9D9D9"/>
          </w:tcPr>
          <w:p>
            <w:pPr>
              <w:jc w:val="center"/>
              <w:ind w:right="60"/>
              <w:spacing w:after="0"/>
              <w:rPr>
                <w:sz w:val="20"/>
                <w:szCs w:val="20"/>
                <w:color w:val="auto"/>
              </w:rPr>
            </w:pPr>
            <w:r>
              <w:rPr>
                <w:rFonts w:ascii="Arial" w:cs="Arial" w:eastAsia="Arial" w:hAnsi="Arial"/>
                <w:sz w:val="13"/>
                <w:szCs w:val="13"/>
                <w:b w:val="1"/>
                <w:bCs w:val="1"/>
                <w:color w:val="auto"/>
                <w:w w:val="96"/>
              </w:rPr>
              <w:t>QUARTER ENDED</w:t>
            </w:r>
          </w:p>
        </w:tc>
        <w:tc>
          <w:tcPr>
            <w:tcW w:w="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September 30, 2025</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FFELP</w:t>
            </w:r>
          </w:p>
        </w:tc>
        <w:tc>
          <w:tcPr>
            <w:tcW w:w="80" w:type="dxa"/>
            <w:vAlign w:val="bottom"/>
          </w:tcPr>
          <w:p>
            <w:pPr>
              <w:spacing w:after="0"/>
              <w:rPr>
                <w:sz w:val="9"/>
                <w:szCs w:val="9"/>
                <w:color w:val="auto"/>
              </w:rPr>
            </w:pPr>
          </w:p>
        </w:tc>
        <w:tc>
          <w:tcPr>
            <w:tcW w:w="1160" w:type="dxa"/>
            <w:vAlign w:val="bottom"/>
            <w:gridSpan w:val="2"/>
          </w:tcPr>
          <w:p>
            <w:pPr>
              <w:jc w:val="center"/>
              <w:ind w:right="380"/>
              <w:spacing w:after="0" w:line="111" w:lineRule="exact"/>
              <w:rPr>
                <w:sz w:val="20"/>
                <w:szCs w:val="20"/>
                <w:color w:val="auto"/>
              </w:rPr>
            </w:pPr>
            <w:r>
              <w:rPr>
                <w:rFonts w:ascii="Arial" w:cs="Arial" w:eastAsia="Arial" w:hAnsi="Arial"/>
                <w:sz w:val="12"/>
                <w:szCs w:val="12"/>
                <w:b w:val="1"/>
                <w:bCs w:val="1"/>
                <w:color w:val="auto"/>
              </w:rPr>
              <w:t>Private</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3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Education</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4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Loans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9"/>
              </w:rPr>
              <w:t>Loans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Allowance at beginning of period</w:t>
            </w:r>
          </w:p>
        </w:tc>
        <w:tc>
          <w:tcPr>
            <w:tcW w:w="300" w:type="dxa"/>
            <w:vAlign w:val="bottom"/>
            <w:gridSpan w:val="2"/>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348</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753"/>
              <w:spacing w:after="0" w:line="142"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530</w:t>
            </w: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Total provision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Charge-offs:</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572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Gross charge-offs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11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(111)</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(120)</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572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Expected future recoveries on current period gross charge-offs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16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5720" w:type="dxa"/>
            <w:vAlign w:val="bottom"/>
            <w:gridSpan w:val="2"/>
            <w:vMerge w:val="restart"/>
          </w:tcPr>
          <w:p>
            <w:pPr>
              <w:ind w:left="80"/>
              <w:spacing w:after="0" w:line="157" w:lineRule="exact"/>
              <w:rPr>
                <w:sz w:val="20"/>
                <w:szCs w:val="20"/>
                <w:color w:val="auto"/>
              </w:rPr>
            </w:pPr>
            <w:r>
              <w:rPr>
                <w:rFonts w:ascii="Arial" w:cs="Arial" w:eastAsia="Arial" w:hAnsi="Arial"/>
                <w:sz w:val="13"/>
                <w:szCs w:val="13"/>
                <w:color w:val="auto"/>
              </w:rPr>
              <w:t>Total</w:t>
            </w:r>
            <w:r>
              <w:rPr>
                <w:rFonts w:ascii="Arial" w:cs="Arial" w:eastAsia="Arial" w:hAnsi="Arial"/>
                <w:sz w:val="18"/>
                <w:szCs w:val="18"/>
                <w:color w:val="auto"/>
                <w:vertAlign w:val="superscript"/>
              </w:rPr>
              <w:t>(1)</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20"/>
              <w:spacing w:after="0" w:line="11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0"/>
                <w:szCs w:val="10"/>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3"/>
                <w:szCs w:val="13"/>
                <w:color w:val="auto"/>
              </w:rPr>
              <w:t>(95)</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jc w:val="right"/>
              <w:spacing w:after="0" w:line="115" w:lineRule="exact"/>
              <w:rPr>
                <w:sz w:val="20"/>
                <w:szCs w:val="20"/>
                <w:color w:val="auto"/>
              </w:rPr>
            </w:pPr>
            <w:r>
              <w:rPr>
                <w:rFonts w:ascii="Arial" w:cs="Arial" w:eastAsia="Arial" w:hAnsi="Arial"/>
                <w:sz w:val="13"/>
                <w:szCs w:val="13"/>
                <w:color w:val="auto"/>
              </w:rPr>
              <w:t>(104)</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ind w:left="80"/>
              <w:spacing w:after="0" w:line="176" w:lineRule="exact"/>
              <w:rPr>
                <w:sz w:val="20"/>
                <w:szCs w:val="20"/>
                <w:color w:val="auto"/>
              </w:rPr>
            </w:pPr>
            <w:r>
              <w:rPr>
                <w:rFonts w:ascii="Arial" w:cs="Arial" w:eastAsia="Arial" w:hAnsi="Arial"/>
                <w:sz w:val="13"/>
                <w:szCs w:val="13"/>
                <w:color w:val="auto"/>
              </w:rPr>
              <w:t>Adjustment resulting from the change in charge-off rate</w:t>
            </w:r>
            <w:r>
              <w:rPr>
                <w:rFonts w:ascii="Arial" w:cs="Arial" w:eastAsia="Arial" w:hAnsi="Arial"/>
                <w:sz w:val="18"/>
                <w:szCs w:val="18"/>
                <w:color w:val="auto"/>
                <w:vertAlign w:val="superscript"/>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charge-offs</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20"/>
              <w:spacing w:after="0" w:line="11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0"/>
                <w:szCs w:val="10"/>
                <w:color w:val="auto"/>
              </w:rPr>
            </w:pPr>
          </w:p>
        </w:tc>
        <w:tc>
          <w:tcPr>
            <w:tcW w:w="1160" w:type="dxa"/>
            <w:vAlign w:val="bottom"/>
            <w:gridSpan w:val="2"/>
          </w:tcPr>
          <w:p>
            <w:pPr>
              <w:jc w:val="right"/>
              <w:ind w:right="200"/>
              <w:spacing w:after="0" w:line="115" w:lineRule="exact"/>
              <w:rPr>
                <w:sz w:val="20"/>
                <w:szCs w:val="20"/>
                <w:color w:val="auto"/>
              </w:rPr>
            </w:pPr>
            <w:r>
              <w:rPr>
                <w:rFonts w:ascii="Arial" w:cs="Arial" w:eastAsia="Arial" w:hAnsi="Arial"/>
                <w:sz w:val="13"/>
                <w:szCs w:val="13"/>
                <w:color w:val="auto"/>
              </w:rPr>
              <w:t>(96)</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gridSpan w:val="2"/>
          </w:tcPr>
          <w:p>
            <w:pPr>
              <w:jc w:val="right"/>
              <w:ind w:right="40"/>
              <w:spacing w:after="0" w:line="115" w:lineRule="exact"/>
              <w:rPr>
                <w:sz w:val="20"/>
                <w:szCs w:val="20"/>
                <w:color w:val="auto"/>
              </w:rPr>
            </w:pPr>
            <w:r>
              <w:rPr>
                <w:rFonts w:ascii="Arial" w:cs="Arial" w:eastAsia="Arial" w:hAnsi="Arial"/>
                <w:sz w:val="13"/>
                <w:szCs w:val="13"/>
                <w:color w:val="auto"/>
              </w:rPr>
              <w:t>(105)</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(GAAP)</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186</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406</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592</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excluding expected future recoveries on previously fully</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186</w:t>
            </w:r>
          </w:p>
        </w:tc>
        <w:tc>
          <w:tcPr>
            <w:tcW w:w="26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579</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3"/>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5720" w:type="dxa"/>
            <w:vAlign w:val="bottom"/>
            <w:gridSpan w:val="2"/>
          </w:tcPr>
          <w:p>
            <w:pPr>
              <w:ind w:left="120"/>
              <w:spacing w:after="0" w:line="129" w:lineRule="exact"/>
              <w:rPr>
                <w:sz w:val="20"/>
                <w:szCs w:val="20"/>
                <w:color w:val="auto"/>
              </w:rPr>
            </w:pPr>
            <w:r>
              <w:rPr>
                <w:rFonts w:ascii="Arial" w:cs="Arial" w:eastAsia="Arial" w:hAnsi="Arial"/>
                <w:sz w:val="11"/>
                <w:szCs w:val="11"/>
                <w:color w:val="auto"/>
              </w:rPr>
              <w:t>charged-off loans (Non-GAAP Financial Measure)</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0" w:type="dxa"/>
            <w:vAlign w:val="bottom"/>
          </w:tcPr>
          <w:p>
            <w:pPr>
              <w:spacing w:after="0"/>
              <w:rPr>
                <w:sz w:val="8"/>
                <w:szCs w:val="8"/>
                <w:color w:val="auto"/>
              </w:rPr>
            </w:pPr>
          </w:p>
        </w:tc>
        <w:tc>
          <w:tcPr>
            <w:tcW w:w="5720" w:type="dxa"/>
            <w:vAlign w:val="bottom"/>
            <w:gridSpan w:val="2"/>
            <w:shd w:val="clear" w:color="auto" w:fill="CFF0FC"/>
          </w:tcPr>
          <w:p>
            <w:pPr>
              <w:spacing w:after="0" w:line="102" w:lineRule="exact"/>
              <w:rPr>
                <w:sz w:val="20"/>
                <w:szCs w:val="20"/>
                <w:color w:val="auto"/>
              </w:rPr>
            </w:pPr>
            <w:r>
              <w:rPr>
                <w:rFonts w:ascii="Arial" w:cs="Arial" w:eastAsia="Arial" w:hAnsi="Arial"/>
                <w:sz w:val="11"/>
                <w:szCs w:val="11"/>
                <w:color w:val="auto"/>
              </w:rPr>
              <w:t>Net charge-offs as a percentage of average loans in repayment, excluding the net adjustment</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shd w:val="clear" w:color="auto" w:fill="CFF0FC"/>
          </w:tcPr>
          <w:p>
            <w:pPr>
              <w:ind w:left="120"/>
              <w:spacing w:after="0" w:line="176" w:lineRule="exact"/>
              <w:rPr>
                <w:sz w:val="20"/>
                <w:szCs w:val="20"/>
                <w:color w:val="auto"/>
              </w:rPr>
            </w:pPr>
            <w:r>
              <w:rPr>
                <w:rFonts w:ascii="Arial" w:cs="Arial" w:eastAsia="Arial" w:hAnsi="Arial"/>
                <w:sz w:val="13"/>
                <w:szCs w:val="13"/>
                <w:color w:val="auto"/>
              </w:rPr>
              <w:t>resulting from the change in charge-off rate (annualized)</w:t>
            </w:r>
            <w:r>
              <w:rPr>
                <w:rFonts w:ascii="Arial" w:cs="Arial" w:eastAsia="Arial" w:hAnsi="Arial"/>
                <w:sz w:val="18"/>
                <w:szCs w:val="18"/>
                <w:color w:val="auto"/>
                <w:vertAlign w:val="superscript"/>
              </w:rPr>
              <w:t>(2)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2.48%</w:t>
            </w:r>
          </w:p>
        </w:tc>
        <w:tc>
          <w:tcPr>
            <w:tcW w:w="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5720" w:type="dxa"/>
            <w:vAlign w:val="bottom"/>
            <w:gridSpan w:val="2"/>
          </w:tcPr>
          <w:p>
            <w:pPr>
              <w:spacing w:after="0" w:line="122" w:lineRule="exact"/>
              <w:rPr>
                <w:sz w:val="20"/>
                <w:szCs w:val="20"/>
                <w:color w:val="auto"/>
              </w:rPr>
            </w:pPr>
            <w:r>
              <w:rPr>
                <w:rFonts w:ascii="Arial" w:cs="Arial" w:eastAsia="Arial" w:hAnsi="Arial"/>
                <w:sz w:val="13"/>
                <w:szCs w:val="13"/>
                <w:color w:val="auto"/>
              </w:rPr>
              <w:t>Net adjustment resulting from the change in charge-off rate as a percentage of average loans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7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in repayment (annualized)</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charge-offs as a percentage of average loans in repayment (annualized)</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40"/>
              <w:spacing w:after="0" w:line="11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0"/>
                <w:szCs w:val="10"/>
                <w:color w:val="auto"/>
              </w:rPr>
            </w:pPr>
          </w:p>
        </w:tc>
        <w:tc>
          <w:tcPr>
            <w:tcW w:w="116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2.50%</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3"/>
                <w:szCs w:val="13"/>
                <w:color w:val="auto"/>
              </w:rPr>
              <w:t>Allowance coverage of charge-offs (annualized)</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3.8%</w:t>
            </w:r>
          </w:p>
        </w:tc>
        <w:tc>
          <w:tcPr>
            <w:tcW w:w="2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total loans</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29,138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15,862</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Average loans in repayment</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24,527</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15,259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loans in repayment</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24,136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15,221</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6"/>
        </w:trPr>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751"/>
        </w:trPr>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-4379595</wp:posOffset>
            </wp:positionV>
            <wp:extent cx="6172200" cy="93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-4191000</wp:posOffset>
            </wp:positionV>
            <wp:extent cx="6172200" cy="93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-5640070</wp:posOffset>
            </wp:positionV>
            <wp:extent cx="6172200" cy="1028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-5442585</wp:posOffset>
            </wp:positionV>
            <wp:extent cx="6172200"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-5245735</wp:posOffset>
            </wp:positionV>
            <wp:extent cx="6172200" cy="1028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-5048250</wp:posOffset>
            </wp:positionV>
            <wp:extent cx="617220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-1413510</wp:posOffset>
            </wp:positionV>
            <wp:extent cx="617220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-1224915</wp:posOffset>
            </wp:positionV>
            <wp:extent cx="6172200" cy="93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-2673985</wp:posOffset>
            </wp:positionV>
            <wp:extent cx="6172200"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-2476500</wp:posOffset>
            </wp:positionV>
            <wp:extent cx="617220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-2279650</wp:posOffset>
            </wp:positionV>
            <wp:extent cx="617220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-2082165</wp:posOffset>
            </wp:positionV>
            <wp:extent cx="617220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72200" cy="102870"/>
                    </a:xfrm>
                    <a:prstGeom prst="rect">
                      <a:avLst/>
                    </a:prstGeom>
                    <a:noFill/>
                  </pic:spPr>
                </pic:pic>
              </a:graphicData>
            </a:graphic>
          </wp:anchor>
        </w:drawing>
      </w:r>
    </w:p>
    <w:p>
      <w:pPr>
        <w:sectPr>
          <w:pgSz w:w="11900" w:h="16838" w:orient="portrait"/>
          <w:cols w:equalWidth="0" w:num="1">
            <w:col w:w="11040"/>
          </w:cols>
          <w:pgMar w:left="420" w:top="1052"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60" w:type="dxa"/>
            <w:vAlign w:val="bottom"/>
            <w:gridSpan w:val="2"/>
            <w:shd w:val="clear" w:color="auto" w:fill="D9D9D9"/>
          </w:tcPr>
          <w:p>
            <w:pPr>
              <w:jc w:val="center"/>
              <w:ind w:right="60"/>
              <w:spacing w:after="0"/>
              <w:rPr>
                <w:sz w:val="20"/>
                <w:szCs w:val="20"/>
                <w:color w:val="auto"/>
              </w:rPr>
            </w:pPr>
            <w:r>
              <w:rPr>
                <w:rFonts w:ascii="Arial" w:cs="Arial" w:eastAsia="Arial" w:hAnsi="Arial"/>
                <w:sz w:val="13"/>
                <w:szCs w:val="13"/>
                <w:b w:val="1"/>
                <w:bCs w:val="1"/>
                <w:color w:val="auto"/>
                <w:w w:val="96"/>
              </w:rPr>
              <w:t>QUARTER ENDED</w:t>
            </w:r>
          </w:p>
        </w:tc>
        <w:tc>
          <w:tcPr>
            <w:tcW w:w="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December 31, 2024</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FFELP</w:t>
            </w:r>
          </w:p>
        </w:tc>
        <w:tc>
          <w:tcPr>
            <w:tcW w:w="80" w:type="dxa"/>
            <w:vAlign w:val="bottom"/>
          </w:tcPr>
          <w:p>
            <w:pPr>
              <w:spacing w:after="0"/>
              <w:rPr>
                <w:sz w:val="9"/>
                <w:szCs w:val="9"/>
                <w:color w:val="auto"/>
              </w:rPr>
            </w:pPr>
          </w:p>
        </w:tc>
        <w:tc>
          <w:tcPr>
            <w:tcW w:w="1160" w:type="dxa"/>
            <w:vAlign w:val="bottom"/>
            <w:gridSpan w:val="2"/>
          </w:tcPr>
          <w:p>
            <w:pPr>
              <w:jc w:val="center"/>
              <w:ind w:right="380"/>
              <w:spacing w:after="0" w:line="111" w:lineRule="exact"/>
              <w:rPr>
                <w:sz w:val="20"/>
                <w:szCs w:val="20"/>
                <w:color w:val="auto"/>
              </w:rPr>
            </w:pPr>
            <w:r>
              <w:rPr>
                <w:rFonts w:ascii="Arial" w:cs="Arial" w:eastAsia="Arial" w:hAnsi="Arial"/>
                <w:sz w:val="12"/>
                <w:szCs w:val="12"/>
                <w:b w:val="1"/>
                <w:bCs w:val="1"/>
                <w:color w:val="auto"/>
              </w:rPr>
              <w:t>Private</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3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Education</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4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Loans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9"/>
              </w:rPr>
              <w:t>Loans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Allowance at beginning of period</w:t>
            </w:r>
          </w:p>
        </w:tc>
        <w:tc>
          <w:tcPr>
            <w:tcW w:w="300" w:type="dxa"/>
            <w:vAlign w:val="bottom"/>
            <w:gridSpan w:val="2"/>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471</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754"/>
              <w:spacing w:after="0" w:line="142"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651</w:t>
            </w: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Total provision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Charge-offs:</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572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Gross charge-offs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11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(82)</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(89)</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572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Expected future recoveries on current period gross charge-offs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5720" w:type="dxa"/>
            <w:vAlign w:val="bottom"/>
            <w:gridSpan w:val="2"/>
            <w:vMerge w:val="restart"/>
          </w:tcPr>
          <w:p>
            <w:pPr>
              <w:ind w:left="80"/>
              <w:spacing w:after="0" w:line="157" w:lineRule="exact"/>
              <w:rPr>
                <w:sz w:val="20"/>
                <w:szCs w:val="20"/>
                <w:color w:val="auto"/>
              </w:rPr>
            </w:pPr>
            <w:r>
              <w:rPr>
                <w:rFonts w:ascii="Arial" w:cs="Arial" w:eastAsia="Arial" w:hAnsi="Arial"/>
                <w:sz w:val="13"/>
                <w:szCs w:val="13"/>
                <w:color w:val="auto"/>
              </w:rPr>
              <w:t>Total</w:t>
            </w:r>
            <w:r>
              <w:rPr>
                <w:rFonts w:ascii="Arial" w:cs="Arial" w:eastAsia="Arial" w:hAnsi="Arial"/>
                <w:sz w:val="18"/>
                <w:szCs w:val="18"/>
                <w:color w:val="auto"/>
                <w:vertAlign w:val="superscript"/>
              </w:rPr>
              <w:t>(1)</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20"/>
              <w:spacing w:after="0" w:line="115"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0"/>
                <w:szCs w:val="10"/>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3"/>
                <w:szCs w:val="13"/>
                <w:color w:val="auto"/>
              </w:rPr>
              <w:t>(71)</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jc w:val="right"/>
              <w:spacing w:after="0" w:line="115" w:lineRule="exact"/>
              <w:rPr>
                <w:sz w:val="20"/>
                <w:szCs w:val="20"/>
                <w:color w:val="auto"/>
              </w:rPr>
            </w:pPr>
            <w:r>
              <w:rPr>
                <w:rFonts w:ascii="Arial" w:cs="Arial" w:eastAsia="Arial" w:hAnsi="Arial"/>
                <w:sz w:val="13"/>
                <w:szCs w:val="13"/>
                <w:color w:val="auto"/>
              </w:rPr>
              <w:t>(78)</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ind w:left="80"/>
              <w:spacing w:after="0" w:line="176" w:lineRule="exact"/>
              <w:rPr>
                <w:sz w:val="20"/>
                <w:szCs w:val="20"/>
                <w:color w:val="auto"/>
              </w:rPr>
            </w:pPr>
            <w:r>
              <w:rPr>
                <w:rFonts w:ascii="Arial" w:cs="Arial" w:eastAsia="Arial" w:hAnsi="Arial"/>
                <w:sz w:val="13"/>
                <w:szCs w:val="13"/>
                <w:color w:val="auto"/>
              </w:rPr>
              <w:t>Adjustment resulting from the change in charge-off rate</w:t>
            </w:r>
            <w:r>
              <w:rPr>
                <w:rFonts w:ascii="Arial" w:cs="Arial" w:eastAsia="Arial" w:hAnsi="Arial"/>
                <w:sz w:val="18"/>
                <w:szCs w:val="18"/>
                <w:color w:val="auto"/>
                <w:vertAlign w:val="superscript"/>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charge-offs</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20"/>
              <w:spacing w:after="0" w:line="115"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0"/>
                <w:szCs w:val="10"/>
                <w:color w:val="auto"/>
              </w:rPr>
            </w:pPr>
          </w:p>
        </w:tc>
        <w:tc>
          <w:tcPr>
            <w:tcW w:w="1160" w:type="dxa"/>
            <w:vAlign w:val="bottom"/>
            <w:gridSpan w:val="2"/>
          </w:tcPr>
          <w:p>
            <w:pPr>
              <w:jc w:val="right"/>
              <w:ind w:right="200"/>
              <w:spacing w:after="0" w:line="115" w:lineRule="exact"/>
              <w:rPr>
                <w:sz w:val="20"/>
                <w:szCs w:val="20"/>
                <w:color w:val="auto"/>
              </w:rPr>
            </w:pPr>
            <w:r>
              <w:rPr>
                <w:rFonts w:ascii="Arial" w:cs="Arial" w:eastAsia="Arial" w:hAnsi="Arial"/>
                <w:sz w:val="13"/>
                <w:szCs w:val="13"/>
                <w:color w:val="auto"/>
              </w:rPr>
              <w:t>(73)</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gridSpan w:val="2"/>
          </w:tcPr>
          <w:p>
            <w:pPr>
              <w:jc w:val="right"/>
              <w:ind w:right="40"/>
              <w:spacing w:after="0" w:line="115" w:lineRule="exact"/>
              <w:rPr>
                <w:sz w:val="20"/>
                <w:szCs w:val="20"/>
                <w:color w:val="auto"/>
              </w:rPr>
            </w:pPr>
            <w:r>
              <w:rPr>
                <w:rFonts w:ascii="Arial" w:cs="Arial" w:eastAsia="Arial" w:hAnsi="Arial"/>
                <w:sz w:val="13"/>
                <w:szCs w:val="13"/>
                <w:color w:val="auto"/>
              </w:rPr>
              <w:t>(80)</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(GAAP)</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180</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441</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621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excluding expected future recoveries on previously fully</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180</w:t>
            </w:r>
          </w:p>
        </w:tc>
        <w:tc>
          <w:tcPr>
            <w:tcW w:w="26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620</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4"/>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5720" w:type="dxa"/>
            <w:vAlign w:val="bottom"/>
            <w:gridSpan w:val="2"/>
          </w:tcPr>
          <w:p>
            <w:pPr>
              <w:ind w:left="120"/>
              <w:spacing w:after="0" w:line="129" w:lineRule="exact"/>
              <w:rPr>
                <w:sz w:val="20"/>
                <w:szCs w:val="20"/>
                <w:color w:val="auto"/>
              </w:rPr>
            </w:pPr>
            <w:r>
              <w:rPr>
                <w:rFonts w:ascii="Arial" w:cs="Arial" w:eastAsia="Arial" w:hAnsi="Arial"/>
                <w:sz w:val="11"/>
                <w:szCs w:val="11"/>
                <w:color w:val="auto"/>
              </w:rPr>
              <w:t>charged-off loans (Non-GAAP Financial Measure)</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0" w:type="dxa"/>
            <w:vAlign w:val="bottom"/>
          </w:tcPr>
          <w:p>
            <w:pPr>
              <w:spacing w:after="0"/>
              <w:rPr>
                <w:sz w:val="8"/>
                <w:szCs w:val="8"/>
                <w:color w:val="auto"/>
              </w:rPr>
            </w:pPr>
          </w:p>
        </w:tc>
        <w:tc>
          <w:tcPr>
            <w:tcW w:w="5720" w:type="dxa"/>
            <w:vAlign w:val="bottom"/>
            <w:gridSpan w:val="2"/>
            <w:shd w:val="clear" w:color="auto" w:fill="CFF0FC"/>
          </w:tcPr>
          <w:p>
            <w:pPr>
              <w:spacing w:after="0" w:line="102" w:lineRule="exact"/>
              <w:rPr>
                <w:sz w:val="20"/>
                <w:szCs w:val="20"/>
                <w:color w:val="auto"/>
              </w:rPr>
            </w:pPr>
            <w:r>
              <w:rPr>
                <w:rFonts w:ascii="Arial" w:cs="Arial" w:eastAsia="Arial" w:hAnsi="Arial"/>
                <w:sz w:val="11"/>
                <w:szCs w:val="11"/>
                <w:color w:val="auto"/>
              </w:rPr>
              <w:t>Net charge-offs as a percentage of average loans in repayment, excluding the net adjustment</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shd w:val="clear" w:color="auto" w:fill="CFF0FC"/>
          </w:tcPr>
          <w:p>
            <w:pPr>
              <w:ind w:left="120"/>
              <w:spacing w:after="0" w:line="176" w:lineRule="exact"/>
              <w:rPr>
                <w:sz w:val="20"/>
                <w:szCs w:val="20"/>
                <w:color w:val="auto"/>
              </w:rPr>
            </w:pPr>
            <w:r>
              <w:rPr>
                <w:rFonts w:ascii="Arial" w:cs="Arial" w:eastAsia="Arial" w:hAnsi="Arial"/>
                <w:sz w:val="13"/>
                <w:szCs w:val="13"/>
                <w:color w:val="auto"/>
              </w:rPr>
              <w:t>resulting from the change in charge-off rate (annualized)</w:t>
            </w:r>
            <w:r>
              <w:rPr>
                <w:rFonts w:ascii="Arial" w:cs="Arial" w:eastAsia="Arial" w:hAnsi="Arial"/>
                <w:sz w:val="18"/>
                <w:szCs w:val="18"/>
                <w:color w:val="auto"/>
                <w:vertAlign w:val="superscript"/>
              </w:rPr>
              <w:t>(2)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1.83%</w:t>
            </w:r>
          </w:p>
        </w:tc>
        <w:tc>
          <w:tcPr>
            <w:tcW w:w="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5720" w:type="dxa"/>
            <w:vAlign w:val="bottom"/>
            <w:gridSpan w:val="2"/>
          </w:tcPr>
          <w:p>
            <w:pPr>
              <w:spacing w:after="0" w:line="122" w:lineRule="exact"/>
              <w:rPr>
                <w:sz w:val="20"/>
                <w:szCs w:val="20"/>
                <w:color w:val="auto"/>
              </w:rPr>
            </w:pPr>
            <w:r>
              <w:rPr>
                <w:rFonts w:ascii="Arial" w:cs="Arial" w:eastAsia="Arial" w:hAnsi="Arial"/>
                <w:sz w:val="13"/>
                <w:szCs w:val="13"/>
                <w:color w:val="auto"/>
              </w:rPr>
              <w:t>Net adjustment resulting from the change in charge-off rate as a percentage of average loans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7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in repayment (annualized)</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.04%</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charge-offs as a percentage of average loans in repayment (annualized)</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40"/>
              <w:spacing w:after="0" w:line="11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116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1.87%</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3"/>
                <w:szCs w:val="13"/>
                <w:color w:val="auto"/>
              </w:rPr>
              <w:t>Allowance coverage of charge-offs (annualized)</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2080" w:type="dxa"/>
            <w:vAlign w:val="bottom"/>
            <w:gridSpan w:val="4"/>
          </w:tcPr>
          <w:p>
            <w:pPr>
              <w:jc w:val="right"/>
              <w:ind w:right="34"/>
              <w:spacing w:after="0"/>
              <w:rPr>
                <w:sz w:val="20"/>
                <w:szCs w:val="20"/>
                <w:color w:val="auto"/>
              </w:rPr>
            </w:pPr>
            <w:r>
              <w:rPr>
                <w:rFonts w:ascii="Arial" w:cs="Arial" w:eastAsia="Arial" w:hAnsi="Arial"/>
                <w:sz w:val="13"/>
                <w:szCs w:val="13"/>
                <w:color w:val="auto"/>
              </w:rPr>
              <w:t>3.8%   (Non-GAAP)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total loans</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31,032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16,157</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Average loans in repayment</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25,681</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15,522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loans in repayment</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15,363</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60" w:type="dxa"/>
            <w:vAlign w:val="bottom"/>
            <w:gridSpan w:val="2"/>
            <w:shd w:val="clear" w:color="auto" w:fill="D9D9D9"/>
          </w:tcPr>
          <w:p>
            <w:pPr>
              <w:jc w:val="center"/>
              <w:ind w:right="60"/>
              <w:spacing w:after="0"/>
              <w:rPr>
                <w:sz w:val="20"/>
                <w:szCs w:val="20"/>
                <w:color w:val="auto"/>
              </w:rPr>
            </w:pPr>
            <w:r>
              <w:rPr>
                <w:rFonts w:ascii="Arial" w:cs="Arial" w:eastAsia="Arial" w:hAnsi="Arial"/>
                <w:sz w:val="13"/>
                <w:szCs w:val="13"/>
                <w:b w:val="1"/>
                <w:bCs w:val="1"/>
                <w:color w:val="auto"/>
                <w:w w:val="96"/>
              </w:rPr>
              <w:t>YEAR ENDED</w:t>
            </w:r>
          </w:p>
        </w:tc>
        <w:tc>
          <w:tcPr>
            <w:tcW w:w="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December 31, 2025</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FFELP</w:t>
            </w:r>
          </w:p>
        </w:tc>
        <w:tc>
          <w:tcPr>
            <w:tcW w:w="80" w:type="dxa"/>
            <w:vAlign w:val="bottom"/>
          </w:tcPr>
          <w:p>
            <w:pPr>
              <w:spacing w:after="0"/>
              <w:rPr>
                <w:sz w:val="9"/>
                <w:szCs w:val="9"/>
                <w:color w:val="auto"/>
              </w:rPr>
            </w:pPr>
          </w:p>
        </w:tc>
        <w:tc>
          <w:tcPr>
            <w:tcW w:w="1160" w:type="dxa"/>
            <w:vAlign w:val="bottom"/>
            <w:gridSpan w:val="2"/>
          </w:tcPr>
          <w:p>
            <w:pPr>
              <w:jc w:val="center"/>
              <w:ind w:right="380"/>
              <w:spacing w:after="0" w:line="111" w:lineRule="exact"/>
              <w:rPr>
                <w:sz w:val="20"/>
                <w:szCs w:val="20"/>
                <w:color w:val="auto"/>
              </w:rPr>
            </w:pPr>
            <w:r>
              <w:rPr>
                <w:rFonts w:ascii="Arial" w:cs="Arial" w:eastAsia="Arial" w:hAnsi="Arial"/>
                <w:sz w:val="12"/>
                <w:szCs w:val="12"/>
                <w:b w:val="1"/>
                <w:bCs w:val="1"/>
                <w:color w:val="auto"/>
              </w:rPr>
              <w:t>Private</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3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Education</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4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Loans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9"/>
              </w:rPr>
              <w:t>Loans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Allowance at beginning of period</w:t>
            </w:r>
          </w:p>
        </w:tc>
        <w:tc>
          <w:tcPr>
            <w:tcW w:w="300" w:type="dxa"/>
            <w:vAlign w:val="bottom"/>
            <w:gridSpan w:val="2"/>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441</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754"/>
              <w:spacing w:after="0" w:line="142"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621</w:t>
            </w: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Total provision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Charge-offs:</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572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Gross charge-offs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(38)</w:t>
            </w:r>
          </w:p>
        </w:tc>
        <w:tc>
          <w:tcPr>
            <w:tcW w:w="80" w:type="dxa"/>
            <w:vAlign w:val="bottom"/>
          </w:tcPr>
          <w:p>
            <w:pPr>
              <w:spacing w:after="0"/>
              <w:rPr>
                <w:sz w:val="11"/>
                <w:szCs w:val="11"/>
                <w:color w:val="auto"/>
              </w:rPr>
            </w:pPr>
          </w:p>
        </w:tc>
        <w:tc>
          <w:tcPr>
            <w:tcW w:w="11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(385)</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(423)</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572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Expected future recoveries on current period gross charge-offs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53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53</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5720" w:type="dxa"/>
            <w:vAlign w:val="bottom"/>
            <w:gridSpan w:val="2"/>
            <w:vMerge w:val="restart"/>
          </w:tcPr>
          <w:p>
            <w:pPr>
              <w:ind w:left="80"/>
              <w:spacing w:after="0" w:line="157" w:lineRule="exact"/>
              <w:rPr>
                <w:sz w:val="20"/>
                <w:szCs w:val="20"/>
                <w:color w:val="auto"/>
              </w:rPr>
            </w:pPr>
            <w:r>
              <w:rPr>
                <w:rFonts w:ascii="Arial" w:cs="Arial" w:eastAsia="Arial" w:hAnsi="Arial"/>
                <w:sz w:val="13"/>
                <w:szCs w:val="13"/>
                <w:color w:val="auto"/>
              </w:rPr>
              <w:t>Total</w:t>
            </w:r>
            <w:r>
              <w:rPr>
                <w:rFonts w:ascii="Arial" w:cs="Arial" w:eastAsia="Arial" w:hAnsi="Arial"/>
                <w:sz w:val="18"/>
                <w:szCs w:val="18"/>
                <w:color w:val="auto"/>
                <w:vertAlign w:val="superscript"/>
              </w:rPr>
              <w:t>(1)</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(38)</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(332)</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(370)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720" w:type="dxa"/>
            <w:vAlign w:val="bottom"/>
            <w:gridSpan w:val="2"/>
          </w:tcPr>
          <w:p>
            <w:pPr>
              <w:ind w:left="80"/>
              <w:spacing w:after="0" w:line="176" w:lineRule="exact"/>
              <w:rPr>
                <w:sz w:val="20"/>
                <w:szCs w:val="20"/>
                <w:color w:val="auto"/>
              </w:rPr>
            </w:pPr>
            <w:r>
              <w:rPr>
                <w:rFonts w:ascii="Arial" w:cs="Arial" w:eastAsia="Arial" w:hAnsi="Arial"/>
                <w:sz w:val="13"/>
                <w:szCs w:val="13"/>
                <w:color w:val="auto"/>
              </w:rPr>
              <w:t>Adjustment resulting from the change in charge-off rate</w:t>
            </w:r>
            <w:r>
              <w:rPr>
                <w:rFonts w:ascii="Arial" w:cs="Arial" w:eastAsia="Arial" w:hAnsi="Arial"/>
                <w:sz w:val="18"/>
                <w:szCs w:val="18"/>
                <w:color w:val="auto"/>
                <w:vertAlign w:val="superscript"/>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charge-offs</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20"/>
              <w:spacing w:after="0" w:line="115" w:lineRule="exact"/>
              <w:rPr>
                <w:sz w:val="20"/>
                <w:szCs w:val="20"/>
                <w:color w:val="auto"/>
              </w:rPr>
            </w:pPr>
            <w:r>
              <w:rPr>
                <w:rFonts w:ascii="Arial" w:cs="Arial" w:eastAsia="Arial" w:hAnsi="Arial"/>
                <w:sz w:val="13"/>
                <w:szCs w:val="13"/>
                <w:color w:val="auto"/>
              </w:rPr>
              <w:t>(38)</w:t>
            </w:r>
          </w:p>
        </w:tc>
        <w:tc>
          <w:tcPr>
            <w:tcW w:w="80" w:type="dxa"/>
            <w:vAlign w:val="bottom"/>
          </w:tcPr>
          <w:p>
            <w:pPr>
              <w:spacing w:after="0"/>
              <w:rPr>
                <w:sz w:val="10"/>
                <w:szCs w:val="10"/>
                <w:color w:val="auto"/>
              </w:rPr>
            </w:pPr>
          </w:p>
        </w:tc>
        <w:tc>
          <w:tcPr>
            <w:tcW w:w="1160" w:type="dxa"/>
            <w:vAlign w:val="bottom"/>
            <w:gridSpan w:val="2"/>
          </w:tcPr>
          <w:p>
            <w:pPr>
              <w:jc w:val="right"/>
              <w:ind w:right="200"/>
              <w:spacing w:after="0" w:line="115" w:lineRule="exact"/>
              <w:rPr>
                <w:sz w:val="20"/>
                <w:szCs w:val="20"/>
                <w:color w:val="auto"/>
              </w:rPr>
            </w:pPr>
            <w:r>
              <w:rPr>
                <w:rFonts w:ascii="Arial" w:cs="Arial" w:eastAsia="Arial" w:hAnsi="Arial"/>
                <w:sz w:val="13"/>
                <w:szCs w:val="13"/>
                <w:color w:val="auto"/>
              </w:rPr>
              <w:t>(335)</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gridSpan w:val="2"/>
          </w:tcPr>
          <w:p>
            <w:pPr>
              <w:jc w:val="right"/>
              <w:ind w:right="40"/>
              <w:spacing w:after="0" w:line="115" w:lineRule="exact"/>
              <w:rPr>
                <w:sz w:val="20"/>
                <w:szCs w:val="20"/>
                <w:color w:val="auto"/>
              </w:rPr>
            </w:pPr>
            <w:r>
              <w:rPr>
                <w:rFonts w:ascii="Arial" w:cs="Arial" w:eastAsia="Arial" w:hAnsi="Arial"/>
                <w:sz w:val="13"/>
                <w:szCs w:val="13"/>
                <w:color w:val="auto"/>
              </w:rPr>
              <w:t>(373)</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(GAAP)</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173</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364</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537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excluding expected future recoveries on previously fully</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173</w:t>
            </w:r>
          </w:p>
        </w:tc>
        <w:tc>
          <w:tcPr>
            <w:tcW w:w="26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534</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4"/>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5720" w:type="dxa"/>
            <w:vAlign w:val="bottom"/>
            <w:gridSpan w:val="2"/>
          </w:tcPr>
          <w:p>
            <w:pPr>
              <w:ind w:left="120"/>
              <w:spacing w:after="0" w:line="129" w:lineRule="exact"/>
              <w:rPr>
                <w:sz w:val="20"/>
                <w:szCs w:val="20"/>
                <w:color w:val="auto"/>
              </w:rPr>
            </w:pPr>
            <w:r>
              <w:rPr>
                <w:rFonts w:ascii="Arial" w:cs="Arial" w:eastAsia="Arial" w:hAnsi="Arial"/>
                <w:sz w:val="11"/>
                <w:szCs w:val="11"/>
                <w:color w:val="auto"/>
              </w:rPr>
              <w:t>charged-off loans (Non-GAAP Financial Measure)</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0" w:type="dxa"/>
            <w:vAlign w:val="bottom"/>
          </w:tcPr>
          <w:p>
            <w:pPr>
              <w:spacing w:after="0"/>
              <w:rPr>
                <w:sz w:val="8"/>
                <w:szCs w:val="8"/>
                <w:color w:val="auto"/>
              </w:rPr>
            </w:pPr>
          </w:p>
        </w:tc>
        <w:tc>
          <w:tcPr>
            <w:tcW w:w="5720" w:type="dxa"/>
            <w:vAlign w:val="bottom"/>
            <w:gridSpan w:val="2"/>
            <w:shd w:val="clear" w:color="auto" w:fill="CFF0FC"/>
          </w:tcPr>
          <w:p>
            <w:pPr>
              <w:spacing w:after="0" w:line="102" w:lineRule="exact"/>
              <w:rPr>
                <w:sz w:val="20"/>
                <w:szCs w:val="20"/>
                <w:color w:val="auto"/>
              </w:rPr>
            </w:pPr>
            <w:r>
              <w:rPr>
                <w:rFonts w:ascii="Arial" w:cs="Arial" w:eastAsia="Arial" w:hAnsi="Arial"/>
                <w:sz w:val="11"/>
                <w:szCs w:val="11"/>
                <w:color w:val="auto"/>
              </w:rPr>
              <w:t>Net charge-offs as a percentage of average loans in repayment, excluding the net adjustment</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shd w:val="clear" w:color="auto" w:fill="CFF0FC"/>
          </w:tcPr>
          <w:p>
            <w:pPr>
              <w:ind w:left="120"/>
              <w:spacing w:after="0" w:line="176" w:lineRule="exact"/>
              <w:rPr>
                <w:sz w:val="20"/>
                <w:szCs w:val="20"/>
                <w:color w:val="auto"/>
              </w:rPr>
            </w:pPr>
            <w:r>
              <w:rPr>
                <w:rFonts w:ascii="Arial" w:cs="Arial" w:eastAsia="Arial" w:hAnsi="Arial"/>
                <w:sz w:val="13"/>
                <w:szCs w:val="13"/>
                <w:color w:val="auto"/>
              </w:rPr>
              <w:t>resulting from the change in charge-off rate</w:t>
            </w:r>
            <w:r>
              <w:rPr>
                <w:rFonts w:ascii="Arial" w:cs="Arial" w:eastAsia="Arial" w:hAnsi="Arial"/>
                <w:sz w:val="18"/>
                <w:szCs w:val="18"/>
                <w:color w:val="auto"/>
                <w:vertAlign w:val="superscript"/>
              </w:rPr>
              <w:t>(2)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2.16%</w:t>
            </w:r>
          </w:p>
        </w:tc>
        <w:tc>
          <w:tcPr>
            <w:tcW w:w="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5720" w:type="dxa"/>
            <w:vAlign w:val="bottom"/>
            <w:gridSpan w:val="2"/>
          </w:tcPr>
          <w:p>
            <w:pPr>
              <w:spacing w:after="0" w:line="122" w:lineRule="exact"/>
              <w:rPr>
                <w:sz w:val="20"/>
                <w:szCs w:val="20"/>
                <w:color w:val="auto"/>
              </w:rPr>
            </w:pPr>
            <w:r>
              <w:rPr>
                <w:rFonts w:ascii="Arial" w:cs="Arial" w:eastAsia="Arial" w:hAnsi="Arial"/>
                <w:sz w:val="13"/>
                <w:szCs w:val="13"/>
                <w:color w:val="auto"/>
              </w:rPr>
              <w:t>Net adjustment resulting from the change in charge-off rate as a percentage of average loans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7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in repayment</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charge-offs as a percentage of average loans in repayment</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40"/>
              <w:spacing w:after="0" w:line="11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0"/>
                <w:szCs w:val="10"/>
                <w:color w:val="auto"/>
              </w:rPr>
            </w:pPr>
          </w:p>
        </w:tc>
        <w:tc>
          <w:tcPr>
            <w:tcW w:w="116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2.18%</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3"/>
                <w:szCs w:val="13"/>
                <w:color w:val="auto"/>
              </w:rPr>
              <w:t>Allowance coverage of charge-offs</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720" w:type="dxa"/>
            <w:vAlign w:val="bottom"/>
            <w:gridSpan w:val="2"/>
          </w:tcPr>
          <w:p>
            <w:pPr>
              <w:spacing w:after="0" w:line="149" w:lineRule="exact"/>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2"/>
                <w:szCs w:val="12"/>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total loans</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28,314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15,815</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Average loans in repayment</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24,777</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15,343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loans in repayment</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23,572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15,184</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7"/>
        </w:trPr>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751"/>
        </w:trPr>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-4388485</wp:posOffset>
            </wp:positionV>
            <wp:extent cx="6172200" cy="93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-4199890</wp:posOffset>
            </wp:positionV>
            <wp:extent cx="6172200" cy="939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-5648325</wp:posOffset>
            </wp:positionV>
            <wp:extent cx="6172200" cy="1028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-5451475</wp:posOffset>
            </wp:positionV>
            <wp:extent cx="6172200" cy="1028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-5253990</wp:posOffset>
            </wp:positionV>
            <wp:extent cx="617220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-5057140</wp:posOffset>
            </wp:positionV>
            <wp:extent cx="617220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-1413510</wp:posOffset>
            </wp:positionV>
            <wp:extent cx="6172200" cy="939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-1224915</wp:posOffset>
            </wp:positionV>
            <wp:extent cx="6172200" cy="946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72200" cy="9461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-2673985</wp:posOffset>
            </wp:positionV>
            <wp:extent cx="6172200"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-2476500</wp:posOffset>
            </wp:positionV>
            <wp:extent cx="617220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-2279650</wp:posOffset>
            </wp:positionV>
            <wp:extent cx="617220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-2082165</wp:posOffset>
            </wp:positionV>
            <wp:extent cx="6172200"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72200" cy="102870"/>
                    </a:xfrm>
                    <a:prstGeom prst="rect">
                      <a:avLst/>
                    </a:prstGeom>
                    <a:noFill/>
                  </pic:spPr>
                </pic:pic>
              </a:graphicData>
            </a:graphic>
          </wp:anchor>
        </w:drawing>
      </w:r>
    </w:p>
    <w:p>
      <w:pPr>
        <w:sectPr>
          <w:pgSz w:w="11900" w:h="16838" w:orient="portrait"/>
          <w:cols w:equalWidth="0" w:num="1">
            <w:col w:w="11040"/>
          </w:cols>
          <w:pgMar w:left="420" w:top="1004"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1120" w:type="dxa"/>
            <w:vAlign w:val="bottom"/>
            <w:gridSpan w:val="2"/>
            <w:shd w:val="clear" w:color="auto" w:fill="D9D9D9"/>
          </w:tcPr>
          <w:p>
            <w:pPr>
              <w:jc w:val="right"/>
              <w:ind w:right="200"/>
              <w:spacing w:after="0"/>
              <w:rPr>
                <w:sz w:val="20"/>
                <w:szCs w:val="20"/>
                <w:color w:val="auto"/>
              </w:rPr>
            </w:pPr>
            <w:r>
              <w:rPr>
                <w:rFonts w:ascii="Arial" w:cs="Arial" w:eastAsia="Arial" w:hAnsi="Arial"/>
                <w:sz w:val="13"/>
                <w:szCs w:val="13"/>
                <w:b w:val="1"/>
                <w:bCs w:val="1"/>
                <w:color w:val="auto"/>
              </w:rPr>
              <w:t>YEAR ENDED</w:t>
            </w:r>
          </w:p>
        </w:tc>
        <w:tc>
          <w:tcPr>
            <w:tcW w:w="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FFELP</w:t>
            </w:r>
          </w:p>
        </w:tc>
        <w:tc>
          <w:tcPr>
            <w:tcW w:w="120" w:type="dxa"/>
            <w:vAlign w:val="bottom"/>
          </w:tcPr>
          <w:p>
            <w:pPr>
              <w:spacing w:after="0"/>
              <w:rPr>
                <w:sz w:val="9"/>
                <w:szCs w:val="9"/>
                <w:color w:val="auto"/>
              </w:rPr>
            </w:pPr>
          </w:p>
        </w:tc>
        <w:tc>
          <w:tcPr>
            <w:tcW w:w="1120" w:type="dxa"/>
            <w:vAlign w:val="bottom"/>
            <w:gridSpan w:val="2"/>
          </w:tcPr>
          <w:p>
            <w:pPr>
              <w:jc w:val="center"/>
              <w:ind w:right="420"/>
              <w:spacing w:after="0" w:line="111" w:lineRule="exact"/>
              <w:rPr>
                <w:sz w:val="20"/>
                <w:szCs w:val="20"/>
                <w:color w:val="auto"/>
              </w:rPr>
            </w:pPr>
            <w:r>
              <w:rPr>
                <w:rFonts w:ascii="Arial" w:cs="Arial" w:eastAsia="Arial" w:hAnsi="Arial"/>
                <w:sz w:val="12"/>
                <w:szCs w:val="12"/>
                <w:b w:val="1"/>
                <w:bCs w:val="1"/>
                <w:color w:val="auto"/>
              </w:rPr>
              <w:t>Private</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3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8"/>
              </w:rPr>
              <w:t>Education</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40" w:type="dxa"/>
            <w:vAlign w:val="bottom"/>
            <w:tcBorders>
              <w:bottom w:val="single" w:sz="8" w:color="auto"/>
            </w:tcBorders>
            <w:gridSpan w:val="2"/>
            <w:vMerge w:val="continue"/>
          </w:tcPr>
          <w:p>
            <w:pPr>
              <w:spacing w:after="0"/>
              <w:rPr>
                <w:sz w:val="13"/>
                <w:szCs w:val="13"/>
                <w:color w:val="auto"/>
              </w:rPr>
            </w:pPr>
          </w:p>
        </w:tc>
        <w:tc>
          <w:tcPr>
            <w:tcW w:w="4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Loans</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9"/>
              </w:rPr>
              <w:t>Loans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20" w:type="dxa"/>
            <w:vAlign w:val="bottom"/>
            <w:gridSpan w:val="3"/>
            <w:shd w:val="clear" w:color="auto" w:fill="CFF0FC"/>
          </w:tcPr>
          <w:p>
            <w:pPr>
              <w:spacing w:after="0" w:line="142" w:lineRule="exact"/>
              <w:rPr>
                <w:sz w:val="20"/>
                <w:szCs w:val="20"/>
                <w:color w:val="auto"/>
              </w:rPr>
            </w:pPr>
            <w:r>
              <w:rPr>
                <w:rFonts w:ascii="Arial" w:cs="Arial" w:eastAsia="Arial" w:hAnsi="Arial"/>
                <w:sz w:val="13"/>
                <w:szCs w:val="13"/>
                <w:color w:val="auto"/>
              </w:rPr>
              <w:t>Allowance at beginning of period</w:t>
            </w:r>
          </w:p>
        </w:tc>
        <w:tc>
          <w:tcPr>
            <w:tcW w:w="300" w:type="dxa"/>
            <w:vAlign w:val="bottom"/>
            <w:gridSpan w:val="2"/>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215</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617</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753"/>
              <w:spacing w:after="0" w:line="142"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3"/>
          </w:tcPr>
          <w:p>
            <w:pPr>
              <w:spacing w:after="0"/>
              <w:rPr>
                <w:sz w:val="20"/>
                <w:szCs w:val="20"/>
                <w:color w:val="auto"/>
              </w:rPr>
            </w:pPr>
            <w:r>
              <w:rPr>
                <w:rFonts w:ascii="Arial" w:cs="Arial" w:eastAsia="Arial" w:hAnsi="Arial"/>
                <w:sz w:val="13"/>
                <w:szCs w:val="13"/>
                <w:color w:val="auto"/>
              </w:rPr>
              <w:t>Total provision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Charge-offs:</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720" w:type="dxa"/>
            <w:vAlign w:val="bottom"/>
            <w:gridSpan w:val="3"/>
          </w:tcPr>
          <w:p>
            <w:pPr>
              <w:ind w:left="80"/>
              <w:spacing w:after="0" w:line="136" w:lineRule="exact"/>
              <w:rPr>
                <w:sz w:val="20"/>
                <w:szCs w:val="20"/>
                <w:color w:val="auto"/>
              </w:rPr>
            </w:pPr>
            <w:r>
              <w:rPr>
                <w:rFonts w:ascii="Arial" w:cs="Arial" w:eastAsia="Arial" w:hAnsi="Arial"/>
                <w:sz w:val="13"/>
                <w:szCs w:val="13"/>
                <w:color w:val="auto"/>
              </w:rPr>
              <w:t>Gross charge-offs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(36)</w:t>
            </w:r>
          </w:p>
        </w:tc>
        <w:tc>
          <w:tcPr>
            <w:tcW w:w="120" w:type="dxa"/>
            <w:vAlign w:val="bottom"/>
          </w:tcPr>
          <w:p>
            <w:pPr>
              <w:spacing w:after="0"/>
              <w:rPr>
                <w:sz w:val="11"/>
                <w:szCs w:val="11"/>
                <w:color w:val="auto"/>
              </w:rPr>
            </w:pPr>
          </w:p>
        </w:tc>
        <w:tc>
          <w:tcPr>
            <w:tcW w:w="112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(355)</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39"/>
        </w:trPr>
        <w:tc>
          <w:tcPr>
            <w:tcW w:w="572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Expected future recoveries on current period gross charge-offs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43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720" w:type="dxa"/>
            <w:vAlign w:val="bottom"/>
            <w:gridSpan w:val="3"/>
            <w:vMerge w:val="restart"/>
          </w:tcPr>
          <w:p>
            <w:pPr>
              <w:ind w:left="80"/>
              <w:spacing w:after="0" w:line="157" w:lineRule="exact"/>
              <w:rPr>
                <w:sz w:val="20"/>
                <w:szCs w:val="20"/>
                <w:color w:val="auto"/>
              </w:rPr>
            </w:pPr>
            <w:r>
              <w:rPr>
                <w:rFonts w:ascii="Arial" w:cs="Arial" w:eastAsia="Arial" w:hAnsi="Arial"/>
                <w:sz w:val="13"/>
                <w:szCs w:val="13"/>
                <w:color w:val="auto"/>
              </w:rPr>
              <w:t>Total</w:t>
            </w:r>
            <w:r>
              <w:rPr>
                <w:rFonts w:ascii="Arial" w:cs="Arial" w:eastAsia="Arial" w:hAnsi="Arial"/>
                <w:sz w:val="18"/>
                <w:szCs w:val="18"/>
                <w:color w:val="auto"/>
                <w:vertAlign w:val="superscript"/>
              </w:rPr>
              <w:t>(1)</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57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(36)</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(312)</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720" w:type="dxa"/>
            <w:vAlign w:val="bottom"/>
            <w:gridSpan w:val="3"/>
          </w:tcPr>
          <w:p>
            <w:pPr>
              <w:ind w:left="80"/>
              <w:spacing w:after="0" w:line="176" w:lineRule="exact"/>
              <w:rPr>
                <w:sz w:val="20"/>
                <w:szCs w:val="20"/>
                <w:color w:val="auto"/>
              </w:rPr>
            </w:pPr>
            <w:r>
              <w:rPr>
                <w:rFonts w:ascii="Arial" w:cs="Arial" w:eastAsia="Arial" w:hAnsi="Arial"/>
                <w:sz w:val="13"/>
                <w:szCs w:val="13"/>
                <w:color w:val="auto"/>
              </w:rPr>
              <w:t>Adjustment resulting from the change in charge-off rate</w:t>
            </w:r>
            <w:r>
              <w:rPr>
                <w:rFonts w:ascii="Arial" w:cs="Arial" w:eastAsia="Arial" w:hAnsi="Arial"/>
                <w:sz w:val="18"/>
                <w:szCs w:val="18"/>
                <w:color w:val="auto"/>
                <w:vertAlign w:val="superscript"/>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line="135" w:lineRule="exact"/>
              <w:rPr>
                <w:sz w:val="20"/>
                <w:szCs w:val="20"/>
                <w:color w:val="auto"/>
              </w:rPr>
            </w:pPr>
            <w:r>
              <w:rPr>
                <w:rFonts w:ascii="Arial" w:cs="Arial" w:eastAsia="Arial" w:hAnsi="Arial"/>
                <w:sz w:val="13"/>
                <w:szCs w:val="13"/>
                <w:color w:val="auto"/>
              </w:rPr>
              <w:t>Net charge-offs</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7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20"/>
              <w:spacing w:after="0" w:line="115" w:lineRule="exact"/>
              <w:rPr>
                <w:sz w:val="20"/>
                <w:szCs w:val="20"/>
                <w:color w:val="auto"/>
              </w:rPr>
            </w:pPr>
            <w:r>
              <w:rPr>
                <w:rFonts w:ascii="Arial" w:cs="Arial" w:eastAsia="Arial" w:hAnsi="Arial"/>
                <w:sz w:val="13"/>
                <w:szCs w:val="13"/>
                <w:color w:val="auto"/>
              </w:rPr>
              <w:t>(36)</w:t>
            </w:r>
          </w:p>
        </w:tc>
        <w:tc>
          <w:tcPr>
            <w:tcW w:w="120" w:type="dxa"/>
            <w:vAlign w:val="bottom"/>
          </w:tcPr>
          <w:p>
            <w:pPr>
              <w:spacing w:after="0"/>
              <w:rPr>
                <w:sz w:val="10"/>
                <w:szCs w:val="10"/>
                <w:color w:val="auto"/>
              </w:rPr>
            </w:pPr>
          </w:p>
        </w:tc>
        <w:tc>
          <w:tcPr>
            <w:tcW w:w="1120" w:type="dxa"/>
            <w:vAlign w:val="bottom"/>
            <w:gridSpan w:val="2"/>
          </w:tcPr>
          <w:p>
            <w:pPr>
              <w:jc w:val="right"/>
              <w:ind w:right="200"/>
              <w:spacing w:after="0" w:line="115" w:lineRule="exact"/>
              <w:rPr>
                <w:sz w:val="20"/>
                <w:szCs w:val="20"/>
                <w:color w:val="auto"/>
              </w:rPr>
            </w:pPr>
            <w:r>
              <w:rPr>
                <w:rFonts w:ascii="Arial" w:cs="Arial" w:eastAsia="Arial" w:hAnsi="Arial"/>
                <w:sz w:val="13"/>
                <w:szCs w:val="13"/>
                <w:color w:val="auto"/>
              </w:rPr>
              <w:t>(335)</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gridSpan w:val="2"/>
          </w:tcPr>
          <w:p>
            <w:pPr>
              <w:jc w:val="right"/>
              <w:ind w:right="40"/>
              <w:spacing w:after="0" w:line="115" w:lineRule="exact"/>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76"/>
        </w:trPr>
        <w:tc>
          <w:tcPr>
            <w:tcW w:w="5720" w:type="dxa"/>
            <w:vAlign w:val="bottom"/>
            <w:gridSpan w:val="3"/>
          </w:tcPr>
          <w:p>
            <w:pPr>
              <w:spacing w:after="0" w:line="176" w:lineRule="exact"/>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720" w:type="dxa"/>
            <w:vAlign w:val="bottom"/>
            <w:gridSpan w:val="3"/>
          </w:tcPr>
          <w:p>
            <w:pPr>
              <w:spacing w:after="0" w:line="115" w:lineRule="exact"/>
              <w:rPr>
                <w:sz w:val="20"/>
                <w:szCs w:val="20"/>
                <w:color w:val="auto"/>
              </w:rPr>
            </w:pPr>
            <w:r>
              <w:rPr>
                <w:rFonts w:ascii="Arial" w:cs="Arial" w:eastAsia="Arial" w:hAnsi="Arial"/>
                <w:sz w:val="13"/>
                <w:szCs w:val="13"/>
                <w:color w:val="auto"/>
              </w:rPr>
              <w:t>Allowance at end of period (GAAP)</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180</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441</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621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720" w:type="dxa"/>
            <w:vAlign w:val="bottom"/>
            <w:gridSpan w:val="3"/>
          </w:tcPr>
          <w:p>
            <w:pPr>
              <w:spacing w:after="0" w:line="176" w:lineRule="exact"/>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720" w:type="dxa"/>
            <w:vAlign w:val="bottom"/>
            <w:gridSpan w:val="3"/>
          </w:tcPr>
          <w:p>
            <w:pPr>
              <w:spacing w:after="0" w:line="115" w:lineRule="exact"/>
              <w:rPr>
                <w:sz w:val="20"/>
                <w:szCs w:val="20"/>
                <w:color w:val="auto"/>
              </w:rPr>
            </w:pPr>
            <w:r>
              <w:rPr>
                <w:rFonts w:ascii="Arial" w:cs="Arial" w:eastAsia="Arial" w:hAnsi="Arial"/>
                <w:sz w:val="13"/>
                <w:szCs w:val="13"/>
                <w:color w:val="auto"/>
              </w:rPr>
              <w:t>Allowance at end of period excluding expected future recoveries on previously fully</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180</w:t>
            </w:r>
          </w:p>
        </w:tc>
        <w:tc>
          <w:tcPr>
            <w:tcW w:w="26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620</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3"/>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720" w:type="dxa"/>
            <w:vAlign w:val="bottom"/>
            <w:gridSpan w:val="3"/>
          </w:tcPr>
          <w:p>
            <w:pPr>
              <w:ind w:left="120"/>
              <w:spacing w:after="0" w:line="129" w:lineRule="exact"/>
              <w:rPr>
                <w:sz w:val="20"/>
                <w:szCs w:val="20"/>
                <w:color w:val="auto"/>
              </w:rPr>
            </w:pPr>
            <w:r>
              <w:rPr>
                <w:rFonts w:ascii="Arial" w:cs="Arial" w:eastAsia="Arial" w:hAnsi="Arial"/>
                <w:sz w:val="11"/>
                <w:szCs w:val="11"/>
                <w:color w:val="auto"/>
              </w:rPr>
              <w:t>charged-off loans (Non-GAAP Financial Measure)</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720" w:type="dxa"/>
            <w:vAlign w:val="bottom"/>
            <w:gridSpan w:val="3"/>
            <w:shd w:val="clear" w:color="auto" w:fill="CFF0FC"/>
          </w:tcPr>
          <w:p>
            <w:pPr>
              <w:spacing w:after="0" w:line="102" w:lineRule="exact"/>
              <w:rPr>
                <w:sz w:val="20"/>
                <w:szCs w:val="20"/>
                <w:color w:val="auto"/>
              </w:rPr>
            </w:pPr>
            <w:r>
              <w:rPr>
                <w:rFonts w:ascii="Arial" w:cs="Arial" w:eastAsia="Arial" w:hAnsi="Arial"/>
                <w:sz w:val="11"/>
                <w:szCs w:val="11"/>
                <w:color w:val="auto"/>
              </w:rPr>
              <w:t>Net charge-offs as a percentage of average loans in repayment, excluding the net adjustment</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720" w:type="dxa"/>
            <w:vAlign w:val="bottom"/>
            <w:gridSpan w:val="3"/>
            <w:shd w:val="clear" w:color="auto" w:fill="CFF0FC"/>
          </w:tcPr>
          <w:p>
            <w:pPr>
              <w:ind w:left="120"/>
              <w:spacing w:after="0" w:line="176" w:lineRule="exact"/>
              <w:rPr>
                <w:sz w:val="20"/>
                <w:szCs w:val="20"/>
                <w:color w:val="auto"/>
              </w:rPr>
            </w:pPr>
            <w:r>
              <w:rPr>
                <w:rFonts w:ascii="Arial" w:cs="Arial" w:eastAsia="Arial" w:hAnsi="Arial"/>
                <w:sz w:val="13"/>
                <w:szCs w:val="13"/>
                <w:color w:val="auto"/>
              </w:rPr>
              <w:t>resulting from the change in charge-off rate</w:t>
            </w:r>
            <w:r>
              <w:rPr>
                <w:rFonts w:ascii="Arial" w:cs="Arial" w:eastAsia="Arial" w:hAnsi="Arial"/>
                <w:sz w:val="18"/>
                <w:szCs w:val="18"/>
                <w:color w:val="auto"/>
                <w:vertAlign w:val="superscript"/>
              </w:rPr>
              <w:t>(2)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1.94%</w:t>
            </w:r>
          </w:p>
        </w:tc>
        <w:tc>
          <w:tcPr>
            <w:tcW w:w="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720" w:type="dxa"/>
            <w:vAlign w:val="bottom"/>
            <w:gridSpan w:val="3"/>
          </w:tcPr>
          <w:p>
            <w:pPr>
              <w:spacing w:after="0" w:line="122" w:lineRule="exact"/>
              <w:rPr>
                <w:sz w:val="20"/>
                <w:szCs w:val="20"/>
                <w:color w:val="auto"/>
              </w:rPr>
            </w:pPr>
            <w:r>
              <w:rPr>
                <w:rFonts w:ascii="Arial" w:cs="Arial" w:eastAsia="Arial" w:hAnsi="Arial"/>
                <w:sz w:val="13"/>
                <w:szCs w:val="13"/>
                <w:color w:val="auto"/>
              </w:rPr>
              <w:t>Net adjustment resulting from the change in charge-off rate as a percentage of average loans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720" w:type="dxa"/>
            <w:vAlign w:val="bottom"/>
            <w:gridSpan w:val="3"/>
          </w:tcPr>
          <w:p>
            <w:pPr>
              <w:ind w:left="120"/>
              <w:spacing w:after="0" w:line="162" w:lineRule="exact"/>
              <w:rPr>
                <w:sz w:val="20"/>
                <w:szCs w:val="20"/>
                <w:color w:val="auto"/>
              </w:rPr>
            </w:pPr>
            <w:r>
              <w:rPr>
                <w:rFonts w:ascii="Arial" w:cs="Arial" w:eastAsia="Arial" w:hAnsi="Arial"/>
                <w:sz w:val="13"/>
                <w:szCs w:val="13"/>
                <w:color w:val="auto"/>
              </w:rPr>
              <w:t>in repayment</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line="135" w:lineRule="exact"/>
              <w:rPr>
                <w:sz w:val="20"/>
                <w:szCs w:val="20"/>
                <w:color w:val="auto"/>
              </w:rPr>
            </w:pPr>
            <w:r>
              <w:rPr>
                <w:rFonts w:ascii="Arial" w:cs="Arial" w:eastAsia="Arial" w:hAnsi="Arial"/>
                <w:sz w:val="13"/>
                <w:szCs w:val="13"/>
                <w:color w:val="auto"/>
              </w:rPr>
              <w:t>Net charge-offs as a percentage of average loans in repayment</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7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40"/>
              <w:spacing w:after="0" w:line="11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0"/>
                <w:szCs w:val="10"/>
                <w:color w:val="auto"/>
              </w:rPr>
            </w:pPr>
          </w:p>
        </w:tc>
        <w:tc>
          <w:tcPr>
            <w:tcW w:w="112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2.08%</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gridSpan w:val="3"/>
          </w:tcPr>
          <w:p>
            <w:pPr>
              <w:spacing w:after="0" w:line="149" w:lineRule="exact"/>
              <w:rPr>
                <w:sz w:val="20"/>
                <w:szCs w:val="20"/>
                <w:color w:val="auto"/>
              </w:rPr>
            </w:pPr>
            <w:r>
              <w:rPr>
                <w:rFonts w:ascii="Arial" w:cs="Arial" w:eastAsia="Arial" w:hAnsi="Arial"/>
                <w:sz w:val="13"/>
                <w:szCs w:val="13"/>
                <w:color w:val="auto"/>
              </w:rPr>
              <w:t>Allowance coverage of charge-offs</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3"/>
          </w:tcPr>
          <w:p>
            <w:pPr>
              <w:spacing w:after="0" w:line="149" w:lineRule="exact"/>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3.8%</w:t>
            </w: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20" w:type="dxa"/>
            <w:vAlign w:val="bottom"/>
            <w:gridSpan w:val="3"/>
          </w:tcPr>
          <w:p>
            <w:pPr>
              <w:spacing w:after="0" w:line="176" w:lineRule="exact"/>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Ending total loans</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31,032</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16,157</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3"/>
          </w:tcPr>
          <w:p>
            <w:pPr>
              <w:spacing w:after="0"/>
              <w:rPr>
                <w:sz w:val="20"/>
                <w:szCs w:val="20"/>
                <w:color w:val="auto"/>
              </w:rPr>
            </w:pPr>
            <w:r>
              <w:rPr>
                <w:rFonts w:ascii="Arial" w:cs="Arial" w:eastAsia="Arial" w:hAnsi="Arial"/>
                <w:sz w:val="13"/>
                <w:szCs w:val="13"/>
                <w:color w:val="auto"/>
              </w:rPr>
              <w:t>Average loans in repayment</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27,190</w:t>
            </w:r>
          </w:p>
        </w:tc>
        <w:tc>
          <w:tcPr>
            <w:tcW w:w="2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16,078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Ending loans in repayment</w:t>
            </w:r>
          </w:p>
        </w:tc>
        <w:tc>
          <w:tcPr>
            <w:tcW w:w="3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25,405</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15,363</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-753745</wp:posOffset>
            </wp:positionV>
            <wp:extent cx="6172200" cy="939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-565150</wp:posOffset>
            </wp:positionV>
            <wp:extent cx="6172200" cy="93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-2013585</wp:posOffset>
            </wp:positionV>
            <wp:extent cx="617220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-1816735</wp:posOffset>
            </wp:positionV>
            <wp:extent cx="617220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-1619250</wp:posOffset>
            </wp:positionV>
            <wp:extent cx="617220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-1422400</wp:posOffset>
            </wp:positionV>
            <wp:extent cx="617220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72200" cy="102870"/>
                    </a:xfrm>
                    <a:prstGeom prst="rect">
                      <a:avLst/>
                    </a:prstGeom>
                    <a:noFill/>
                  </pic:spPr>
                </pic:pic>
              </a:graphicData>
            </a:graphic>
          </wp:anchor>
        </w:drawing>
      </w:r>
    </w:p>
    <w:p>
      <w:pPr>
        <w:spacing w:after="0" w:line="124" w:lineRule="exact"/>
        <w:rPr>
          <w:sz w:val="20"/>
          <w:szCs w:val="20"/>
          <w:color w:val="auto"/>
        </w:rPr>
      </w:pPr>
    </w:p>
    <w:p>
      <w:pPr>
        <w:jc w:val="both"/>
        <w:ind w:left="220" w:right="120" w:hanging="216"/>
        <w:spacing w:after="0" w:line="211" w:lineRule="auto"/>
        <w:tabs>
          <w:tab w:leader="none" w:pos="207"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Charge-offs are reported net of expected recoveries. For Private Education Loans, we charge off the estimated loss of a defaulted loan balance by charging off the entire defaulted loan balance and estimating recoveries on a pool basis. These estimated recoveries are referred to as “expected future recoveries on previously fully charged-off loans.” For FFELP Loans, the recovery is received at the time of charge-off.</w:t>
      </w:r>
    </w:p>
    <w:p>
      <w:pPr>
        <w:spacing w:after="0" w:line="159" w:lineRule="exact"/>
        <w:rPr>
          <w:rFonts w:ascii="Arial" w:cs="Arial" w:eastAsia="Arial" w:hAnsi="Arial"/>
          <w:sz w:val="17"/>
          <w:szCs w:val="17"/>
          <w:color w:val="auto"/>
          <w:vertAlign w:val="superscript"/>
        </w:rPr>
      </w:pPr>
    </w:p>
    <w:p>
      <w:pPr>
        <w:ind w:left="220" w:right="80" w:hanging="216"/>
        <w:spacing w:after="0" w:line="209" w:lineRule="auto"/>
        <w:tabs>
          <w:tab w:leader="none" w:pos="279"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Related to increasing the net charge-off rate on defaulted Private Education Loans and the resulting reduction in the balance of expected future recoveries on previously fully charged-off loans.</w:t>
      </w:r>
    </w:p>
    <w:p>
      <w:pPr>
        <w:spacing w:after="0" w:line="104" w:lineRule="exact"/>
        <w:rPr>
          <w:rFonts w:ascii="Arial" w:cs="Arial" w:eastAsia="Arial" w:hAnsi="Arial"/>
          <w:sz w:val="17"/>
          <w:szCs w:val="17"/>
          <w:color w:val="auto"/>
          <w:vertAlign w:val="superscript"/>
        </w:rPr>
      </w:pPr>
    </w:p>
    <w:p>
      <w:pPr>
        <w:ind w:left="220" w:right="20" w:hanging="216"/>
        <w:spacing w:after="0" w:line="214" w:lineRule="auto"/>
        <w:tabs>
          <w:tab w:leader="none" w:pos="187"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At the end of each month, for Private Education Loans that are 212 or more days past due, we charge off the estimated loss of a defaulted loan balance by charging off the entire loan balance and estimating recoveries on a pool basis. These estimated recoveries are referred to as “expected future recoveries on previously fully charged-off loans.” If actual periodic recoveries are less than expected, the difference is immediately reflected as a reduction to expected future recoveries on previously fully charged-off loans. If actual periodic recoveries are greater than expected, they will be reflected as a recovery through the allowance for Private Education Loan losses once the cumulative recovery amount exceeds the cumulative amount originally expected to be recovered. The following table summarizes the activity in the expected future recoveries on previously fully charged-off loans:</w:t>
      </w:r>
    </w:p>
    <w:p>
      <w:pPr>
        <w:spacing w:after="0" w:line="12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340" w:type="dxa"/>
            <w:vAlign w:val="bottom"/>
            <w:gridSpan w:val="4"/>
            <w:shd w:val="clear" w:color="auto" w:fill="D9D9D9"/>
          </w:tcPr>
          <w:p>
            <w:pPr>
              <w:jc w:val="right"/>
              <w:ind w:right="140"/>
              <w:spacing w:after="0"/>
              <w:rPr>
                <w:sz w:val="20"/>
                <w:szCs w:val="20"/>
                <w:color w:val="auto"/>
              </w:rPr>
            </w:pPr>
            <w:r>
              <w:rPr>
                <w:rFonts w:ascii="Arial" w:cs="Arial" w:eastAsia="Arial" w:hAnsi="Arial"/>
                <w:sz w:val="13"/>
                <w:szCs w:val="13"/>
                <w:b w:val="1"/>
                <w:bCs w:val="1"/>
                <w:color w:val="auto"/>
                <w:w w:val="96"/>
              </w:rPr>
              <w:t>QUARTERS ENDED</w:t>
            </w:r>
          </w:p>
        </w:tc>
        <w:tc>
          <w:tcPr>
            <w:tcW w:w="18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480" w:type="dxa"/>
            <w:vAlign w:val="bottom"/>
            <w:gridSpan w:val="3"/>
            <w:shd w:val="clear" w:color="auto" w:fill="D9D9D9"/>
          </w:tcPr>
          <w:p>
            <w:pPr>
              <w:ind w:left="320"/>
              <w:spacing w:after="0"/>
              <w:rPr>
                <w:sz w:val="20"/>
                <w:szCs w:val="20"/>
                <w:color w:val="auto"/>
              </w:rPr>
            </w:pPr>
            <w:r>
              <w:rPr>
                <w:rFonts w:ascii="Arial" w:cs="Arial" w:eastAsia="Arial" w:hAnsi="Arial"/>
                <w:sz w:val="13"/>
                <w:szCs w:val="13"/>
                <w:b w:val="1"/>
                <w:bCs w:val="1"/>
                <w:color w:val="auto"/>
              </w:rPr>
              <w:t>YEARS ENDED</w:t>
            </w:r>
          </w:p>
        </w:tc>
        <w:tc>
          <w:tcPr>
            <w:tcW w:w="2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60" w:type="dxa"/>
            <w:vAlign w:val="bottom"/>
            <w:gridSpan w:val="3"/>
          </w:tcPr>
          <w:p>
            <w:pPr>
              <w:ind w:left="20"/>
              <w:spacing w:after="0" w:line="117"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160" w:type="dxa"/>
            <w:vAlign w:val="bottom"/>
            <w:gridSpan w:val="3"/>
          </w:tcPr>
          <w:p>
            <w:pPr>
              <w:jc w:val="right"/>
              <w:ind w:right="280"/>
              <w:spacing w:after="0" w:line="117" w:lineRule="exact"/>
              <w:rPr>
                <w:sz w:val="20"/>
                <w:szCs w:val="20"/>
                <w:color w:val="auto"/>
              </w:rPr>
            </w:pPr>
            <w:r>
              <w:rPr>
                <w:rFonts w:ascii="Arial" w:cs="Arial" w:eastAsia="Arial" w:hAnsi="Arial"/>
                <w:sz w:val="13"/>
                <w:szCs w:val="13"/>
                <w:b w:val="1"/>
                <w:bCs w:val="1"/>
                <w:color w:val="auto"/>
                <w:w w:val="96"/>
              </w:rPr>
              <w:t>September 30,</w:t>
            </w:r>
          </w:p>
        </w:tc>
        <w:tc>
          <w:tcPr>
            <w:tcW w:w="94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080" w:type="dxa"/>
            <w:vAlign w:val="bottom"/>
            <w:gridSpan w:val="3"/>
          </w:tcPr>
          <w:p>
            <w:pPr>
              <w:jc w:val="right"/>
              <w:ind w:right="260"/>
              <w:spacing w:after="0" w:line="117" w:lineRule="exact"/>
              <w:rPr>
                <w:sz w:val="20"/>
                <w:szCs w:val="20"/>
                <w:color w:val="auto"/>
              </w:rPr>
            </w:pPr>
            <w:r>
              <w:rPr>
                <w:rFonts w:ascii="Arial" w:cs="Arial" w:eastAsia="Arial" w:hAnsi="Arial"/>
                <w:sz w:val="13"/>
                <w:szCs w:val="13"/>
                <w:b w:val="1"/>
                <w:bCs w:val="1"/>
                <w:color w:val="auto"/>
                <w:w w:val="94"/>
              </w:rPr>
              <w:t>December 31,</w:t>
            </w:r>
          </w:p>
        </w:tc>
        <w:tc>
          <w:tcPr>
            <w:tcW w:w="94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(Dollars in millions)</w:t>
            </w:r>
          </w:p>
        </w:tc>
        <w:tc>
          <w:tcPr>
            <w:tcW w:w="2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w w:val="96"/>
              </w:rPr>
              <w:t>2024</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360" w:type="dxa"/>
            <w:vAlign w:val="bottom"/>
            <w:gridSpan w:val="2"/>
            <w:shd w:val="clear" w:color="auto" w:fill="CFF0FC"/>
          </w:tcPr>
          <w:p>
            <w:pPr>
              <w:ind w:left="20"/>
              <w:spacing w:after="0" w:line="129" w:lineRule="exact"/>
              <w:rPr>
                <w:sz w:val="20"/>
                <w:szCs w:val="20"/>
                <w:color w:val="auto"/>
              </w:rPr>
            </w:pPr>
            <w:r>
              <w:rPr>
                <w:rFonts w:ascii="Arial" w:cs="Arial" w:eastAsia="Arial" w:hAnsi="Arial"/>
                <w:sz w:val="13"/>
                <w:szCs w:val="13"/>
                <w:color w:val="auto"/>
              </w:rPr>
              <w:t>Beginning of period expected future recoveries</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on previously fully charged-off loans</w:t>
            </w: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83"/>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3"/>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Expected future recoveries of current period</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60" w:type="dxa"/>
            <w:vAlign w:val="bottom"/>
            <w:gridSpan w:val="2"/>
          </w:tcPr>
          <w:p>
            <w:pPr>
              <w:ind w:left="120"/>
              <w:spacing w:after="0"/>
              <w:rPr>
                <w:sz w:val="20"/>
                <w:szCs w:val="20"/>
                <w:color w:val="auto"/>
              </w:rPr>
            </w:pPr>
            <w:r>
              <w:rPr>
                <w:rFonts w:ascii="Arial" w:cs="Arial" w:eastAsia="Arial" w:hAnsi="Arial"/>
                <w:sz w:val="13"/>
                <w:szCs w:val="13"/>
                <w:color w:val="auto"/>
              </w:rPr>
              <w:t>defaults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Recoveries (cash collected)</w:t>
            </w: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(41)</w:t>
            </w:r>
          </w:p>
        </w:tc>
        <w:tc>
          <w:tcPr>
            <w:tcW w:w="5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36"/>
        </w:trPr>
        <w:tc>
          <w:tcPr>
            <w:tcW w:w="33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Charge-offs (as a result of lower recovery</w:t>
            </w:r>
          </w:p>
        </w:tc>
        <w:tc>
          <w:tcPr>
            <w:tcW w:w="180" w:type="dxa"/>
            <w:vAlign w:val="bottom"/>
          </w:tcPr>
          <w:p>
            <w:pPr>
              <w:spacing w:after="0"/>
              <w:rPr>
                <w:sz w:val="11"/>
                <w:szCs w:val="1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(21)</w:t>
            </w:r>
          </w:p>
        </w:tc>
        <w:tc>
          <w:tcPr>
            <w:tcW w:w="580" w:type="dxa"/>
            <w:vAlign w:val="bottom"/>
          </w:tcPr>
          <w:p>
            <w:pPr>
              <w:spacing w:after="0"/>
              <w:rPr>
                <w:sz w:val="11"/>
                <w:szCs w:val="11"/>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48"/>
        </w:trPr>
        <w:tc>
          <w:tcPr>
            <w:tcW w:w="33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expectations)</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60" w:type="dxa"/>
            <w:vAlign w:val="bottom"/>
            <w:gridSpan w:val="2"/>
            <w:shd w:val="clear" w:color="auto" w:fill="CFF0FC"/>
          </w:tcPr>
          <w:p>
            <w:pPr>
              <w:ind w:left="20"/>
              <w:spacing w:after="0" w:line="129" w:lineRule="exact"/>
              <w:rPr>
                <w:sz w:val="20"/>
                <w:szCs w:val="20"/>
                <w:color w:val="auto"/>
              </w:rPr>
            </w:pPr>
            <w:r>
              <w:rPr>
                <w:rFonts w:ascii="Arial" w:cs="Arial" w:eastAsia="Arial" w:hAnsi="Arial"/>
                <w:sz w:val="13"/>
                <w:szCs w:val="13"/>
                <w:color w:val="auto"/>
              </w:rPr>
              <w:t>End of period expected future recoveries on</w:t>
            </w:r>
          </w:p>
        </w:tc>
        <w:tc>
          <w:tcPr>
            <w:tcW w:w="1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tcBorders>
              <w:top w:val="single" w:sz="8" w:color="auto"/>
            </w:tcBorders>
            <w:vMerge w:val="restart"/>
            <w:shd w:val="clear" w:color="auto" w:fill="CFF0FC"/>
          </w:tcPr>
          <w:p>
            <w:pPr>
              <w:jc w:val="right"/>
              <w:ind w:right="8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173</w:t>
            </w: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tcBorders>
              <w:top w:val="single" w:sz="8" w:color="auto"/>
            </w:tcBorders>
            <w:vMerge w:val="restart"/>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170</w:t>
            </w:r>
          </w:p>
        </w:tc>
        <w:tc>
          <w:tcPr>
            <w:tcW w:w="220" w:type="dxa"/>
            <w:vAlign w:val="bottom"/>
            <w:shd w:val="clear" w:color="auto" w:fill="CFF0FC"/>
          </w:tcPr>
          <w:p>
            <w:pPr>
              <w:spacing w:after="0"/>
              <w:rPr>
                <w:sz w:val="11"/>
                <w:szCs w:val="11"/>
                <w:color w:val="auto"/>
              </w:rPr>
            </w:pPr>
          </w:p>
        </w:tc>
        <w:tc>
          <w:tcPr>
            <w:tcW w:w="5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60" w:type="dxa"/>
            <w:vAlign w:val="bottom"/>
            <w:tcBorders>
              <w:bottom w:val="single" w:sz="8" w:color="CFF0FC"/>
            </w:tcBorders>
            <w:gridSpan w:val="2"/>
            <w:shd w:val="clear" w:color="auto" w:fill="CFF0FC"/>
          </w:tcPr>
          <w:p>
            <w:pPr>
              <w:ind w:left="120"/>
              <w:spacing w:after="0" w:line="114" w:lineRule="exact"/>
              <w:rPr>
                <w:sz w:val="20"/>
                <w:szCs w:val="20"/>
                <w:color w:val="auto"/>
              </w:rPr>
            </w:pPr>
            <w:r>
              <w:rPr>
                <w:rFonts w:ascii="Arial" w:cs="Arial" w:eastAsia="Arial" w:hAnsi="Arial"/>
                <w:sz w:val="13"/>
                <w:szCs w:val="13"/>
                <w:color w:val="auto"/>
              </w:rPr>
              <w:t>previously fully charged-off loans</w:t>
            </w: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vMerge w:val="continue"/>
            <w:shd w:val="clear" w:color="auto" w:fill="CFF0FC"/>
          </w:tcPr>
          <w:p>
            <w:pPr>
              <w:spacing w:after="0"/>
              <w:rPr>
                <w:sz w:val="13"/>
                <w:szCs w:val="13"/>
                <w:color w:val="auto"/>
              </w:rPr>
            </w:pPr>
          </w:p>
        </w:tc>
        <w:tc>
          <w:tcPr>
            <w:tcW w:w="28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Change in balance during period</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380" w:type="dxa"/>
            <w:vAlign w:val="bottom"/>
            <w:gridSpan w:val="2"/>
          </w:tcPr>
          <w:p>
            <w:pPr>
              <w:jc w:val="right"/>
              <w:ind w:right="8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320" w:type="dxa"/>
            <w:vAlign w:val="bottom"/>
            <w:gridSpan w:val="2"/>
          </w:tcPr>
          <w:p>
            <w:pPr>
              <w:jc w:val="right"/>
              <w:ind w:right="63"/>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(9)</w:t>
            </w:r>
          </w:p>
        </w:tc>
        <w:tc>
          <w:tcPr>
            <w:tcW w:w="580" w:type="dxa"/>
            <w:vAlign w:val="bottom"/>
          </w:tcPr>
          <w:p>
            <w:pPr>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-137160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-120015</wp:posOffset>
            </wp:positionV>
            <wp:extent cx="59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-137160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-120015</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-137160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-120015</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-137160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-120015</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-137160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-120015</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4" w:lineRule="exact"/>
        <w:rPr>
          <w:sz w:val="20"/>
          <w:szCs w:val="20"/>
          <w:color w:val="auto"/>
        </w:rPr>
      </w:pPr>
    </w:p>
    <w:p>
      <w:pPr>
        <w:ind w:left="240" w:hanging="236"/>
        <w:spacing w:after="0"/>
        <w:tabs>
          <w:tab w:leader="none" w:pos="24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For Private Education Loans, the item is a non-GAAP financial measure. For a description and reconciliation, see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4" w:right="1099" w:bottom="1440" w:gutter="0" w:footer="0" w:header="0"/>
        </w:sectPr>
      </w:pPr>
    </w:p>
    <w:bookmarkStart w:id="19" w:name="page20"/>
    <w:bookmarkEnd w:id="19"/>
    <w:p>
      <w:pPr>
        <w:ind w:lef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72200" cy="205740"/>
                    </a:xfrm>
                    <a:prstGeom prst="rect">
                      <a:avLst/>
                    </a:prstGeom>
                    <a:noFill/>
                  </pic:spPr>
                </pic:pic>
              </a:graphicData>
            </a:graphic>
          </wp:anchor>
        </w:drawing>
        <w:t>LIQUIDITY AND CAPITAL RESOURCES</w:t>
      </w:r>
    </w:p>
    <w:p>
      <w:pPr>
        <w:spacing w:after="0" w:line="25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expect to fund our ongoing liquidity needs, including the repayment of $0.5 billion of senior unsecured notes that mature in the short term (i.e., over the next 12 months) and the remaining $4.8 billion of senior unsecured notes that mature in the long term (from 2027 to 2043 with 79% maturing by 2032), through a number of sources. These sources include our cash on hand, unencumbered FFELP Loan and Private Education Refinance Loan portfolios (see “Sources of Primary Liquidity” below), the predictable operating cash flows provided by operating activities, the repayment of principal on unencumbered education loan assets, and the distribution of overcollateralization from our securitization trusts. We may also, depending on market conditions and availability, draw down on our secured FFELP Loan and Private Education Loan asset-backed commercial paper (ABCP) facilities, issue term ABS, enter into additional Private Education Loan and FFELP Loan ABS repurchase facilities, or issue additional unsecured debt.</w:t>
      </w:r>
    </w:p>
    <w:p>
      <w:pPr>
        <w:spacing w:after="0" w:line="156"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We originate Private Education Loans (a portion of which is obtained through a forward purchase agreement). We also have purchased and may purchase, in future periods, Private Education Loan portfolios from third parties. Those originations and purchases are part of our ongoing liquidity needs. We repurchased 2.1 million shares of common stock for $26 million in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6172200" cy="205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72200" cy="20574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SOURCES OF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Primary Liquidity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Ending Balances:</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tcBorders>
              <w:left w:val="single" w:sz="8" w:color="CFF0FC"/>
            </w:tcBorders>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6"/>
                <w:szCs w:val="16"/>
                <w:color w:val="auto"/>
              </w:rPr>
              <w:t>Unrestricted cash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6"/>
                <w:szCs w:val="16"/>
                <w:color w:val="auto"/>
              </w:rPr>
            </w:pPr>
          </w:p>
        </w:tc>
        <w:tc>
          <w:tcPr>
            <w:tcW w:w="22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571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Unencumbered FFELP Loans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FF0FC"/>
          </w:tcPr>
          <w:p>
            <w:pPr>
              <w:spacing w:after="0"/>
              <w:rPr>
                <w:sz w:val="16"/>
                <w:szCs w:val="16"/>
                <w:color w:val="auto"/>
              </w:rPr>
            </w:pPr>
          </w:p>
        </w:tc>
        <w:tc>
          <w:tcPr>
            <w:tcW w:w="160" w:type="dxa"/>
            <w:vAlign w:val="bottom"/>
            <w:tcBorders>
              <w:left w:val="single" w:sz="8" w:color="CFF0FC"/>
            </w:tcBorders>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5"/>
          </w:tcPr>
          <w:p>
            <w:pPr>
              <w:spacing w:after="0"/>
              <w:rPr>
                <w:sz w:val="20"/>
                <w:szCs w:val="20"/>
                <w:color w:val="auto"/>
              </w:rPr>
            </w:pPr>
            <w:r>
              <w:rPr>
                <w:rFonts w:ascii="Arial" w:cs="Arial" w:eastAsia="Arial" w:hAnsi="Arial"/>
                <w:sz w:val="16"/>
                <w:szCs w:val="16"/>
                <w:color w:val="auto"/>
              </w:rPr>
              <w:t>Unencumbered Private Education Refinance Loans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1,249</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8"/>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1,144</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left w:val="single" w:sz="8" w:color="CFF0FC"/>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13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00" w:type="dxa"/>
            <w:vAlign w:val="bottom"/>
            <w:shd w:val="clear" w:color="auto" w:fill="D9D9D9"/>
          </w:tcPr>
          <w:p>
            <w:pPr>
              <w:spacing w:after="0"/>
              <w:rPr>
                <w:sz w:val="14"/>
                <w:szCs w:val="14"/>
                <w:color w:val="auto"/>
              </w:rPr>
            </w:pPr>
          </w:p>
        </w:tc>
        <w:tc>
          <w:tcPr>
            <w:tcW w:w="1660" w:type="dxa"/>
            <w:vAlign w:val="bottom"/>
            <w:tcBorders>
              <w:right w:val="single" w:sz="8" w:color="D9D9D9"/>
            </w:tcBorders>
            <w:gridSpan w:val="5"/>
            <w:shd w:val="clear" w:color="auto" w:fill="D9D9D9"/>
          </w:tcPr>
          <w:p>
            <w:pPr>
              <w:jc w:val="center"/>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shd w:val="clear" w:color="auto" w:fill="D9D9D9"/>
          </w:tcPr>
          <w:p>
            <w:pPr>
              <w:spacing w:after="0"/>
              <w:rPr>
                <w:sz w:val="14"/>
                <w:szCs w:val="14"/>
                <w:color w:val="auto"/>
              </w:rPr>
            </w:pPr>
          </w:p>
        </w:tc>
        <w:tc>
          <w:tcPr>
            <w:tcW w:w="1100" w:type="dxa"/>
            <w:vAlign w:val="bottom"/>
            <w:tcBorders>
              <w:right w:val="single" w:sz="8" w:color="D9D9D9"/>
            </w:tcBorders>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640" w:type="dxa"/>
            <w:vAlign w:val="bottom"/>
            <w:gridSpan w:val="5"/>
            <w:shd w:val="clear" w:color="auto" w:fill="D9D9D9"/>
          </w:tcPr>
          <w:p>
            <w:pPr>
              <w:ind w:left="70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279"/>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2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Average Balances: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left w:val="single" w:sz="8" w:color="CFF0FC"/>
            </w:tcBorders>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6"/>
                <w:szCs w:val="16"/>
                <w:color w:val="auto"/>
              </w:rPr>
              <w:t>Unrestricted cash</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Unencumbered FFELP Loans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60" w:type="dxa"/>
            <w:vAlign w:val="bottom"/>
            <w:shd w:val="clear" w:color="auto" w:fill="CFF0FC"/>
          </w:tcPr>
          <w:p>
            <w:pPr>
              <w:spacing w:after="0"/>
              <w:rPr>
                <w:sz w:val="16"/>
                <w:szCs w:val="16"/>
                <w:color w:val="auto"/>
              </w:rPr>
            </w:pPr>
          </w:p>
        </w:tc>
        <w:tc>
          <w:tcPr>
            <w:tcW w:w="160" w:type="dxa"/>
            <w:vAlign w:val="bottom"/>
            <w:tcBorders>
              <w:left w:val="single" w:sz="8" w:color="CFF0FC"/>
            </w:tcBorders>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60" w:type="dxa"/>
            <w:vAlign w:val="bottom"/>
            <w:gridSpan w:val="2"/>
          </w:tcPr>
          <w:p>
            <w:pPr>
              <w:spacing w:after="0" w:line="175" w:lineRule="exact"/>
              <w:rPr>
                <w:sz w:val="20"/>
                <w:szCs w:val="20"/>
                <w:color w:val="auto"/>
              </w:rPr>
            </w:pPr>
            <w:r>
              <w:rPr>
                <w:rFonts w:ascii="Arial" w:cs="Arial" w:eastAsia="Arial" w:hAnsi="Arial"/>
                <w:sz w:val="16"/>
                <w:szCs w:val="16"/>
                <w:color w:val="auto"/>
              </w:rPr>
              <w:t>Unencumbered Private Education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684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578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gridSpan w:val="2"/>
          </w:tcPr>
          <w:p>
            <w:pPr>
              <w:ind w:left="140"/>
              <w:spacing w:after="0"/>
              <w:rPr>
                <w:sz w:val="20"/>
                <w:szCs w:val="20"/>
                <w:color w:val="auto"/>
              </w:rPr>
            </w:pPr>
            <w:r>
              <w:rPr>
                <w:rFonts w:ascii="Arial" w:cs="Arial" w:eastAsia="Arial" w:hAnsi="Arial"/>
                <w:sz w:val="16"/>
                <w:szCs w:val="16"/>
                <w:color w:val="auto"/>
              </w:rPr>
              <w:t>Refinance Loans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1,344</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1,248</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1,486</w:t>
            </w:r>
          </w:p>
        </w:tc>
        <w:tc>
          <w:tcPr>
            <w:tcW w:w="100" w:type="dxa"/>
            <w:vAlign w:val="bottom"/>
            <w:shd w:val="clear" w:color="auto" w:fill="CFF0FC"/>
          </w:tcPr>
          <w:p>
            <w:pPr>
              <w:spacing w:after="0"/>
              <w:rPr>
                <w:sz w:val="17"/>
                <w:szCs w:val="17"/>
                <w:color w:val="auto"/>
              </w:rPr>
            </w:pPr>
          </w:p>
        </w:tc>
        <w:tc>
          <w:tcPr>
            <w:tcW w:w="22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1,297</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-1216660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-1199515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-1216660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-1199515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-1216660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-1199515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-24765</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-7620</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-24765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-24765</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-7620</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-24765</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-7620</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52" w:right="10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Sources of Additional Liquidity</w:t>
      </w:r>
    </w:p>
    <w:p>
      <w:pPr>
        <w:spacing w:after="0" w:line="203"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Liquidity may also be available under our secured credit facilities. Maximum borrowing capacity under the FFELP Loan and Private Education Loan ABCP facilities will vary and be subject to each agreement’s borrowing conditions, including, among others, facility size, current usage and availability of qualifying collateral from unencumbered loans. The following tables detail the additional borrowing capacity of these facilities with maturity dates ranging from June 2026 to April 2027.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Ending Balances:</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FFELP Loan ABCP facilities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193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178</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6"/>
                <w:szCs w:val="16"/>
                <w:color w:val="auto"/>
              </w:rPr>
              <w:t>Private Education Loan ABCP facilities</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1,689</w:t>
            </w:r>
          </w:p>
        </w:tc>
        <w:tc>
          <w:tcPr>
            <w:tcW w:w="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1,882</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3"/>
          </w:tcPr>
          <w:p>
            <w:pPr>
              <w:jc w:val="right"/>
              <w:ind w:right="20"/>
              <w:spacing w:after="0" w:line="183" w:lineRule="exact"/>
              <w:rPr>
                <w:sz w:val="20"/>
                <w:szCs w:val="20"/>
                <w:color w:val="auto"/>
              </w:rPr>
            </w:pPr>
            <w:r>
              <w:rPr>
                <w:rFonts w:ascii="Arial" w:cs="Arial" w:eastAsia="Arial" w:hAnsi="Arial"/>
                <w:sz w:val="16"/>
                <w:szCs w:val="16"/>
                <w:color w:val="auto"/>
              </w:rPr>
              <w:t>1,882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2,060</w:t>
            </w:r>
          </w:p>
        </w:tc>
        <w:tc>
          <w:tcPr>
            <w:tcW w:w="180" w:type="dxa"/>
            <w:vAlign w:val="bottom"/>
            <w:gridSpan w:val="2"/>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2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1160" w:type="dxa"/>
            <w:vAlign w:val="bottom"/>
            <w:tcBorders>
              <w:bottom w:val="single" w:sz="8" w:color="D9D9D9"/>
            </w:tcBorders>
            <w:shd w:val="clear" w:color="auto" w:fill="D9D9D9"/>
          </w:tcPr>
          <w:p>
            <w:pPr>
              <w:spacing w:after="0"/>
              <w:rPr>
                <w:sz w:val="14"/>
                <w:szCs w:val="14"/>
                <w:color w:val="auto"/>
              </w:rPr>
            </w:pPr>
          </w:p>
        </w:tc>
        <w:tc>
          <w:tcPr>
            <w:tcW w:w="1560" w:type="dxa"/>
            <w:vAlign w:val="bottom"/>
            <w:tcBorders>
              <w:bottom w:val="single" w:sz="8" w:color="D9D9D9"/>
            </w:tcBorders>
            <w:gridSpan w:val="4"/>
            <w:shd w:val="clear" w:color="auto" w:fill="D9D9D9"/>
          </w:tcPr>
          <w:p>
            <w:pPr>
              <w:jc w:val="center"/>
              <w:ind w:left="2"/>
              <w:spacing w:after="0"/>
              <w:rPr>
                <w:sz w:val="20"/>
                <w:szCs w:val="20"/>
                <w:color w:val="auto"/>
              </w:rPr>
            </w:pPr>
            <w:r>
              <w:rPr>
                <w:rFonts w:ascii="Arial" w:cs="Arial" w:eastAsia="Arial" w:hAnsi="Arial"/>
                <w:sz w:val="14"/>
                <w:szCs w:val="14"/>
                <w:b w:val="1"/>
                <w:bCs w:val="1"/>
                <w:color w:val="auto"/>
              </w:rPr>
              <w:t>QUARTERS ENDED</w:t>
            </w:r>
          </w:p>
        </w:tc>
        <w:tc>
          <w:tcPr>
            <w:tcW w:w="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106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2600" w:type="dxa"/>
            <w:vAlign w:val="bottom"/>
            <w:tcBorders>
              <w:bottom w:val="single" w:sz="8" w:color="D9D9D9"/>
            </w:tcBorders>
            <w:gridSpan w:val="7"/>
            <w:shd w:val="clear" w:color="auto" w:fill="D9D9D9"/>
          </w:tcPr>
          <w:p>
            <w:pPr>
              <w:ind w:left="62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123"/>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Average Balances:</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FFELP Loan ABCP facilities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6"/>
                <w:szCs w:val="16"/>
                <w:color w:val="auto"/>
              </w:rPr>
            </w:pPr>
          </w:p>
        </w:tc>
        <w:tc>
          <w:tcPr>
            <w:tcW w:w="28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20" w:type="dxa"/>
            <w:vAlign w:val="bottom"/>
            <w:gridSpan w:val="2"/>
            <w:shd w:val="clear" w:color="auto" w:fill="CFF0FC"/>
          </w:tcPr>
          <w:p>
            <w:pPr>
              <w:spacing w:after="0" w:line="175" w:lineRule="exact"/>
              <w:rPr>
                <w:sz w:val="20"/>
                <w:szCs w:val="20"/>
                <w:color w:val="auto"/>
              </w:rPr>
            </w:pPr>
            <w:r>
              <w:rPr>
                <w:rFonts w:ascii="Arial" w:cs="Arial" w:eastAsia="Arial" w:hAnsi="Arial"/>
                <w:sz w:val="16"/>
                <w:szCs w:val="16"/>
                <w:color w:val="auto"/>
              </w:rPr>
              <w:t>Private Education Loan ABCP</w:t>
            </w: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2,051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1,799</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6"/>
                <w:szCs w:val="16"/>
                <w:color w:val="auto"/>
              </w:rPr>
              <w:t>facilities</w:t>
            </w:r>
          </w:p>
        </w:tc>
        <w:tc>
          <w:tcPr>
            <w:tcW w:w="1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2,235</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1,879</w:t>
            </w:r>
          </w:p>
        </w:tc>
        <w:tc>
          <w:tcPr>
            <w:tcW w:w="100" w:type="dxa"/>
            <w:vAlign w:val="bottom"/>
          </w:tcPr>
          <w:p>
            <w:pPr>
              <w:spacing w:after="0"/>
              <w:rPr>
                <w:sz w:val="15"/>
                <w:szCs w:val="15"/>
                <w:color w:val="auto"/>
              </w:rPr>
            </w:pPr>
          </w:p>
        </w:tc>
        <w:tc>
          <w:tcPr>
            <w:tcW w:w="1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2,222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1,937</w:t>
            </w:r>
          </w:p>
        </w:tc>
        <w:tc>
          <w:tcPr>
            <w:tcW w:w="80" w:type="dxa"/>
            <w:vAlign w:val="bottom"/>
          </w:tcPr>
          <w:p>
            <w:pPr>
              <w:spacing w:after="0"/>
              <w:rPr>
                <w:sz w:val="15"/>
                <w:szCs w:val="15"/>
                <w:color w:val="auto"/>
              </w:rPr>
            </w:pPr>
          </w:p>
        </w:tc>
        <w:tc>
          <w:tcPr>
            <w:tcW w:w="280" w:type="dxa"/>
            <w:vAlign w:val="bottom"/>
            <w:gridSpan w:val="3"/>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2,192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-1302385</wp:posOffset>
            </wp:positionV>
            <wp:extent cx="596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-1302385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-1302385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-848360</wp:posOffset>
            </wp:positionV>
            <wp:extent cx="17316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-153670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-153670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-153670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-153670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-153670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At December 31, 2025, we had a total of $2.9 billion of unencumbered tangible assets inclusive of those listed in the table above as sources of primary liquidity. Total unencumbered education loans comprised $1.4 billion of our unencumbered tangible assets of which $1.3 billion and $83 million related to Private Education Loans and FFELP Loans, respectively. In addition, as of December 31, 2025, we had $4.7 billion of encumbered net assets (i.e., overcollateralization) in our various financing facilities (consolidated variable interest entities). We enter into repurchase facilities at times to borrow against the encumbered net assets of these financing vehicles. As of December 31, 2025, $0.6 billion of repurchase facility borrowings were outstanding.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encumbered and unencumbered assets and their net impact on total Tangible Equity.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billions)</w:t>
            </w:r>
          </w:p>
        </w:tc>
        <w:tc>
          <w:tcPr>
            <w:tcW w:w="3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68"/>
        </w:trPr>
        <w:tc>
          <w:tcPr>
            <w:tcW w:w="4560" w:type="dxa"/>
            <w:vAlign w:val="bottom"/>
            <w:gridSpan w:val="2"/>
            <w:shd w:val="clear" w:color="auto" w:fill="CFF0FC"/>
          </w:tcPr>
          <w:p>
            <w:pPr>
              <w:spacing w:after="0" w:line="168" w:lineRule="exact"/>
              <w:rPr>
                <w:sz w:val="20"/>
                <w:szCs w:val="20"/>
                <w:color w:val="auto"/>
              </w:rPr>
            </w:pPr>
            <w:r>
              <w:rPr>
                <w:rFonts w:ascii="Arial" w:cs="Arial" w:eastAsia="Arial" w:hAnsi="Arial"/>
                <w:sz w:val="16"/>
                <w:szCs w:val="16"/>
                <w:color w:val="auto"/>
              </w:rPr>
              <w:t>Net assets of consolidated variable interest</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45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entities (encumbered assets) — FFELP Loans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7"/>
                <w:szCs w:val="17"/>
                <w:color w:val="auto"/>
              </w:rPr>
            </w:pPr>
          </w:p>
        </w:tc>
      </w:tr>
      <w:tr>
        <w:trPr>
          <w:trHeight w:val="175"/>
        </w:trPr>
        <w:tc>
          <w:tcPr>
            <w:tcW w:w="4560" w:type="dxa"/>
            <w:vAlign w:val="bottom"/>
            <w:gridSpan w:val="2"/>
          </w:tcPr>
          <w:p>
            <w:pPr>
              <w:spacing w:after="0" w:line="175" w:lineRule="exact"/>
              <w:rPr>
                <w:sz w:val="20"/>
                <w:szCs w:val="20"/>
                <w:color w:val="auto"/>
              </w:rPr>
            </w:pPr>
            <w:r>
              <w:rPr>
                <w:rFonts w:ascii="Arial" w:cs="Arial" w:eastAsia="Arial" w:hAnsi="Arial"/>
                <w:sz w:val="16"/>
                <w:szCs w:val="16"/>
                <w:color w:val="auto"/>
              </w:rPr>
              <w:t>Net assets of consolidated variable interest entities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560" w:type="dxa"/>
            <w:vAlign w:val="bottom"/>
            <w:gridSpan w:val="2"/>
          </w:tcPr>
          <w:p>
            <w:pPr>
              <w:ind w:left="140"/>
              <w:spacing w:after="0"/>
              <w:rPr>
                <w:sz w:val="20"/>
                <w:szCs w:val="20"/>
                <w:color w:val="auto"/>
              </w:rPr>
            </w:pPr>
            <w:r>
              <w:rPr>
                <w:rFonts w:ascii="Arial" w:cs="Arial" w:eastAsia="Arial" w:hAnsi="Arial"/>
                <w:sz w:val="16"/>
                <w:szCs w:val="16"/>
                <w:color w:val="auto"/>
              </w:rPr>
              <w:t>(encumbered assets) — Private Education Loans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r>
      <w:tr>
        <w:trPr>
          <w:trHeight w:val="189"/>
        </w:trPr>
        <w:tc>
          <w:tcPr>
            <w:tcW w:w="456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Tangible unencumbered assets</w:t>
            </w:r>
            <w:r>
              <w:rPr>
                <w:rFonts w:ascii="Arial" w:cs="Arial" w:eastAsia="Arial" w:hAnsi="Arial"/>
                <w:sz w:val="21"/>
                <w:szCs w:val="21"/>
                <w:color w:val="auto"/>
                <w:vertAlign w:val="superscript"/>
              </w:rPr>
              <w:t>(1)</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6"/>
                <w:szCs w:val="16"/>
                <w:color w:val="auto"/>
              </w:rPr>
            </w:pPr>
          </w:p>
        </w:tc>
      </w:tr>
      <w:tr>
        <w:trPr>
          <w:trHeight w:val="189"/>
        </w:trPr>
        <w:tc>
          <w:tcPr>
            <w:tcW w:w="4560" w:type="dxa"/>
            <w:vAlign w:val="bottom"/>
            <w:gridSpan w:val="2"/>
          </w:tcPr>
          <w:p>
            <w:pPr>
              <w:spacing w:after="0"/>
              <w:rPr>
                <w:sz w:val="20"/>
                <w:szCs w:val="20"/>
                <w:color w:val="auto"/>
              </w:rPr>
            </w:pPr>
            <w:r>
              <w:rPr>
                <w:rFonts w:ascii="Arial" w:cs="Arial" w:eastAsia="Arial" w:hAnsi="Arial"/>
                <w:sz w:val="16"/>
                <w:szCs w:val="16"/>
                <w:color w:val="auto"/>
              </w:rPr>
              <w:t>Senior unsecured debt</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r>
      <w:tr>
        <w:trPr>
          <w:trHeight w:val="189"/>
        </w:trPr>
        <w:tc>
          <w:tcPr>
            <w:tcW w:w="456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Mark-to-market on unsecured hedged debt</w:t>
            </w:r>
            <w:r>
              <w:rPr>
                <w:rFonts w:ascii="Arial" w:cs="Arial" w:eastAsia="Arial" w:hAnsi="Arial"/>
                <w:sz w:val="21"/>
                <w:szCs w:val="21"/>
                <w:color w:val="auto"/>
                <w:vertAlign w:val="superscript"/>
              </w:rPr>
              <w:t>(2)</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6"/>
                <w:szCs w:val="16"/>
                <w:color w:val="auto"/>
              </w:rPr>
            </w:pPr>
          </w:p>
        </w:tc>
      </w:tr>
      <w:tr>
        <w:trPr>
          <w:trHeight w:val="189"/>
        </w:trPr>
        <w:tc>
          <w:tcPr>
            <w:tcW w:w="4560" w:type="dxa"/>
            <w:vAlign w:val="bottom"/>
            <w:gridSpan w:val="2"/>
          </w:tcPr>
          <w:p>
            <w:pPr>
              <w:spacing w:after="0"/>
              <w:rPr>
                <w:sz w:val="20"/>
                <w:szCs w:val="20"/>
                <w:color w:val="auto"/>
              </w:rPr>
            </w:pPr>
            <w:r>
              <w:rPr>
                <w:rFonts w:ascii="Arial" w:cs="Arial" w:eastAsia="Arial" w:hAnsi="Arial"/>
                <w:sz w:val="16"/>
                <w:szCs w:val="16"/>
                <w:color w:val="auto"/>
              </w:rPr>
              <w:t>Other liabilities, net</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r>
      <w:tr>
        <w:trPr>
          <w:trHeight w:val="223"/>
        </w:trPr>
        <w:tc>
          <w:tcPr>
            <w:tcW w:w="4560" w:type="dxa"/>
            <w:vAlign w:val="bottom"/>
            <w:tcBorders>
              <w:bottom w:val="single" w:sz="8" w:color="CFF0FC"/>
            </w:tcBorders>
            <w:gridSpan w:val="2"/>
            <w:shd w:val="clear" w:color="auto" w:fill="CFF0FC"/>
          </w:tcPr>
          <w:p>
            <w:pPr>
              <w:ind w:left="100"/>
              <w:spacing w:after="0" w:line="183" w:lineRule="exact"/>
              <w:rPr>
                <w:sz w:val="20"/>
                <w:szCs w:val="20"/>
                <w:color w:val="auto"/>
              </w:rPr>
            </w:pPr>
            <w:r>
              <w:rPr>
                <w:rFonts w:ascii="Arial" w:cs="Arial" w:eastAsia="Arial" w:hAnsi="Arial"/>
                <w:sz w:val="16"/>
                <w:szCs w:val="16"/>
                <w:color w:val="auto"/>
              </w:rPr>
              <w:t xml:space="preserve">Total Tangible Equity </w:t>
            </w:r>
            <w:r>
              <w:rPr>
                <w:rFonts w:ascii="Arial" w:cs="Arial" w:eastAsia="Arial" w:hAnsi="Arial"/>
                <w:sz w:val="21"/>
                <w:szCs w:val="21"/>
                <w:color w:val="auto"/>
                <w:vertAlign w:val="superscript"/>
              </w:rPr>
              <w:t>(3)</w:t>
            </w:r>
          </w:p>
        </w:tc>
        <w:tc>
          <w:tcPr>
            <w:tcW w:w="8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-24765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-7620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-24765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-7620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111125</wp:posOffset>
            </wp:positionV>
            <wp:extent cx="7372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99" w:lineRule="exact"/>
        <w:rPr>
          <w:sz w:val="20"/>
          <w:szCs w:val="20"/>
          <w:color w:val="auto"/>
        </w:rPr>
      </w:pPr>
    </w:p>
    <w:p>
      <w:pPr>
        <w:ind w:left="320" w:hanging="316"/>
        <w:spacing w:after="0"/>
        <w:tabs>
          <w:tab w:leader="none" w:pos="3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Excludes goodwill and acquired intangible assets.</w:t>
      </w:r>
    </w:p>
    <w:p>
      <w:pPr>
        <w:spacing w:after="0" w:line="47" w:lineRule="exact"/>
        <w:rPr>
          <w:rFonts w:ascii="Arial" w:cs="Arial" w:eastAsia="Arial" w:hAnsi="Arial"/>
          <w:sz w:val="19"/>
          <w:szCs w:val="19"/>
          <w:color w:val="auto"/>
          <w:vertAlign w:val="superscript"/>
        </w:rPr>
      </w:pPr>
    </w:p>
    <w:p>
      <w:pPr>
        <w:ind w:left="220" w:right="40" w:hanging="216"/>
        <w:spacing w:after="0" w:line="217" w:lineRule="auto"/>
        <w:tabs>
          <w:tab w:leader="none" w:pos="319"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At December 31, 2025, September 30, 2025, and December 31, 2024, there were $(50) million, $(53) million and $(181) million, respectively, of net gains (losses) on derivatives hedging this debt in unencumbered assets, which partially offset these gains (losses).</w:t>
      </w:r>
    </w:p>
    <w:p>
      <w:pPr>
        <w:spacing w:after="0" w:line="12" w:lineRule="exact"/>
        <w:rPr>
          <w:rFonts w:ascii="Arial" w:cs="Arial" w:eastAsia="Arial" w:hAnsi="Arial"/>
          <w:sz w:val="19"/>
          <w:szCs w:val="19"/>
          <w:color w:val="auto"/>
          <w:vertAlign w:val="superscript"/>
        </w:rPr>
      </w:pPr>
    </w:p>
    <w:p>
      <w:pPr>
        <w:ind w:left="200" w:hanging="196"/>
        <w:spacing w:after="0"/>
        <w:tabs>
          <w:tab w:leader="none" w:pos="20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w:t>
      </w:r>
    </w:p>
    <w:p>
      <w:pPr>
        <w:spacing w:after="0" w:line="183"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21" w:name="page22"/>
    <w:bookmarkEnd w:id="21"/>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1974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72200" cy="197485"/>
                    </a:xfrm>
                    <a:prstGeom prst="rect">
                      <a:avLst/>
                    </a:prstGeom>
                    <a:noFill/>
                  </pic:spPr>
                </pic:pic>
              </a:graphicData>
            </a:graphic>
          </wp:anchor>
        </w:drawing>
        <w:t>NON-GAAP FINANCIAL MEASURES</w:t>
      </w:r>
    </w:p>
    <w:p>
      <w:pPr>
        <w:spacing w:after="0" w:line="28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addition to financial results reported on a GAAP basis, Navient also provides certain performance measures which are non-GAAP financial measures. We present the following non-GAAP financial measures: (1) Core Earnings, (2) Tangible Equity (as well as the Adjusted Tangible Equity Ratio), (3) EBITDA for the Business Processing segment, and (4) Allowance for Loan Losses Excluding Expected Future Recoveries on Previously Fully Charged-off Loans. Definitions for the non-GAAP financial measures and reconciliations are provided below, except that reconciliations of forward-looking non-GAAP financial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gains/losses resulting from our use of derivative instruments to hedge our economic risks.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Core Earnings</w:t>
      </w:r>
    </w:p>
    <w:p>
      <w:pPr>
        <w:spacing w:after="0" w:line="11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prepare financial statements and present financial results in accordance with GAAP. However, we also evaluate our business segments and present financial results on a basis that differs from GAAP. We refer to this different basis of presentation as Core Earnings. We provide this Core Earnings basis of presentation on a consolidated basis and for each business segment because this is what we review internally when making management decisions regarding our performance and how we allocate resources. We also refer to this information in our presentations with credit rating agencies, lenders and investors. Because our Core Earnings basis of presentation corresponds to our segment financial presentations, we are required by GAAP to provide certain Core Earnings disclosures in the notes to our consolidated financial statements for our business segments.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Core Earnings are not a substitute for reported results under GAAP. We use Core Earnings to manage our business segments because Core Earnings reflect adjustments to GAAP financial results for two items, discussed below, that can create significant volatility mostly due to timing factors generally beyond the control of management. Accordingly, we believe that Core Earnings provide management with a useful basis from which to better evaluate results from ongoing operations against the business plan or against results from prior periods. Consequently, we disclose this information because we believe it provides investors with additional information regarding the operational and performance indicators that are most closely assessed by management. When compared to GAAP results, the two items we remove to result in our Core Earnings presentations are:</w:t>
      </w:r>
    </w:p>
    <w:p>
      <w:pPr>
        <w:spacing w:after="0" w:line="73" w:lineRule="exact"/>
        <w:rPr>
          <w:sz w:val="20"/>
          <w:szCs w:val="20"/>
          <w:color w:val="auto"/>
        </w:rPr>
      </w:pPr>
    </w:p>
    <w:p>
      <w:pPr>
        <w:ind w:left="1080" w:hanging="558"/>
        <w:spacing w:after="0" w:line="286" w:lineRule="auto"/>
        <w:tabs>
          <w:tab w:leader="none" w:pos="8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Mark-to-market gains/losses resulting from our use of derivative instruments to hedge our economic risks that do not qualify for hedge accounting treatment or do qualify for hedge accounting treatment but result in ineffectiveness; and</w:t>
      </w:r>
    </w:p>
    <w:p>
      <w:pPr>
        <w:spacing w:after="0" w:line="47" w:lineRule="exact"/>
        <w:rPr>
          <w:rFonts w:ascii="Arial" w:cs="Arial" w:eastAsia="Arial" w:hAnsi="Arial"/>
          <w:sz w:val="16"/>
          <w:szCs w:val="16"/>
          <w:color w:val="auto"/>
        </w:rPr>
      </w:pPr>
    </w:p>
    <w:p>
      <w:pPr>
        <w:ind w:left="880" w:hanging="358"/>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accounting for goodwill and acquired intangible assets.</w:t>
      </w:r>
    </w:p>
    <w:p>
      <w:pPr>
        <w:spacing w:after="0" w:line="22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While GAAP provides a uniform, comprehensive basis of accounting, for the reasons described above, our Core Earnings basis of presentation does not. Core Earnings are subject to certain general and specific limitations that investors should carefully consider. For example, there is no comprehensive, authoritative guidance for management reporting. Our Core Earnings are not defined terms within GAAP and may not be comparable to similarly titled measures reported by other companies. Accordingly, our Core Earnings presentation does not represent a comprehensive basis of accounting. Investors, therefore, may not be able to compare our performance with that of other financial services companies based upon Core Earnings. Core Earnings results are only meant to supplement GAAP results by providing additional information regarding the operational and performance indicators that are most closely used by management, our Board of Directors, credit rating agencies, lenders and investors to assess performance.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25" w:right="1099" w:bottom="1440" w:gutter="0" w:footer="0" w:header="0"/>
        </w:sectPr>
      </w:pPr>
    </w:p>
    <w:bookmarkStart w:id="22" w:name="page23"/>
    <w:bookmarkEnd w:id="22"/>
    <w:p>
      <w:pPr>
        <w:jc w:val="both"/>
        <w:ind w:right="40"/>
        <w:spacing w:after="0" w:line="266" w:lineRule="auto"/>
        <w:rPr>
          <w:sz w:val="20"/>
          <w:szCs w:val="20"/>
          <w:color w:val="auto"/>
        </w:rPr>
      </w:pPr>
      <w:r>
        <w:rPr>
          <w:rFonts w:ascii="Arial" w:cs="Arial" w:eastAsia="Arial" w:hAnsi="Arial"/>
          <w:sz w:val="16"/>
          <w:szCs w:val="16"/>
          <w:color w:val="auto"/>
        </w:rPr>
        <w:t>The following tables show our consolidated GAAP results, Core Earnings results (including for each reportable segment) along with the adjustments made to the income/expense items to reconcile the consolidated GAAP results to the Core Earnings results as required by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2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2340" w:type="dxa"/>
            <w:vAlign w:val="bottom"/>
            <w:gridSpan w:val="11"/>
            <w:shd w:val="clear" w:color="auto" w:fill="D9D9D9"/>
          </w:tcPr>
          <w:p>
            <w:pPr>
              <w:ind w:left="160"/>
              <w:spacing w:after="0"/>
              <w:rPr>
                <w:sz w:val="20"/>
                <w:szCs w:val="20"/>
                <w:color w:val="auto"/>
              </w:rPr>
            </w:pPr>
            <w:r>
              <w:rPr>
                <w:rFonts w:ascii="Arial" w:cs="Arial" w:eastAsia="Arial" w:hAnsi="Arial"/>
                <w:sz w:val="11"/>
                <w:szCs w:val="11"/>
                <w:b w:val="1"/>
                <w:bCs w:val="1"/>
                <w:color w:val="auto"/>
              </w:rPr>
              <w:t>QUARTER ENDED DECEMBER 31, 2025</w:t>
            </w:r>
          </w:p>
        </w:tc>
        <w:tc>
          <w:tcPr>
            <w:tcW w:w="40" w:type="dxa"/>
            <w:vAlign w:val="bottom"/>
            <w:shd w:val="clear" w:color="auto" w:fill="D9D9D9"/>
          </w:tcPr>
          <w:p>
            <w:pPr>
              <w:spacing w:after="0"/>
              <w:rPr>
                <w:sz w:val="10"/>
                <w:szCs w:val="10"/>
                <w:color w:val="auto"/>
              </w:rPr>
            </w:pPr>
          </w:p>
        </w:tc>
        <w:tc>
          <w:tcPr>
            <w:tcW w:w="120" w:type="dxa"/>
            <w:vAlign w:val="bottom"/>
            <w:tcBorders>
              <w:left w:val="single" w:sz="8" w:color="D9D9D9"/>
            </w:tcBorders>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tcPr>
          <w:p>
            <w:pPr>
              <w:jc w:val="right"/>
              <w:ind w:right="60"/>
              <w:spacing w:after="0" w:line="122" w:lineRule="exact"/>
              <w:rPr>
                <w:sz w:val="20"/>
                <w:szCs w:val="20"/>
                <w:color w:val="auto"/>
              </w:rPr>
            </w:pPr>
            <w:r>
              <w:rPr>
                <w:rFonts w:ascii="Arial" w:cs="Arial" w:eastAsia="Arial" w:hAnsi="Arial"/>
                <w:sz w:val="11"/>
                <w:szCs w:val="11"/>
                <w:b w:val="1"/>
                <w:bCs w:val="1"/>
                <w:color w:val="auto"/>
              </w:rPr>
              <w:t>Adjustments</w:t>
            </w: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gridSpan w:val="2"/>
            <w:vMerge w:val="restart"/>
          </w:tcPr>
          <w:p>
            <w:pPr>
              <w:jc w:val="right"/>
              <w:ind w:right="237"/>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ind w:left="120"/>
              <w:spacing w:after="0" w:line="122" w:lineRule="exact"/>
              <w:rPr>
                <w:sz w:val="20"/>
                <w:szCs w:val="20"/>
                <w:color w:val="auto"/>
              </w:rPr>
            </w:pPr>
            <w:r>
              <w:rPr>
                <w:rFonts w:ascii="Arial" w:cs="Arial" w:eastAsia="Arial" w:hAnsi="Arial"/>
                <w:sz w:val="11"/>
                <w:szCs w:val="11"/>
                <w:b w:val="1"/>
                <w:bCs w:val="1"/>
                <w:color w:val="auto"/>
              </w:rPr>
              <w:t>Reportable Segments</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tcPr>
          <w:p>
            <w:pPr>
              <w:jc w:val="center"/>
              <w:ind w:right="160"/>
              <w:spacing w:after="0" w:line="102" w:lineRule="exact"/>
              <w:rPr>
                <w:sz w:val="20"/>
                <w:szCs w:val="20"/>
                <w:color w:val="auto"/>
              </w:rPr>
            </w:pPr>
            <w:r>
              <w:rPr>
                <w:rFonts w:ascii="Arial" w:cs="Arial" w:eastAsia="Arial" w:hAnsi="Arial"/>
                <w:sz w:val="11"/>
                <w:szCs w:val="11"/>
                <w:b w:val="1"/>
                <w:bCs w:val="1"/>
                <w:color w:val="auto"/>
              </w:rPr>
              <w:t>Additions/</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tcPr>
          <w:p>
            <w:pPr>
              <w:jc w:val="center"/>
              <w:ind w:right="240"/>
              <w:spacing w:after="0" w:line="102" w:lineRule="exact"/>
              <w:rPr>
                <w:sz w:val="20"/>
                <w:szCs w:val="20"/>
                <w:color w:val="auto"/>
              </w:rPr>
            </w:pPr>
            <w:r>
              <w:rPr>
                <w:rFonts w:ascii="Arial" w:cs="Arial" w:eastAsia="Arial" w:hAnsi="Arial"/>
                <w:sz w:val="11"/>
                <w:szCs w:val="11"/>
                <w:b w:val="1"/>
                <w:bCs w:val="1"/>
                <w:color w:val="auto"/>
                <w:w w:val="96"/>
              </w:rPr>
              <w:t>Federal</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Total</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1"/>
                <w:szCs w:val="11"/>
                <w:b w:val="1"/>
                <w:bCs w:val="1"/>
                <w:color w:val="auto"/>
              </w:rPr>
              <w:t>Reclassi-</w:t>
            </w:r>
          </w:p>
        </w:tc>
        <w:tc>
          <w:tcPr>
            <w:tcW w:w="100" w:type="dxa"/>
            <w:vAlign w:val="bottom"/>
          </w:tcPr>
          <w:p>
            <w:pPr>
              <w:spacing w:after="0"/>
              <w:rPr>
                <w:sz w:val="3"/>
                <w:szCs w:val="3"/>
                <w:color w:val="auto"/>
              </w:rPr>
            </w:pPr>
          </w:p>
        </w:tc>
        <w:tc>
          <w:tcPr>
            <w:tcW w:w="700" w:type="dxa"/>
            <w:vAlign w:val="bottom"/>
            <w:gridSpan w:val="3"/>
            <w:vMerge w:val="restart"/>
          </w:tcPr>
          <w:p>
            <w:pPr>
              <w:jc w:val="center"/>
              <w:ind w:right="160"/>
              <w:spacing w:after="0"/>
              <w:rPr>
                <w:sz w:val="20"/>
                <w:szCs w:val="20"/>
                <w:color w:val="auto"/>
              </w:rPr>
            </w:pPr>
            <w:r>
              <w:rPr>
                <w:rFonts w:ascii="Arial" w:cs="Arial" w:eastAsia="Arial" w:hAnsi="Arial"/>
                <w:sz w:val="11"/>
                <w:szCs w:val="11"/>
                <w:b w:val="1"/>
                <w:bCs w:val="1"/>
                <w:color w:val="auto"/>
                <w:w w:val="97"/>
              </w:rPr>
              <w:t>(Subtracti</w:t>
            </w: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right w:val="single" w:sz="8" w:color="auto"/>
            </w:tcBorders>
            <w:gridSpan w:val="2"/>
            <w:vMerge w:val="restart"/>
          </w:tcPr>
          <w:p>
            <w:pPr>
              <w:jc w:val="right"/>
              <w:ind w:right="237"/>
              <w:spacing w:after="0"/>
              <w:rPr>
                <w:sz w:val="20"/>
                <w:szCs w:val="20"/>
                <w:color w:val="auto"/>
              </w:rPr>
            </w:pPr>
            <w:r>
              <w:rPr>
                <w:rFonts w:ascii="Arial" w:cs="Arial" w:eastAsia="Arial" w:hAnsi="Arial"/>
                <w:sz w:val="11"/>
                <w:szCs w:val="11"/>
                <w:b w:val="1"/>
                <w:bCs w:val="1"/>
                <w:color w:val="auto"/>
              </w:rPr>
              <w:t>Core</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3"/>
            <w:vMerge w:val="restart"/>
          </w:tcPr>
          <w:p>
            <w:pPr>
              <w:jc w:val="center"/>
              <w:ind w:right="260"/>
              <w:spacing w:after="0"/>
              <w:rPr>
                <w:sz w:val="20"/>
                <w:szCs w:val="20"/>
                <w:color w:val="auto"/>
              </w:rPr>
            </w:pPr>
            <w:r>
              <w:rPr>
                <w:rFonts w:ascii="Arial" w:cs="Arial" w:eastAsia="Arial" w:hAnsi="Arial"/>
                <w:sz w:val="11"/>
                <w:szCs w:val="11"/>
                <w:b w:val="1"/>
                <w:bCs w:val="1"/>
                <w:color w:val="auto"/>
                <w:w w:val="97"/>
              </w:rPr>
              <w:t>Education</w:t>
            </w: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3"/>
            <w:vMerge w:val="restart"/>
          </w:tcPr>
          <w:p>
            <w:pPr>
              <w:jc w:val="right"/>
              <w:ind w:right="360"/>
              <w:spacing w:after="0"/>
              <w:rPr>
                <w:sz w:val="20"/>
                <w:szCs w:val="20"/>
                <w:color w:val="auto"/>
              </w:rPr>
            </w:pPr>
            <w:r>
              <w:rPr>
                <w:rFonts w:ascii="Arial" w:cs="Arial" w:eastAsia="Arial" w:hAnsi="Arial"/>
                <w:sz w:val="11"/>
                <w:szCs w:val="11"/>
                <w:b w:val="1"/>
                <w:bCs w:val="1"/>
                <w:color w:val="auto"/>
                <w:w w:val="95"/>
              </w:rPr>
              <w:t>Consumer</w:t>
            </w:r>
          </w:p>
        </w:tc>
        <w:tc>
          <w:tcPr>
            <w:tcW w:w="80" w:type="dxa"/>
            <w:vAlign w:val="bottom"/>
          </w:tcPr>
          <w:p>
            <w:pPr>
              <w:spacing w:after="0"/>
              <w:rPr>
                <w:sz w:val="3"/>
                <w:szCs w:val="3"/>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Business</w:t>
            </w: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Adjustments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4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9"/>
                <w:szCs w:val="9"/>
                <w:color w:val="auto"/>
              </w:rPr>
            </w:pPr>
          </w:p>
        </w:tc>
        <w:tc>
          <w:tcPr>
            <w:tcW w:w="720" w:type="dxa"/>
            <w:vAlign w:val="bottom"/>
            <w:gridSpan w:val="2"/>
          </w:tcPr>
          <w:p>
            <w:pPr>
              <w:jc w:val="right"/>
              <w:ind w:right="360"/>
              <w:spacing w:after="0" w:line="108" w:lineRule="exact"/>
              <w:rPr>
                <w:sz w:val="20"/>
                <w:szCs w:val="20"/>
                <w:color w:val="auto"/>
              </w:rPr>
            </w:pPr>
            <w:r>
              <w:rPr>
                <w:rFonts w:ascii="Arial" w:cs="Arial" w:eastAsia="Arial" w:hAnsi="Arial"/>
                <w:sz w:val="11"/>
                <w:szCs w:val="11"/>
                <w:b w:val="1"/>
                <w:bCs w:val="1"/>
                <w:color w:val="auto"/>
              </w:rPr>
              <w:t>GAAP</w:t>
            </w:r>
          </w:p>
        </w:tc>
        <w:tc>
          <w:tcPr>
            <w:tcW w:w="60" w:type="dxa"/>
            <w:vAlign w:val="bottom"/>
          </w:tcPr>
          <w:p>
            <w:pPr>
              <w:spacing w:after="0"/>
              <w:rPr>
                <w:sz w:val="9"/>
                <w:szCs w:val="9"/>
                <w:color w:val="auto"/>
              </w:rPr>
            </w:pP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1"/>
                <w:szCs w:val="11"/>
                <w:b w:val="1"/>
                <w:bCs w:val="1"/>
                <w:color w:val="auto"/>
                <w:w w:val="92"/>
              </w:rPr>
              <w:t>fications</w:t>
            </w:r>
          </w:p>
        </w:tc>
        <w:tc>
          <w:tcPr>
            <w:tcW w:w="100" w:type="dxa"/>
            <w:vAlign w:val="bottom"/>
          </w:tcPr>
          <w:p>
            <w:pPr>
              <w:spacing w:after="0"/>
              <w:rPr>
                <w:sz w:val="9"/>
                <w:szCs w:val="9"/>
                <w:color w:val="auto"/>
              </w:rPr>
            </w:pPr>
          </w:p>
        </w:tc>
        <w:tc>
          <w:tcPr>
            <w:tcW w:w="42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4"/>
              </w:rPr>
              <w:t>ons)</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ind w:left="140"/>
              <w:spacing w:after="0"/>
              <w:rPr>
                <w:sz w:val="20"/>
                <w:szCs w:val="20"/>
                <w:color w:val="auto"/>
              </w:rPr>
            </w:pPr>
            <w:r>
              <w:rPr>
                <w:rFonts w:ascii="Arial" w:cs="Arial" w:eastAsia="Arial" w:hAnsi="Arial"/>
                <w:sz w:val="7"/>
                <w:szCs w:val="7"/>
                <w:b w:val="1"/>
                <w:bCs w:val="1"/>
                <w:color w:val="auto"/>
              </w:rPr>
              <w:t>(1)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right w:val="single" w:sz="8" w:color="auto"/>
            </w:tcBorders>
            <w:gridSpan w:val="3"/>
          </w:tcPr>
          <w:p>
            <w:pPr>
              <w:jc w:val="right"/>
              <w:ind w:right="137"/>
              <w:spacing w:after="0" w:line="108" w:lineRule="exact"/>
              <w:rPr>
                <w:sz w:val="20"/>
                <w:szCs w:val="20"/>
                <w:color w:val="auto"/>
              </w:rPr>
            </w:pPr>
            <w:r>
              <w:rPr>
                <w:rFonts w:ascii="Arial" w:cs="Arial" w:eastAsia="Arial" w:hAnsi="Arial"/>
                <w:sz w:val="11"/>
                <w:szCs w:val="11"/>
                <w:b w:val="1"/>
                <w:bCs w:val="1"/>
                <w:color w:val="auto"/>
              </w:rPr>
              <w:t>Earnings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98"/>
              </w:rPr>
              <w:t>Loans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tcPr>
          <w:p>
            <w:pPr>
              <w:jc w:val="right"/>
              <w:ind w:right="400"/>
              <w:spacing w:after="0" w:line="108" w:lineRule="exact"/>
              <w:rPr>
                <w:sz w:val="20"/>
                <w:szCs w:val="20"/>
                <w:color w:val="auto"/>
              </w:rPr>
            </w:pPr>
            <w:r>
              <w:rPr>
                <w:rFonts w:ascii="Arial" w:cs="Arial" w:eastAsia="Arial" w:hAnsi="Arial"/>
                <w:sz w:val="11"/>
                <w:szCs w:val="11"/>
                <w:b w:val="1"/>
                <w:bCs w:val="1"/>
                <w:color w:val="auto"/>
              </w:rPr>
              <w:t>Lending</w:t>
            </w:r>
          </w:p>
        </w:tc>
        <w:tc>
          <w:tcPr>
            <w:tcW w:w="700" w:type="dxa"/>
            <w:vAlign w:val="bottom"/>
            <w:gridSpan w:val="3"/>
          </w:tcPr>
          <w:p>
            <w:pPr>
              <w:ind w:left="60"/>
              <w:spacing w:after="0" w:line="108" w:lineRule="exact"/>
              <w:rPr>
                <w:sz w:val="20"/>
                <w:szCs w:val="20"/>
                <w:color w:val="auto"/>
              </w:rPr>
            </w:pPr>
            <w:r>
              <w:rPr>
                <w:rFonts w:ascii="Arial" w:cs="Arial" w:eastAsia="Arial" w:hAnsi="Arial"/>
                <w:sz w:val="11"/>
                <w:szCs w:val="11"/>
                <w:b w:val="1"/>
                <w:bCs w:val="1"/>
                <w:color w:val="auto"/>
              </w:rPr>
              <w:t>Processing</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3"/>
          </w:tcPr>
          <w:p>
            <w:pPr>
              <w:jc w:val="right"/>
              <w:ind w:right="240"/>
              <w:spacing w:after="0" w:line="108" w:lineRule="exact"/>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income:</w:t>
            </w:r>
          </w:p>
        </w:tc>
        <w:tc>
          <w:tcPr>
            <w:tcW w:w="1240" w:type="dxa"/>
            <w:vAlign w:val="bottom"/>
            <w:gridSpan w:val="3"/>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top w:val="single" w:sz="8" w:color="auto"/>
              <w:left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Education loans</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444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1"/>
                <w:szCs w:val="11"/>
                <w:color w:val="auto"/>
              </w:rPr>
            </w:pPr>
          </w:p>
        </w:tc>
        <w:tc>
          <w:tcPr>
            <w:tcW w:w="600" w:type="dxa"/>
            <w:vAlign w:val="bottom"/>
          </w:tcPr>
          <w:p>
            <w:pPr>
              <w:ind w:left="460"/>
              <w:spacing w:after="0" w:line="135" w:lineRule="exact"/>
              <w:rPr>
                <w:sz w:val="20"/>
                <w:szCs w:val="20"/>
                <w:color w:val="auto"/>
              </w:rPr>
            </w:pPr>
            <w:r>
              <w:rPr>
                <w:rFonts w:ascii="Arial" w:cs="Arial" w:eastAsia="Arial" w:hAnsi="Arial"/>
                <w:sz w:val="13"/>
                <w:szCs w:val="13"/>
                <w:color w:val="auto"/>
                <w:w w:val="91"/>
              </w:rPr>
              <w:t>—</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40" w:type="dxa"/>
            <w:vAlign w:val="bottom"/>
            <w:tcBorders>
              <w:bottom w:val="single" w:sz="8" w:color="CFF0FC"/>
            </w:tcBorders>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Cash and investments</w:t>
            </w: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19</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9</w:t>
            </w: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ind w:left="46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4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746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453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ind w:left="46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Borders>
              <w:bottom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628</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409</w:t>
            </w: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184</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ind w:left="46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240" w:type="dxa"/>
            <w:vAlign w:val="bottom"/>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240" w:type="dxa"/>
            <w:vAlign w:val="bottom"/>
            <w:gridSpan w:val="5"/>
          </w:tcPr>
          <w:p>
            <w:pPr>
              <w:ind w:left="100"/>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118</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520" w:type="dxa"/>
            <w:vAlign w:val="bottom"/>
            <w:gridSpan w:val="2"/>
          </w:tcPr>
          <w:p>
            <w:pPr>
              <w:jc w:val="right"/>
              <w:ind w:right="306"/>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3"/>
                <w:szCs w:val="13"/>
                <w:color w:val="auto"/>
              </w:rPr>
            </w:pP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129</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17"/>
        </w:trPr>
        <w:tc>
          <w:tcPr>
            <w:tcW w:w="22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240" w:type="dxa"/>
            <w:vAlign w:val="bottom"/>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losses</w:t>
            </w: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24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(loss) after provisions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gridSpan w:val="5"/>
          </w:tcPr>
          <w:p>
            <w:pPr>
              <w:ind w:left="100"/>
              <w:spacing w:after="0"/>
              <w:rPr>
                <w:sz w:val="20"/>
                <w:szCs w:val="20"/>
                <w:color w:val="auto"/>
              </w:rPr>
            </w:pPr>
            <w:r>
              <w:rPr>
                <w:rFonts w:ascii="Arial" w:cs="Arial" w:eastAsia="Arial" w:hAnsi="Arial"/>
                <w:sz w:val="13"/>
                <w:szCs w:val="13"/>
                <w:color w:val="auto"/>
              </w:rPr>
              <w:t>for loan losses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2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Servicing revenue</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ind w:left="46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24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Asset recovery and</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business processing</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Other revenue (loss)</w:t>
            </w: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6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other income (loss)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00"/>
              <w:spacing w:after="0" w:line="129" w:lineRule="exact"/>
              <w:rPr>
                <w:sz w:val="20"/>
                <w:szCs w:val="20"/>
                <w:color w:val="auto"/>
              </w:rPr>
            </w:pPr>
            <w:r>
              <w:rPr>
                <w:rFonts w:ascii="Arial" w:cs="Arial" w:eastAsia="Arial" w:hAnsi="Arial"/>
                <w:sz w:val="13"/>
                <w:szCs w:val="13"/>
                <w:color w:val="auto"/>
              </w:rPr>
              <w:t>(1)</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15</w:t>
            </w: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ind w:left="46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5"/>
          </w:tcPr>
          <w:p>
            <w:pPr>
              <w:spacing w:after="0" w:line="135" w:lineRule="exact"/>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4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Direct operating</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4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14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24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Unallocated shared</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240" w:type="dxa"/>
            <w:vAlign w:val="bottom"/>
            <w:gridSpan w:val="5"/>
          </w:tcPr>
          <w:p>
            <w:pPr>
              <w:ind w:left="200"/>
              <w:spacing w:after="0" w:line="139" w:lineRule="exact"/>
              <w:rPr>
                <w:sz w:val="20"/>
                <w:szCs w:val="20"/>
                <w:color w:val="auto"/>
              </w:rPr>
            </w:pPr>
            <w:r>
              <w:rPr>
                <w:rFonts w:ascii="Arial" w:cs="Arial" w:eastAsia="Arial" w:hAnsi="Arial"/>
                <w:sz w:val="13"/>
                <w:szCs w:val="13"/>
                <w:color w:val="auto"/>
              </w:rPr>
              <w:t>services expenses</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40" w:type="dxa"/>
            <w:vAlign w:val="bottom"/>
            <w:gridSpan w:val="5"/>
            <w:shd w:val="clear" w:color="auto" w:fill="CFF0FC"/>
          </w:tcPr>
          <w:p>
            <w:pPr>
              <w:ind w:left="100"/>
              <w:spacing w:after="0" w:line="129" w:lineRule="exact"/>
              <w:rPr>
                <w:sz w:val="20"/>
                <w:szCs w:val="20"/>
                <w:color w:val="auto"/>
              </w:rPr>
            </w:pPr>
            <w:r>
              <w:rPr>
                <w:rFonts w:ascii="Arial" w:cs="Arial" w:eastAsia="Arial" w:hAnsi="Arial"/>
                <w:sz w:val="13"/>
                <w:szCs w:val="13"/>
                <w:color w:val="auto"/>
              </w:rPr>
              <w:t>Operating expenses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88</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w w:val="76"/>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88</w:t>
            </w: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16</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ind w:left="46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4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Goodwill and acquired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intangible asset</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impairment and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gridSpan w:val="5"/>
          </w:tcPr>
          <w:p>
            <w:pPr>
              <w:ind w:left="200"/>
              <w:spacing w:after="0"/>
              <w:rPr>
                <w:sz w:val="20"/>
                <w:szCs w:val="20"/>
                <w:color w:val="auto"/>
              </w:rPr>
            </w:pPr>
            <w:r>
              <w:rPr>
                <w:rFonts w:ascii="Arial" w:cs="Arial" w:eastAsia="Arial" w:hAnsi="Arial"/>
                <w:sz w:val="13"/>
                <w:szCs w:val="13"/>
                <w:color w:val="auto"/>
              </w:rPr>
              <w:t>amortization</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24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Restructuring/other</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reorganization</w:t>
            </w: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vMerge w:val="restart"/>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40" w:type="dxa"/>
            <w:vAlign w:val="bottom"/>
            <w:tcBorders>
              <w:bottom w:val="single" w:sz="8" w:color="CFF0FC"/>
            </w:tcBorders>
            <w:gridSpan w:val="5"/>
            <w:shd w:val="clear" w:color="auto" w:fill="CFF0FC"/>
          </w:tcPr>
          <w:p>
            <w:pPr>
              <w:ind w:left="200"/>
              <w:spacing w:after="0" w:line="139" w:lineRule="exact"/>
              <w:rPr>
                <w:sz w:val="20"/>
                <w:szCs w:val="20"/>
                <w:color w:val="auto"/>
              </w:rPr>
            </w:pPr>
            <w:r>
              <w:rPr>
                <w:rFonts w:ascii="Arial" w:cs="Arial" w:eastAsia="Arial" w:hAnsi="Arial"/>
                <w:sz w:val="13"/>
                <w:szCs w:val="13"/>
                <w:color w:val="auto"/>
              </w:rPr>
              <w:t>expenses</w:t>
            </w:r>
          </w:p>
        </w:tc>
        <w:tc>
          <w:tcPr>
            <w:tcW w:w="1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vMerge w:val="continue"/>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right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gridSpan w:val="2"/>
            <w:vMerge w:val="continue"/>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left w:val="single" w:sz="8" w:color="CFF0FC"/>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gridSpan w:val="2"/>
            <w:vMerge w:val="continue"/>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gridSpan w:val="5"/>
          </w:tcPr>
          <w:p>
            <w:pPr>
              <w:spacing w:after="0" w:line="129" w:lineRule="exact"/>
              <w:rPr>
                <w:sz w:val="20"/>
                <w:szCs w:val="20"/>
                <w:color w:val="auto"/>
              </w:rPr>
            </w:pPr>
            <w:r>
              <w:rPr>
                <w:rFonts w:ascii="Arial" w:cs="Arial" w:eastAsia="Arial" w:hAnsi="Arial"/>
                <w:sz w:val="13"/>
                <w:szCs w:val="13"/>
                <w:color w:val="auto"/>
              </w:rPr>
              <w:t>Total expenses</w:t>
            </w: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100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99</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ind w:left="46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24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Income (loss) before</w:t>
            </w: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income tax expense</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(benefit)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w:t>
            </w: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08"/>
        </w:trPr>
        <w:tc>
          <w:tcPr>
            <w:tcW w:w="2240" w:type="dxa"/>
            <w:vAlign w:val="bottom"/>
            <w:gridSpan w:val="5"/>
          </w:tcPr>
          <w:p>
            <w:pPr>
              <w:spacing w:after="0" w:line="108" w:lineRule="exact"/>
              <w:rPr>
                <w:sz w:val="20"/>
                <w:szCs w:val="20"/>
                <w:color w:val="auto"/>
              </w:rPr>
            </w:pPr>
            <w:r>
              <w:rPr>
                <w:rFonts w:ascii="Arial" w:cs="Arial" w:eastAsia="Arial" w:hAnsi="Arial"/>
                <w:sz w:val="12"/>
                <w:szCs w:val="12"/>
                <w:color w:val="auto"/>
              </w:rPr>
              <w:t>Income tax expense</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gridSpan w:val="2"/>
            <w:vMerge w:val="restart"/>
          </w:tcPr>
          <w:p>
            <w:pPr>
              <w:jc w:val="right"/>
              <w:ind w:right="37"/>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8"/>
        </w:trPr>
        <w:tc>
          <w:tcPr>
            <w:tcW w:w="2240" w:type="dxa"/>
            <w:vAlign w:val="bottom"/>
            <w:gridSpan w:val="5"/>
          </w:tcPr>
          <w:p>
            <w:pPr>
              <w:ind w:left="100"/>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240" w:type="dxa"/>
            <w:vAlign w:val="bottom"/>
            <w:gridSpan w:val="5"/>
          </w:tcPr>
          <w:p>
            <w:pPr>
              <w:spacing w:after="0" w:line="129" w:lineRule="exact"/>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80"/>
              <w:spacing w:after="0" w:line="115" w:lineRule="exact"/>
              <w:rPr>
                <w:sz w:val="20"/>
                <w:szCs w:val="20"/>
                <w:color w:val="auto"/>
              </w:rPr>
            </w:pPr>
            <w:r>
              <w:rPr>
                <w:rFonts w:ascii="Arial" w:cs="Arial" w:eastAsia="Arial" w:hAnsi="Arial"/>
                <w:sz w:val="13"/>
                <w:szCs w:val="13"/>
                <w:color w:val="auto"/>
              </w:rPr>
              <w:t>(5)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20" w:type="dxa"/>
            <w:vAlign w:val="bottom"/>
          </w:tcPr>
          <w:p>
            <w:pPr>
              <w:jc w:val="right"/>
              <w:ind w:right="306"/>
              <w:spacing w:after="0"/>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line="11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1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1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15" w:lineRule="exact"/>
              <w:rPr>
                <w:sz w:val="20"/>
                <w:szCs w:val="20"/>
                <w:color w:val="auto"/>
              </w:rPr>
            </w:pPr>
            <w:r>
              <w:rPr>
                <w:rFonts w:ascii="Arial" w:cs="Arial" w:eastAsia="Arial" w:hAnsi="Arial"/>
                <w:sz w:val="13"/>
                <w:szCs w:val="13"/>
                <w:color w:val="auto"/>
              </w:rPr>
              <w:t>2</w:t>
            </w:r>
          </w:p>
        </w:tc>
        <w:tc>
          <w:tcPr>
            <w:tcW w:w="140" w:type="dxa"/>
            <w:vAlign w:val="bottom"/>
            <w:tcBorders>
              <w:right w:val="single" w:sz="8" w:color="auto"/>
            </w:tcBorders>
          </w:tcPr>
          <w:p>
            <w:pPr>
              <w:spacing w:after="0"/>
              <w:rPr>
                <w:sz w:val="11"/>
                <w:szCs w:val="11"/>
                <w:color w:val="auto"/>
              </w:rPr>
            </w:pPr>
          </w:p>
        </w:tc>
        <w:tc>
          <w:tcPr>
            <w:tcW w:w="60" w:type="dxa"/>
            <w:vAlign w:val="bottom"/>
            <w:vMerge w:val="continue"/>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15" w:lineRule="exact"/>
              <w:rPr>
                <w:sz w:val="20"/>
                <w:szCs w:val="20"/>
                <w:color w:val="auto"/>
              </w:rPr>
            </w:pPr>
            <w:r>
              <w:rPr>
                <w:rFonts w:ascii="Arial" w:cs="Arial" w:eastAsia="Arial" w:hAnsi="Arial"/>
                <w:sz w:val="13"/>
                <w:szCs w:val="13"/>
                <w:color w:val="auto"/>
              </w:rPr>
              <w:t>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15"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1"/>
                <w:szCs w:val="11"/>
                <w:color w:val="auto"/>
              </w:rPr>
            </w:pPr>
          </w:p>
        </w:tc>
        <w:tc>
          <w:tcPr>
            <w:tcW w:w="600" w:type="dxa"/>
            <w:vAlign w:val="bottom"/>
          </w:tcPr>
          <w:p>
            <w:pPr>
              <w:ind w:left="460"/>
              <w:spacing w:after="0" w:line="115" w:lineRule="exact"/>
              <w:rPr>
                <w:sz w:val="20"/>
                <w:szCs w:val="20"/>
                <w:color w:val="auto"/>
              </w:rPr>
            </w:pPr>
            <w:r>
              <w:rPr>
                <w:rFonts w:ascii="Arial" w:cs="Arial" w:eastAsia="Arial" w:hAnsi="Arial"/>
                <w:sz w:val="13"/>
                <w:szCs w:val="13"/>
                <w:color w:val="auto"/>
                <w:w w:val="91"/>
              </w:rPr>
              <w:t>—</w:t>
            </w:r>
          </w:p>
        </w:tc>
        <w:tc>
          <w:tcPr>
            <w:tcW w:w="180" w:type="dxa"/>
            <w:vAlign w:val="bottom"/>
            <w:vMerge w:val="continue"/>
          </w:tcPr>
          <w:p>
            <w:pPr>
              <w:spacing w:after="0"/>
              <w:rPr>
                <w:sz w:val="11"/>
                <w:szCs w:val="11"/>
                <w:color w:val="auto"/>
              </w:rPr>
            </w:pP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1"/>
                <w:szCs w:val="11"/>
                <w:color w:val="auto"/>
              </w:rPr>
            </w:pPr>
          </w:p>
        </w:tc>
        <w:tc>
          <w:tcPr>
            <w:tcW w:w="380" w:type="dxa"/>
            <w:vAlign w:val="bottom"/>
          </w:tcPr>
          <w:p>
            <w:pPr>
              <w:jc w:val="right"/>
              <w:spacing w:after="0" w:line="115" w:lineRule="exact"/>
              <w:rPr>
                <w:sz w:val="20"/>
                <w:szCs w:val="20"/>
                <w:color w:val="auto"/>
              </w:rPr>
            </w:pPr>
            <w:r>
              <w:rPr>
                <w:rFonts w:ascii="Arial" w:cs="Arial" w:eastAsia="Arial" w:hAnsi="Arial"/>
                <w:sz w:val="13"/>
                <w:szCs w:val="13"/>
                <w:color w:val="auto"/>
              </w:rPr>
              <w:t>(50)</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3060" w:type="dxa"/>
            <w:vAlign w:val="bottom"/>
            <w:gridSpan w:val="8"/>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4"/>
                <w:szCs w:val="14"/>
                <w:color w:val="auto"/>
              </w:rPr>
              <w:t xml:space="preserve">  Core Earnings adjustments to GAAP:</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2540" w:type="dxa"/>
            <w:vAlign w:val="bottom"/>
            <w:gridSpan w:val="11"/>
            <w:shd w:val="clear" w:color="auto" w:fill="D9D9D9"/>
          </w:tcPr>
          <w:p>
            <w:pPr>
              <w:jc w:val="center"/>
              <w:spacing w:after="0" w:line="122" w:lineRule="exact"/>
              <w:rPr>
                <w:sz w:val="20"/>
                <w:szCs w:val="20"/>
                <w:color w:val="auto"/>
              </w:rPr>
            </w:pPr>
            <w:r>
              <w:rPr>
                <w:rFonts w:ascii="Arial" w:cs="Arial" w:eastAsia="Arial" w:hAnsi="Arial"/>
                <w:sz w:val="11"/>
                <w:szCs w:val="11"/>
                <w:b w:val="1"/>
                <w:bCs w:val="1"/>
                <w:color w:val="auto"/>
                <w:w w:val="98"/>
              </w:rPr>
              <w:t>QUARTER ENDED DECEMBER 31, 2025</w:t>
            </w:r>
          </w:p>
        </w:tc>
        <w:tc>
          <w:tcPr>
            <w:tcW w:w="1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tcPr>
          <w:p>
            <w:pPr>
              <w:jc w:val="center"/>
              <w:ind w:right="18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Net Impact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rPr>
              <w:t>Acquired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5"/>
              </w:rPr>
              <w:t>(Dollars in millions)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1"/>
                <w:szCs w:val="11"/>
                <w:b w:val="1"/>
                <w:bCs w:val="1"/>
                <w:color w:val="auto"/>
                <w:w w:val="99"/>
              </w:rPr>
              <w:t>Accounting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Intangibles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Total</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280" w:type="dxa"/>
            <w:vAlign w:val="bottom"/>
            <w:gridSpan w:val="10"/>
            <w:shd w:val="clear" w:color="auto" w:fill="CFF0FC"/>
          </w:tcPr>
          <w:p>
            <w:pPr>
              <w:ind w:left="20"/>
              <w:spacing w:after="0" w:line="129" w:lineRule="exact"/>
              <w:rPr>
                <w:sz w:val="20"/>
                <w:szCs w:val="20"/>
                <w:color w:val="auto"/>
              </w:rPr>
            </w:pPr>
            <w:r>
              <w:rPr>
                <w:rFonts w:ascii="Arial" w:cs="Arial" w:eastAsia="Arial" w:hAnsi="Arial"/>
                <w:sz w:val="13"/>
                <w:szCs w:val="13"/>
                <w:color w:val="auto"/>
                <w:w w:val="99"/>
              </w:rPr>
              <w:t>Net interest income (loss) after provisions for loan losses</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tcBorders>
              <w:righ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ind w:left="20"/>
              <w:spacing w:after="0" w:line="129"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11</w:t>
            </w:r>
          </w:p>
        </w:tc>
        <w:tc>
          <w:tcPr>
            <w:tcW w:w="80" w:type="dxa"/>
            <w:vAlign w:val="bottom"/>
            <w:shd w:val="clear" w:color="auto" w:fill="CFF0FC"/>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76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Total other income (loss)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800" w:type="dxa"/>
            <w:vAlign w:val="bottom"/>
            <w:gridSpan w:val="1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Goodwill and acquired intangible asset impairment and amortization</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3"/>
            <w:shd w:val="clear" w:color="auto" w:fill="CFF0FC"/>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80" w:type="dxa"/>
            <w:vAlign w:val="bottom"/>
            <w:gridSpan w:val="3"/>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2580" w:type="dxa"/>
            <w:vAlign w:val="bottom"/>
            <w:tcBorders>
              <w:top w:val="single" w:sz="8" w:color="CFF0FC"/>
              <w:bottom w:val="single" w:sz="8" w:color="CFF0FC"/>
            </w:tcBorders>
            <w:gridSpan w:val="7"/>
          </w:tcPr>
          <w:p>
            <w:pPr>
              <w:ind w:left="20"/>
              <w:spacing w:after="0" w:line="129" w:lineRule="exact"/>
              <w:rPr>
                <w:sz w:val="20"/>
                <w:szCs w:val="20"/>
                <w:color w:val="auto"/>
              </w:rPr>
            </w:pPr>
            <w:r>
              <w:rPr>
                <w:rFonts w:ascii="Arial" w:cs="Arial" w:eastAsia="Arial" w:hAnsi="Arial"/>
                <w:sz w:val="13"/>
                <w:szCs w:val="13"/>
                <w:color w:val="auto"/>
              </w:rPr>
              <w:t>Total Core Earnings adjustments to GAAP</w:t>
            </w:r>
          </w:p>
        </w:tc>
        <w:tc>
          <w:tcPr>
            <w:tcW w:w="60" w:type="dxa"/>
            <w:vAlign w:val="bottom"/>
            <w:tcBorders>
              <w:top w:val="single" w:sz="8" w:color="CFF0FC"/>
            </w:tcBorders>
          </w:tcPr>
          <w:p>
            <w:pPr>
              <w:spacing w:after="0"/>
              <w:rPr>
                <w:sz w:val="11"/>
                <w:szCs w:val="11"/>
                <w:color w:val="auto"/>
              </w:rPr>
            </w:pPr>
          </w:p>
        </w:tc>
        <w:tc>
          <w:tcPr>
            <w:tcW w:w="5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46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7</w:t>
            </w:r>
          </w:p>
        </w:tc>
        <w:tc>
          <w:tcPr>
            <w:tcW w:w="100" w:type="dxa"/>
            <w:vAlign w:val="bottom"/>
            <w:tcBorders>
              <w:top w:val="single" w:sz="8" w:color="CFF0FC"/>
            </w:tcBorders>
          </w:tcPr>
          <w:p>
            <w:pPr>
              <w:spacing w:after="0"/>
              <w:rPr>
                <w:sz w:val="11"/>
                <w:szCs w:val="11"/>
                <w:color w:val="auto"/>
              </w:rPr>
            </w:pPr>
          </w:p>
        </w:tc>
        <w:tc>
          <w:tcPr>
            <w:tcW w:w="4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1</w:t>
            </w: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8</w:t>
            </w:r>
          </w:p>
        </w:tc>
        <w:tc>
          <w:tcPr>
            <w:tcW w:w="80" w:type="dxa"/>
            <w:vAlign w:val="bottom"/>
            <w:tcBorders>
              <w:top w:val="single" w:sz="8" w:color="CFF0FC"/>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80" w:type="dxa"/>
            <w:vAlign w:val="bottom"/>
          </w:tcPr>
          <w:p>
            <w:pPr>
              <w:spacing w:after="0"/>
              <w:rPr>
                <w:sz w:val="10"/>
                <w:szCs w:val="10"/>
                <w:color w:val="auto"/>
              </w:rPr>
            </w:pPr>
          </w:p>
        </w:tc>
        <w:tc>
          <w:tcPr>
            <w:tcW w:w="1760" w:type="dxa"/>
            <w:vAlign w:val="bottom"/>
            <w:tcBorders>
              <w:bottom w:val="single" w:sz="8" w:color="CFF0FC"/>
            </w:tcBorders>
            <w:gridSpan w:val="4"/>
            <w:shd w:val="clear" w:color="auto" w:fill="CFF0FC"/>
          </w:tcPr>
          <w:p>
            <w:pPr>
              <w:ind w:left="20"/>
              <w:spacing w:after="0" w:line="116" w:lineRule="exact"/>
              <w:rPr>
                <w:sz w:val="20"/>
                <w:szCs w:val="20"/>
                <w:color w:val="auto"/>
              </w:rPr>
            </w:pPr>
            <w:r>
              <w:rPr>
                <w:rFonts w:ascii="Arial" w:cs="Arial" w:eastAsia="Arial" w:hAnsi="Arial"/>
                <w:sz w:val="13"/>
                <w:szCs w:val="13"/>
                <w:color w:val="auto"/>
              </w:rPr>
              <w:t>Income tax expense (benefit)</w:t>
            </w:r>
          </w:p>
        </w:tc>
        <w:tc>
          <w:tcPr>
            <w:tcW w:w="1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right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left w:val="single" w:sz="8" w:color="CFF0FC"/>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CFF0FC"/>
            </w:tcBorders>
            <w:shd w:val="clear" w:color="auto" w:fill="CFF0FC"/>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-4516755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-4516755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-4516755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-4516755</wp:posOffset>
            </wp:positionV>
            <wp:extent cx="596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-4516755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-4516755</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-4516755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-4516755</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-4516755</wp:posOffset>
            </wp:positionV>
            <wp:extent cx="603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-4337050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-4337050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-4337050</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-4337050</wp:posOffset>
            </wp:positionV>
            <wp:extent cx="596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-4337050</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-4337050</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-4337050</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-4337050</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-4337050</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-3994150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-3994150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-3994150</wp:posOffset>
            </wp:positionV>
            <wp:extent cx="60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-3994150</wp:posOffset>
            </wp:positionV>
            <wp:extent cx="596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-3994150</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-3994150</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-3994150</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-3994150</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-3994150</wp:posOffset>
            </wp:positionV>
            <wp:extent cx="603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-2013585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-2013585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-2013585</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-2013585</wp:posOffset>
            </wp:positionV>
            <wp:extent cx="596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-2013585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-2013585</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-2013585</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-2013585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-2013585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-325120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-325120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-325120</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-119380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21"/>
        </w:numPr>
        <w:rPr>
          <w:rFonts w:ascii="Arial" w:cs="Arial" w:eastAsia="Arial" w:hAnsi="Arial"/>
          <w:sz w:val="17"/>
          <w:szCs w:val="17"/>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jc w:val="right"/>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9" w:right="10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58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7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2420" w:type="dxa"/>
            <w:vAlign w:val="bottom"/>
            <w:gridSpan w:val="12"/>
            <w:shd w:val="clear" w:color="auto" w:fill="D9D9D9"/>
          </w:tcPr>
          <w:p>
            <w:pPr>
              <w:jc w:val="right"/>
              <w:ind w:right="260"/>
              <w:spacing w:after="0"/>
              <w:rPr>
                <w:sz w:val="20"/>
                <w:szCs w:val="20"/>
                <w:color w:val="auto"/>
              </w:rPr>
            </w:pPr>
            <w:r>
              <w:rPr>
                <w:rFonts w:ascii="Arial" w:cs="Arial" w:eastAsia="Arial" w:hAnsi="Arial"/>
                <w:sz w:val="11"/>
                <w:szCs w:val="11"/>
                <w:b w:val="1"/>
                <w:bCs w:val="1"/>
                <w:color w:val="auto"/>
              </w:rPr>
              <w:t>QUARTER ENDED SEPTEMBER 30, 2025</w:t>
            </w:r>
          </w:p>
        </w:tc>
        <w:tc>
          <w:tcPr>
            <w:tcW w:w="1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7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34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tcBorders>
              <w:right w:val="single" w:sz="8" w:color="D9D9D9"/>
            </w:tcBorders>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8"/>
              </w:rPr>
              <w:t>Adjustments</w:t>
            </w: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tcPr>
          <w:p>
            <w:pPr>
              <w:jc w:val="right"/>
              <w:spacing w:after="0" w:line="122" w:lineRule="exact"/>
              <w:rPr>
                <w:sz w:val="20"/>
                <w:szCs w:val="20"/>
                <w:color w:val="auto"/>
              </w:rPr>
            </w:pPr>
            <w:r>
              <w:rPr>
                <w:rFonts w:ascii="Arial" w:cs="Arial" w:eastAsia="Arial" w:hAnsi="Arial"/>
                <w:sz w:val="11"/>
                <w:szCs w:val="11"/>
                <w:b w:val="1"/>
                <w:bCs w:val="1"/>
                <w:color w:val="auto"/>
              </w:rPr>
              <w:t>Reportable Segments</w:t>
            </w: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6"/>
              </w:rPr>
              <w:t>Federal</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w w:val="99"/>
              </w:rPr>
              <w:t>Reclassi-</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6"/>
              </w:rPr>
              <w:t>Additions/</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1"/>
                <w:szCs w:val="11"/>
                <w:b w:val="1"/>
                <w:bCs w:val="1"/>
                <w:color w:val="auto"/>
                <w:w w:val="95"/>
              </w:rPr>
              <w:t>Core</w:t>
            </w:r>
          </w:p>
        </w:tc>
        <w:tc>
          <w:tcPr>
            <w:tcW w:w="40" w:type="dxa"/>
            <w:vAlign w:val="bottom"/>
          </w:tcPr>
          <w:p>
            <w:pPr>
              <w:spacing w:after="0"/>
              <w:rPr>
                <w:sz w:val="2"/>
                <w:szCs w:val="2"/>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97"/>
              </w:rPr>
              <w:t>Education</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1"/>
                <w:szCs w:val="11"/>
                <w:b w:val="1"/>
                <w:bCs w:val="1"/>
                <w:color w:val="auto"/>
              </w:rPr>
              <w:t>Consumer</w:t>
            </w:r>
          </w:p>
        </w:tc>
        <w:tc>
          <w:tcPr>
            <w:tcW w:w="40" w:type="dxa"/>
            <w:vAlign w:val="bottom"/>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Business</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7"/>
              </w:rPr>
              <w:t>Adjustments</w:t>
            </w:r>
            <w:r>
              <w:rPr>
                <w:rFonts w:ascii="Arial" w:cs="Arial" w:eastAsia="Arial" w:hAnsi="Arial"/>
                <w:sz w:val="14"/>
                <w:szCs w:val="14"/>
                <w:b w:val="1"/>
                <w:bCs w:val="1"/>
                <w:color w:val="auto"/>
                <w:w w:val="97"/>
                <w:vertAlign w:val="superscript"/>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(Dollars in millions)</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340"/>
              <w:spacing w:after="0" w:line="108" w:lineRule="exact"/>
              <w:rPr>
                <w:sz w:val="20"/>
                <w:szCs w:val="20"/>
                <w:color w:val="auto"/>
              </w:rPr>
            </w:pPr>
            <w:r>
              <w:rPr>
                <w:rFonts w:ascii="Arial" w:cs="Arial" w:eastAsia="Arial" w:hAnsi="Arial"/>
                <w:sz w:val="11"/>
                <w:szCs w:val="11"/>
                <w:b w:val="1"/>
                <w:bCs w:val="1"/>
                <w:color w:val="auto"/>
              </w:rPr>
              <w:t>GAAP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rPr>
              <w:t>fications</w:t>
            </w:r>
          </w:p>
        </w:tc>
        <w:tc>
          <w:tcPr>
            <w:tcW w:w="80" w:type="dxa"/>
            <w:vAlign w:val="bottom"/>
          </w:tcPr>
          <w:p>
            <w:pPr>
              <w:spacing w:after="0"/>
              <w:rPr>
                <w:sz w:val="9"/>
                <w:szCs w:val="9"/>
                <w:color w:val="auto"/>
              </w:rPr>
            </w:pPr>
          </w:p>
        </w:tc>
        <w:tc>
          <w:tcPr>
            <w:tcW w:w="92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96"/>
              </w:rPr>
              <w:t>(Subtractions)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center"/>
              <w:ind w:right="100"/>
              <w:spacing w:after="0"/>
              <w:rPr>
                <w:sz w:val="20"/>
                <w:szCs w:val="20"/>
                <w:color w:val="auto"/>
              </w:rPr>
            </w:pPr>
            <w:r>
              <w:rPr>
                <w:rFonts w:ascii="Arial" w:cs="Arial" w:eastAsia="Arial" w:hAnsi="Arial"/>
                <w:sz w:val="7"/>
                <w:szCs w:val="7"/>
                <w:b w:val="1"/>
                <w:bCs w:val="1"/>
                <w:color w:val="auto"/>
              </w:rPr>
              <w:t>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right w:val="single" w:sz="8" w:color="auto"/>
            </w:tcBorders>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Earnings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w w:val="98"/>
              </w:rPr>
              <w:t>Lending</w:t>
            </w:r>
          </w:p>
        </w:tc>
        <w:tc>
          <w:tcPr>
            <w:tcW w:w="66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rPr>
              <w:t>Processing</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220"/>
              <w:spacing w:after="0" w:line="108" w:lineRule="exact"/>
              <w:rPr>
                <w:sz w:val="20"/>
                <w:szCs w:val="20"/>
                <w:color w:val="auto"/>
              </w:rPr>
            </w:pPr>
            <w:r>
              <w:rPr>
                <w:rFonts w:ascii="Arial" w:cs="Arial" w:eastAsia="Arial" w:hAnsi="Arial"/>
                <w:sz w:val="11"/>
                <w:szCs w:val="11"/>
                <w:b w:val="1"/>
                <w:bCs w:val="1"/>
                <w:color w:val="auto"/>
                <w:w w:val="81"/>
              </w:rPr>
              <w:t>Other</w:t>
            </w: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income:</w:t>
            </w:r>
          </w:p>
        </w:tc>
        <w:tc>
          <w:tcPr>
            <w:tcW w:w="660" w:type="dxa"/>
            <w:vAlign w:val="bottom"/>
            <w:gridSpan w:val="3"/>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right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Education loans</w:t>
            </w:r>
          </w:p>
        </w:tc>
        <w:tc>
          <w:tcPr>
            <w:tcW w:w="24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760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484</w:t>
            </w:r>
          </w:p>
        </w:tc>
        <w:tc>
          <w:tcPr>
            <w:tcW w:w="20" w:type="dxa"/>
            <w:vAlign w:val="bottom"/>
          </w:tcPr>
          <w:p>
            <w:pPr>
              <w:spacing w:after="0"/>
              <w:rPr>
                <w:sz w:val="11"/>
                <w:szCs w:val="11"/>
                <w:color w:val="auto"/>
              </w:rPr>
            </w:pP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276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jc w:val="right"/>
              <w:ind w:right="206"/>
              <w:spacing w:after="0"/>
              <w:rPr>
                <w:sz w:val="20"/>
                <w:szCs w:val="20"/>
                <w:color w:val="auto"/>
              </w:rPr>
            </w:pPr>
            <w:r>
              <w:rPr>
                <w:rFonts w:ascii="Arial" w:cs="Arial" w:eastAsia="Arial" w:hAnsi="Arial"/>
                <w:sz w:val="10"/>
                <w:szCs w:val="10"/>
                <w:color w:val="auto"/>
                <w:w w:val="71"/>
              </w:rPr>
              <w:t>$</w:t>
            </w:r>
          </w:p>
        </w:tc>
        <w:tc>
          <w:tcPr>
            <w:tcW w:w="340" w:type="dxa"/>
            <w:vAlign w:val="bottom"/>
          </w:tcPr>
          <w:p>
            <w:pPr>
              <w:ind w:left="200"/>
              <w:spacing w:after="0" w:line="135" w:lineRule="exact"/>
              <w:rPr>
                <w:sz w:val="20"/>
                <w:szCs w:val="20"/>
                <w:color w:val="auto"/>
              </w:rPr>
            </w:pPr>
            <w:r>
              <w:rPr>
                <w:rFonts w:ascii="Arial" w:cs="Arial" w:eastAsia="Arial" w:hAnsi="Arial"/>
                <w:sz w:val="13"/>
                <w:szCs w:val="13"/>
                <w:color w:val="auto"/>
                <w:w w:val="91"/>
              </w:rPr>
              <w:t>—</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tcBorders>
              <w:bottom w:val="single" w:sz="8" w:color="CFF0FC"/>
            </w:tcBorders>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Cash and investments</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10</w:t>
            </w:r>
          </w:p>
        </w:tc>
        <w:tc>
          <w:tcPr>
            <w:tcW w:w="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ind w:left="200"/>
              <w:spacing w:after="0" w:line="135" w:lineRule="exact"/>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6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781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494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281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Borders>
              <w:bottom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639</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429</w:t>
            </w:r>
          </w:p>
        </w:tc>
        <w:tc>
          <w:tcPr>
            <w:tcW w:w="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183</w:t>
            </w:r>
          </w:p>
        </w:tc>
        <w:tc>
          <w:tcPr>
            <w:tcW w:w="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ind w:left="200"/>
              <w:spacing w:after="0" w:line="135" w:lineRule="exact"/>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60" w:type="dxa"/>
            <w:vAlign w:val="bottom"/>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60" w:type="dxa"/>
            <w:vAlign w:val="bottom"/>
            <w:gridSpan w:val="5"/>
          </w:tcPr>
          <w:p>
            <w:pPr>
              <w:ind w:left="100"/>
              <w:spacing w:after="0"/>
              <w:rPr>
                <w:sz w:val="20"/>
                <w:szCs w:val="20"/>
                <w:color w:val="auto"/>
              </w:rPr>
            </w:pPr>
            <w:r>
              <w:rPr>
                <w:rFonts w:ascii="Arial" w:cs="Arial" w:eastAsia="Arial" w:hAnsi="Arial"/>
                <w:sz w:val="13"/>
                <w:szCs w:val="13"/>
                <w:color w:val="auto"/>
              </w:rPr>
              <w:t>(loss)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142</w:t>
            </w:r>
          </w:p>
        </w:tc>
        <w:tc>
          <w:tcPr>
            <w:tcW w:w="1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2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146</w:t>
            </w: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17"/>
        </w:trPr>
        <w:tc>
          <w:tcPr>
            <w:tcW w:w="166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660" w:type="dxa"/>
            <w:vAlign w:val="bottom"/>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losses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gridSpan w:val="2"/>
            <w:vMerge w:val="continue"/>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66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(loss) after provisions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gridSpan w:val="5"/>
          </w:tcPr>
          <w:p>
            <w:pPr>
              <w:ind w:left="100"/>
              <w:spacing w:after="0"/>
              <w:rPr>
                <w:sz w:val="20"/>
                <w:szCs w:val="20"/>
                <w:color w:val="auto"/>
              </w:rPr>
            </w:pPr>
            <w:r>
              <w:rPr>
                <w:rFonts w:ascii="Arial" w:cs="Arial" w:eastAsia="Arial" w:hAnsi="Arial"/>
                <w:sz w:val="13"/>
                <w:szCs w:val="13"/>
                <w:color w:val="auto"/>
              </w:rPr>
              <w:t>for loan losses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166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Servicing revenue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35"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Asset recovery and</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business processing</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Other revenue</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0"/>
              <w:spacing w:after="0" w:line="135"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6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other income</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23</w:t>
            </w: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10</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5"/>
          </w:tcPr>
          <w:p>
            <w:pPr>
              <w:spacing w:after="0" w:line="135" w:lineRule="exact"/>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Direct operating</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expenses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Unallocated shared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vMerge w:val="restart"/>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60" w:type="dxa"/>
            <w:vAlign w:val="bottom"/>
            <w:gridSpan w:val="5"/>
          </w:tcPr>
          <w:p>
            <w:pPr>
              <w:ind w:left="200"/>
              <w:spacing w:after="0" w:line="139" w:lineRule="exact"/>
              <w:rPr>
                <w:sz w:val="20"/>
                <w:szCs w:val="20"/>
                <w:color w:val="auto"/>
              </w:rPr>
            </w:pPr>
            <w:r>
              <w:rPr>
                <w:rFonts w:ascii="Arial" w:cs="Arial" w:eastAsia="Arial" w:hAnsi="Arial"/>
                <w:sz w:val="13"/>
                <w:szCs w:val="13"/>
                <w:color w:val="auto"/>
              </w:rPr>
              <w:t>services expenses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60" w:type="dxa"/>
            <w:vAlign w:val="bottom"/>
            <w:gridSpan w:val="5"/>
            <w:shd w:val="clear" w:color="auto" w:fill="CFF0FC"/>
          </w:tcPr>
          <w:p>
            <w:pPr>
              <w:ind w:left="100"/>
              <w:spacing w:after="0" w:line="129"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105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105</w:t>
            </w: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16</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45</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6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Goodwill and acquired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intangible asset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impairment and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gridSpan w:val="5"/>
          </w:tcPr>
          <w:p>
            <w:pPr>
              <w:ind w:left="200"/>
              <w:spacing w:after="0"/>
              <w:rPr>
                <w:sz w:val="20"/>
                <w:szCs w:val="20"/>
                <w:color w:val="auto"/>
              </w:rPr>
            </w:pPr>
            <w:r>
              <w:rPr>
                <w:rFonts w:ascii="Arial" w:cs="Arial" w:eastAsia="Arial" w:hAnsi="Arial"/>
                <w:sz w:val="13"/>
                <w:szCs w:val="13"/>
                <w:color w:val="auto"/>
              </w:rPr>
              <w:t>amortization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Restructuring/other</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reorganization</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60" w:type="dxa"/>
            <w:vAlign w:val="bottom"/>
            <w:tcBorders>
              <w:bottom w:val="single" w:sz="8" w:color="CFF0FC"/>
            </w:tcBorders>
            <w:gridSpan w:val="5"/>
            <w:shd w:val="clear" w:color="auto" w:fill="CFF0FC"/>
          </w:tcPr>
          <w:p>
            <w:pPr>
              <w:ind w:left="200"/>
              <w:spacing w:after="0" w:line="139" w:lineRule="exact"/>
              <w:rPr>
                <w:sz w:val="20"/>
                <w:szCs w:val="20"/>
                <w:color w:val="auto"/>
              </w:rPr>
            </w:pPr>
            <w:r>
              <w:rPr>
                <w:rFonts w:ascii="Arial" w:cs="Arial" w:eastAsia="Arial" w:hAnsi="Arial"/>
                <w:sz w:val="13"/>
                <w:szCs w:val="13"/>
                <w:color w:val="auto"/>
              </w:rPr>
              <w:t>expenses</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gridSpan w:val="2"/>
            <w:vMerge w:val="continue"/>
            <w:shd w:val="clear" w:color="auto" w:fill="CFF0FC"/>
          </w:tcPr>
          <w:p>
            <w:pPr>
              <w:spacing w:after="0"/>
              <w:rPr>
                <w:sz w:val="12"/>
                <w:szCs w:val="12"/>
                <w:color w:val="auto"/>
              </w:rPr>
            </w:pPr>
          </w:p>
        </w:tc>
        <w:tc>
          <w:tcPr>
            <w:tcW w:w="140" w:type="dxa"/>
            <w:vAlign w:val="bottom"/>
            <w:tcBorders>
              <w:bottom w:val="single" w:sz="8" w:color="CFF0FC"/>
              <w:right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gridSpan w:val="2"/>
            <w:vMerge w:val="continue"/>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right w:val="single" w:sz="8" w:color="CFF0FC"/>
            </w:tcBorders>
            <w:shd w:val="clear" w:color="auto" w:fill="CFF0FC"/>
          </w:tcPr>
          <w:p>
            <w:pPr>
              <w:spacing w:after="0"/>
              <w:rPr>
                <w:sz w:val="12"/>
                <w:szCs w:val="12"/>
                <w:color w:val="auto"/>
              </w:rPr>
            </w:pPr>
          </w:p>
        </w:tc>
        <w:tc>
          <w:tcPr>
            <w:tcW w:w="3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60" w:type="dxa"/>
            <w:vAlign w:val="bottom"/>
            <w:gridSpan w:val="5"/>
          </w:tcPr>
          <w:p>
            <w:pPr>
              <w:spacing w:after="0" w:line="129" w:lineRule="exact"/>
              <w:rPr>
                <w:sz w:val="20"/>
                <w:szCs w:val="20"/>
                <w:color w:val="auto"/>
              </w:rPr>
            </w:pPr>
            <w:r>
              <w:rPr>
                <w:rFonts w:ascii="Arial" w:cs="Arial" w:eastAsia="Arial" w:hAnsi="Arial"/>
                <w:sz w:val="13"/>
                <w:szCs w:val="13"/>
                <w:color w:val="auto"/>
              </w:rPr>
              <w:t>Total expenses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109</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16</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45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6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Income (loss) before</w:t>
            </w: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right w:val="single" w:sz="8" w:color="CFF0FC"/>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income tax expense</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(benefit)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tcBorders>
              <w:right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(108)</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(99)</w:t>
            </w: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08"/>
        </w:trPr>
        <w:tc>
          <w:tcPr>
            <w:tcW w:w="1660" w:type="dxa"/>
            <w:vAlign w:val="bottom"/>
            <w:gridSpan w:val="5"/>
          </w:tcPr>
          <w:p>
            <w:pPr>
              <w:spacing w:after="0" w:line="108" w:lineRule="exact"/>
              <w:rPr>
                <w:sz w:val="20"/>
                <w:szCs w:val="20"/>
                <w:color w:val="auto"/>
              </w:rPr>
            </w:pPr>
            <w:r>
              <w:rPr>
                <w:rFonts w:ascii="Arial" w:cs="Arial" w:eastAsia="Arial" w:hAnsi="Arial"/>
                <w:sz w:val="12"/>
                <w:szCs w:val="12"/>
                <w:color w:val="auto"/>
              </w:rPr>
              <w:t>Income tax expense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right w:val="single" w:sz="8" w:color="auto"/>
            </w:tcBorders>
            <w:gridSpan w:val="3"/>
            <w:vMerge w:val="restart"/>
          </w:tcPr>
          <w:p>
            <w:pPr>
              <w:jc w:val="right"/>
              <w:ind w:right="100"/>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vMerge w:val="restart"/>
          </w:tcPr>
          <w:p>
            <w:pPr>
              <w:ind w:left="20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8"/>
        </w:trPr>
        <w:tc>
          <w:tcPr>
            <w:tcW w:w="1660" w:type="dxa"/>
            <w:vAlign w:val="bottom"/>
            <w:gridSpan w:val="5"/>
          </w:tcPr>
          <w:p>
            <w:pPr>
              <w:ind w:left="100"/>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Borders>
              <w:bottom w:val="single" w:sz="8" w:color="CFF0FC"/>
            </w:tcBorders>
            <w:gridSpan w:val="5"/>
            <w:shd w:val="clear" w:color="auto" w:fill="CFF0FC"/>
          </w:tcPr>
          <w:p>
            <w:pPr>
              <w:spacing w:after="0" w:line="129" w:lineRule="exact"/>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(86)</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23"/>
              <w:spacing w:after="0" w:line="115"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(83)</w:t>
            </w:r>
          </w:p>
        </w:tc>
        <w:tc>
          <w:tcPr>
            <w:tcW w:w="140" w:type="dxa"/>
            <w:vAlign w:val="bottom"/>
            <w:tcBorders>
              <w:bottom w:val="single" w:sz="8" w:color="CFF0FC"/>
              <w:right w:val="single" w:sz="8" w:color="auto"/>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35</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(76)</w:t>
            </w: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FF0FC"/>
          </w:tcPr>
          <w:p>
            <w:pPr>
              <w:ind w:left="200"/>
              <w:spacing w:after="0" w:line="115" w:lineRule="exact"/>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right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(42)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5"/>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620" w:type="dxa"/>
            <w:vAlign w:val="bottom"/>
            <w:gridSpan w:val="9"/>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4"/>
                <w:szCs w:val="14"/>
                <w:color w:val="auto"/>
              </w:rPr>
              <w:t xml:space="preserve">  Core Earnings adjustments to GAAP:</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6"/>
          </w:tcPr>
          <w:p>
            <w:pPr>
              <w:spacing w:after="0"/>
              <w:rPr>
                <w:sz w:val="17"/>
                <w:szCs w:val="17"/>
                <w:color w:val="auto"/>
              </w:rPr>
            </w:pPr>
          </w:p>
        </w:tc>
        <w:tc>
          <w:tcPr>
            <w:tcW w:w="18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480" w:type="dxa"/>
            <w:vAlign w:val="bottom"/>
            <w:gridSpan w:val="10"/>
            <w:shd w:val="clear" w:color="auto" w:fill="D9D9D9"/>
          </w:tcPr>
          <w:p>
            <w:pPr>
              <w:jc w:val="center"/>
              <w:spacing w:after="0" w:line="122" w:lineRule="exact"/>
              <w:rPr>
                <w:sz w:val="20"/>
                <w:szCs w:val="20"/>
                <w:color w:val="auto"/>
              </w:rPr>
            </w:pPr>
            <w:r>
              <w:rPr>
                <w:rFonts w:ascii="Arial" w:cs="Arial" w:eastAsia="Arial" w:hAnsi="Arial"/>
                <w:sz w:val="11"/>
                <w:szCs w:val="11"/>
                <w:b w:val="1"/>
                <w:bCs w:val="1"/>
                <w:color w:val="auto"/>
                <w:w w:val="98"/>
              </w:rPr>
              <w:t>QUARTER ENDED SEPTEMBER 30, 2025</w:t>
            </w:r>
          </w:p>
        </w:tc>
        <w:tc>
          <w:tcPr>
            <w:tcW w:w="2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tcBorders>
              <w:right w:val="single" w:sz="8" w:color="D9D9D9"/>
            </w:tcBorders>
            <w:shd w:val="clear" w:color="auto" w:fill="D9D9D9"/>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24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Net Impact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Derivative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5"/>
              </w:rPr>
              <w:t>(Dollars 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1"/>
                <w:szCs w:val="11"/>
                <w:b w:val="1"/>
                <w:bCs w:val="1"/>
                <w:color w:val="auto"/>
                <w:w w:val="92"/>
              </w:rPr>
              <w:t>Accounting</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Intangibles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Total</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180" w:type="dxa"/>
            <w:vAlign w:val="bottom"/>
            <w:gridSpan w:val="14"/>
            <w:shd w:val="clear" w:color="auto" w:fill="CFF0FC"/>
          </w:tcPr>
          <w:p>
            <w:pPr>
              <w:ind w:left="20"/>
              <w:spacing w:after="0" w:line="129" w:lineRule="exact"/>
              <w:rPr>
                <w:sz w:val="20"/>
                <w:szCs w:val="20"/>
                <w:color w:val="auto"/>
              </w:rPr>
            </w:pPr>
            <w:r>
              <w:rPr>
                <w:rFonts w:ascii="Arial" w:cs="Arial" w:eastAsia="Arial" w:hAnsi="Arial"/>
                <w:sz w:val="13"/>
                <w:szCs w:val="13"/>
                <w:color w:val="auto"/>
                <w:w w:val="96"/>
              </w:rPr>
              <w:t>Net interest income (loss) after provisions for loan losses</w:t>
            </w: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3"/>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4</w:t>
            </w:r>
          </w:p>
        </w:tc>
        <w:tc>
          <w:tcPr>
            <w:tcW w:w="2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ind w:left="40"/>
              <w:spacing w:after="0" w:line="129"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4</w:t>
            </w: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18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Total other income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4020" w:type="dxa"/>
            <w:vAlign w:val="bottom"/>
            <w:gridSpan w:val="16"/>
            <w:shd w:val="clear" w:color="auto" w:fill="CFF0FC"/>
          </w:tcPr>
          <w:p>
            <w:pPr>
              <w:ind w:left="20"/>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60" w:type="dxa"/>
            <w:vAlign w:val="bottom"/>
            <w:tcBorders>
              <w:right w:val="single" w:sz="8" w:color="CFF0FC"/>
            </w:tcBorders>
            <w:gridSpan w:val="3"/>
            <w:shd w:val="clear" w:color="auto" w:fill="CFF0FC"/>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020" w:type="dxa"/>
            <w:vAlign w:val="bottom"/>
            <w:tcBorders>
              <w:top w:val="single" w:sz="8" w:color="CFF0FC"/>
              <w:bottom w:val="single" w:sz="8" w:color="CFF0FC"/>
            </w:tcBorders>
            <w:gridSpan w:val="12"/>
          </w:tcPr>
          <w:p>
            <w:pPr>
              <w:ind w:left="20"/>
              <w:spacing w:after="0" w:line="129" w:lineRule="exact"/>
              <w:rPr>
                <w:sz w:val="20"/>
                <w:szCs w:val="20"/>
                <w:color w:val="auto"/>
              </w:rPr>
            </w:pPr>
            <w:r>
              <w:rPr>
                <w:rFonts w:ascii="Arial" w:cs="Arial" w:eastAsia="Arial" w:hAnsi="Arial"/>
                <w:sz w:val="13"/>
                <w:szCs w:val="13"/>
                <w:color w:val="auto"/>
              </w:rPr>
              <w:t>Total Core Earnings adjustments to GAAP</w:t>
            </w: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5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480" w:type="dxa"/>
            <w:vAlign w:val="bottom"/>
            <w:tcBorders>
              <w:top w:val="single" w:sz="8" w:color="CFF0FC"/>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gridSpan w:val="2"/>
          </w:tcPr>
          <w:p>
            <w:pPr>
              <w:jc w:val="right"/>
              <w:ind w:right="120"/>
              <w:spacing w:after="0" w:line="115" w:lineRule="exact"/>
              <w:rPr>
                <w:sz w:val="20"/>
                <w:szCs w:val="20"/>
                <w:color w:val="auto"/>
              </w:rPr>
            </w:pPr>
            <w:r>
              <w:rPr>
                <w:rFonts w:ascii="Arial" w:cs="Arial" w:eastAsia="Arial" w:hAnsi="Arial"/>
                <w:sz w:val="13"/>
                <w:szCs w:val="13"/>
                <w:color w:val="auto"/>
                <w:w w:val="82"/>
              </w:rPr>
              <w:t>$</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8</w:t>
            </w:r>
          </w:p>
        </w:tc>
        <w:tc>
          <w:tcPr>
            <w:tcW w:w="18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9</w:t>
            </w:r>
          </w:p>
        </w:tc>
        <w:tc>
          <w:tcPr>
            <w:tcW w:w="80" w:type="dxa"/>
            <w:vAlign w:val="bottom"/>
            <w:tcBorders>
              <w:top w:val="single" w:sz="8" w:color="CFF0FC"/>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80" w:type="dxa"/>
            <w:vAlign w:val="bottom"/>
          </w:tcPr>
          <w:p>
            <w:pPr>
              <w:spacing w:after="0"/>
              <w:rPr>
                <w:sz w:val="10"/>
                <w:szCs w:val="10"/>
                <w:color w:val="auto"/>
              </w:rPr>
            </w:pPr>
          </w:p>
        </w:tc>
        <w:tc>
          <w:tcPr>
            <w:tcW w:w="2140" w:type="dxa"/>
            <w:vAlign w:val="bottom"/>
            <w:tcBorders>
              <w:bottom w:val="single" w:sz="8" w:color="CFF0FC"/>
            </w:tcBorders>
            <w:gridSpan w:val="8"/>
            <w:shd w:val="clear" w:color="auto" w:fill="CFF0FC"/>
          </w:tcPr>
          <w:p>
            <w:pPr>
              <w:ind w:left="20"/>
              <w:spacing w:after="0" w:line="116" w:lineRule="exact"/>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right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6</w:t>
            </w:r>
          </w:p>
        </w:tc>
        <w:tc>
          <w:tcPr>
            <w:tcW w:w="80" w:type="dxa"/>
            <w:vAlign w:val="bottom"/>
            <w:tcBorders>
              <w:bottom w:val="single" w:sz="8" w:color="CFF0FC"/>
              <w:right w:val="single" w:sz="8" w:color="CFF0FC"/>
            </w:tcBorders>
            <w:shd w:val="clear" w:color="auto" w:fill="CFF0FC"/>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1180" w:type="dxa"/>
            <w:vAlign w:val="bottom"/>
            <w:gridSpan w:val="4"/>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2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-4516755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-4516755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-4516755</wp:posOffset>
            </wp:positionV>
            <wp:extent cx="596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-4516755</wp:posOffset>
            </wp:positionV>
            <wp:extent cx="596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-4516755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-4516755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-4516755</wp:posOffset>
            </wp:positionV>
            <wp:extent cx="596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-4516755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-4516755</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-4337050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-4337050</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-4337050</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-4337050</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-4337050</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-4337050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-4337050</wp:posOffset>
            </wp:positionV>
            <wp:extent cx="596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-4337050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-4337050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-3994150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-3994150</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-3994150</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-3994150</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-3994150</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-3994150</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-3994150</wp:posOffset>
            </wp:positionV>
            <wp:extent cx="59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-3994150</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-3994150</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-2013585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-2013585</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-2013585</wp:posOffset>
            </wp:positionV>
            <wp:extent cx="596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-2013585</wp:posOffset>
            </wp:positionV>
            <wp:extent cx="596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-2013585</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-2013585</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-2013585</wp:posOffset>
            </wp:positionV>
            <wp:extent cx="596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-2013585</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-2013585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-1396365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-1379220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-1396365</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-1379220</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-1396365</wp:posOffset>
            </wp:positionV>
            <wp:extent cx="596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-1379220</wp:posOffset>
            </wp:positionV>
            <wp:extent cx="596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-1396365</wp:posOffset>
            </wp:positionV>
            <wp:extent cx="596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-1379220</wp:posOffset>
            </wp:positionV>
            <wp:extent cx="596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-1396365</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-1379220</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-1396365</wp:posOffset>
            </wp:positionV>
            <wp:extent cx="603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-1379220</wp:posOffset>
            </wp:positionV>
            <wp:extent cx="603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-1396365</wp:posOffset>
            </wp:positionV>
            <wp:extent cx="596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-1379220</wp:posOffset>
            </wp:positionV>
            <wp:extent cx="596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-1396365</wp:posOffset>
            </wp:positionV>
            <wp:extent cx="603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-1379220</wp:posOffset>
            </wp:positionV>
            <wp:extent cx="603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-1396365</wp:posOffset>
            </wp:positionV>
            <wp:extent cx="603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-1379220</wp:posOffset>
            </wp:positionV>
            <wp:extent cx="603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-325120</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-325120</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-325120</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-119380</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jc w:val="right"/>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9" w:right="10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2280" w:type="dxa"/>
            <w:vAlign w:val="bottom"/>
            <w:gridSpan w:val="9"/>
            <w:shd w:val="clear" w:color="auto" w:fill="D9D9D9"/>
          </w:tcPr>
          <w:p>
            <w:pPr>
              <w:jc w:val="right"/>
              <w:ind w:right="160"/>
              <w:spacing w:after="0"/>
              <w:rPr>
                <w:sz w:val="20"/>
                <w:szCs w:val="20"/>
                <w:color w:val="auto"/>
              </w:rPr>
            </w:pPr>
            <w:r>
              <w:rPr>
                <w:rFonts w:ascii="Arial" w:cs="Arial" w:eastAsia="Arial" w:hAnsi="Arial"/>
                <w:sz w:val="11"/>
                <w:szCs w:val="11"/>
                <w:b w:val="1"/>
                <w:bCs w:val="1"/>
                <w:color w:val="auto"/>
              </w:rPr>
              <w:t>QUARTER ENDED DECEMBER 31, 2024</w:t>
            </w:r>
          </w:p>
        </w:tc>
        <w:tc>
          <w:tcPr>
            <w:tcW w:w="2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00" w:type="dxa"/>
            <w:vAlign w:val="bottom"/>
            <w:tcBorders>
              <w:right w:val="single" w:sz="8" w:color="D9D9D9"/>
            </w:tcBorders>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Adjustments</w:t>
            </w: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right w:val="single" w:sz="8" w:color="auto"/>
            </w:tcBorders>
            <w:gridSpan w:val="3"/>
            <w:vMerge w:val="restart"/>
          </w:tcPr>
          <w:p>
            <w:pPr>
              <w:jc w:val="center"/>
              <w:ind w:right="340"/>
              <w:spacing w:after="0"/>
              <w:rPr>
                <w:sz w:val="20"/>
                <w:szCs w:val="20"/>
                <w:color w:val="auto"/>
              </w:rPr>
            </w:pPr>
            <w:r>
              <w:rPr>
                <w:rFonts w:ascii="Arial" w:cs="Arial" w:eastAsia="Arial" w:hAnsi="Arial"/>
                <w:sz w:val="11"/>
                <w:szCs w:val="11"/>
                <w:b w:val="1"/>
                <w:bCs w:val="1"/>
                <w:color w:val="auto"/>
                <w:w w:val="98"/>
              </w:rPr>
              <w:t>Total</w:t>
            </w: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5"/>
          </w:tcPr>
          <w:p>
            <w:pPr>
              <w:jc w:val="right"/>
              <w:ind w:right="237"/>
              <w:spacing w:after="0" w:line="122" w:lineRule="exact"/>
              <w:rPr>
                <w:sz w:val="20"/>
                <w:szCs w:val="20"/>
                <w:color w:val="auto"/>
              </w:rPr>
            </w:pPr>
            <w:r>
              <w:rPr>
                <w:rFonts w:ascii="Arial" w:cs="Arial" w:eastAsia="Arial" w:hAnsi="Arial"/>
                <w:sz w:val="11"/>
                <w:szCs w:val="11"/>
                <w:b w:val="1"/>
                <w:bCs w:val="1"/>
                <w:color w:val="auto"/>
              </w:rPr>
              <w:t>Reportable Segments</w:t>
            </w: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Borders>
              <w:right w:val="single" w:sz="8" w:color="auto"/>
            </w:tcBorders>
            <w:gridSpan w:val="3"/>
            <w:vMerge w:val="continue"/>
          </w:tcPr>
          <w:p>
            <w:pPr>
              <w:spacing w:after="0"/>
              <w:rPr>
                <w:sz w:val="8"/>
                <w:szCs w:val="8"/>
                <w:color w:val="auto"/>
              </w:rPr>
            </w:pPr>
          </w:p>
        </w:tc>
        <w:tc>
          <w:tcPr>
            <w:tcW w:w="600" w:type="dxa"/>
            <w:vAlign w:val="bottom"/>
            <w:gridSpan w:val="4"/>
          </w:tcPr>
          <w:p>
            <w:pPr>
              <w:jc w:val="center"/>
              <w:spacing w:after="0" w:line="102" w:lineRule="exact"/>
              <w:rPr>
                <w:sz w:val="20"/>
                <w:szCs w:val="20"/>
                <w:color w:val="auto"/>
              </w:rPr>
            </w:pPr>
            <w:r>
              <w:rPr>
                <w:rFonts w:ascii="Arial" w:cs="Arial" w:eastAsia="Arial" w:hAnsi="Arial"/>
                <w:sz w:val="11"/>
                <w:szCs w:val="11"/>
                <w:b w:val="1"/>
                <w:bCs w:val="1"/>
                <w:color w:val="auto"/>
              </w:rPr>
              <w:t>Federal</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400"/>
              <w:spacing w:after="0" w:line="108"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700" w:type="dxa"/>
            <w:vAlign w:val="bottom"/>
            <w:gridSpan w:val="2"/>
          </w:tcPr>
          <w:p>
            <w:pPr>
              <w:jc w:val="right"/>
              <w:ind w:right="220"/>
              <w:spacing w:after="0" w:line="108" w:lineRule="exact"/>
              <w:rPr>
                <w:sz w:val="20"/>
                <w:szCs w:val="20"/>
                <w:color w:val="auto"/>
              </w:rPr>
            </w:pPr>
            <w:r>
              <w:rPr>
                <w:rFonts w:ascii="Arial" w:cs="Arial" w:eastAsia="Arial" w:hAnsi="Arial"/>
                <w:sz w:val="11"/>
                <w:szCs w:val="11"/>
                <w:b w:val="1"/>
                <w:bCs w:val="1"/>
                <w:color w:val="auto"/>
                <w:w w:val="95"/>
              </w:rPr>
              <w:t>Reclassi-</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320"/>
              <w:spacing w:after="0" w:line="108" w:lineRule="exact"/>
              <w:rPr>
                <w:sz w:val="20"/>
                <w:szCs w:val="20"/>
                <w:color w:val="auto"/>
              </w:rPr>
            </w:pPr>
            <w:r>
              <w:rPr>
                <w:rFonts w:ascii="Arial" w:cs="Arial" w:eastAsia="Arial" w:hAnsi="Arial"/>
                <w:sz w:val="11"/>
                <w:szCs w:val="11"/>
                <w:b w:val="1"/>
                <w:bCs w:val="1"/>
                <w:color w:val="auto"/>
              </w:rPr>
              <w:t>Additions/</w:t>
            </w:r>
          </w:p>
        </w:tc>
        <w:tc>
          <w:tcPr>
            <w:tcW w:w="140" w:type="dxa"/>
            <w:vAlign w:val="bottom"/>
          </w:tcPr>
          <w:p>
            <w:pPr>
              <w:spacing w:after="0"/>
              <w:rPr>
                <w:sz w:val="9"/>
                <w:szCs w:val="9"/>
                <w:color w:val="auto"/>
              </w:rPr>
            </w:pPr>
          </w:p>
        </w:tc>
        <w:tc>
          <w:tcPr>
            <w:tcW w:w="840" w:type="dxa"/>
            <w:vAlign w:val="bottom"/>
            <w:gridSpan w:val="2"/>
          </w:tcPr>
          <w:p>
            <w:pPr>
              <w:jc w:val="right"/>
              <w:ind w:right="42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right w:val="single" w:sz="8" w:color="auto"/>
            </w:tcBorders>
            <w:gridSpan w:val="3"/>
          </w:tcPr>
          <w:p>
            <w:pPr>
              <w:jc w:val="center"/>
              <w:ind w:right="340"/>
              <w:spacing w:after="0" w:line="108" w:lineRule="exact"/>
              <w:rPr>
                <w:sz w:val="20"/>
                <w:szCs w:val="20"/>
                <w:color w:val="auto"/>
              </w:rPr>
            </w:pPr>
            <w:r>
              <w:rPr>
                <w:rFonts w:ascii="Arial" w:cs="Arial" w:eastAsia="Arial" w:hAnsi="Arial"/>
                <w:sz w:val="11"/>
                <w:szCs w:val="11"/>
                <w:b w:val="1"/>
                <w:bCs w:val="1"/>
                <w:color w:val="auto"/>
              </w:rPr>
              <w:t>Core</w:t>
            </w:r>
          </w:p>
        </w:tc>
        <w:tc>
          <w:tcPr>
            <w:tcW w:w="600" w:type="dxa"/>
            <w:vAlign w:val="bottom"/>
            <w:gridSpan w:val="4"/>
          </w:tcPr>
          <w:p>
            <w:pPr>
              <w:jc w:val="center"/>
              <w:spacing w:after="0" w:line="108" w:lineRule="exact"/>
              <w:rPr>
                <w:sz w:val="20"/>
                <w:szCs w:val="20"/>
                <w:color w:val="auto"/>
              </w:rPr>
            </w:pPr>
            <w:r>
              <w:rPr>
                <w:rFonts w:ascii="Arial" w:cs="Arial" w:eastAsia="Arial" w:hAnsi="Arial"/>
                <w:sz w:val="11"/>
                <w:szCs w:val="11"/>
                <w:b w:val="1"/>
                <w:bCs w:val="1"/>
                <w:color w:val="auto"/>
                <w:w w:val="97"/>
              </w:rPr>
              <w:t>Education</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auto"/>
                <w:w w:val="95"/>
              </w:rPr>
              <w:t>Consumer</w:t>
            </w:r>
          </w:p>
        </w:tc>
        <w:tc>
          <w:tcPr>
            <w:tcW w:w="180" w:type="dxa"/>
            <w:vAlign w:val="bottom"/>
          </w:tcPr>
          <w:p>
            <w:pPr>
              <w:spacing w:after="0"/>
              <w:rPr>
                <w:sz w:val="9"/>
                <w:szCs w:val="9"/>
                <w:color w:val="auto"/>
              </w:rPr>
            </w:pPr>
          </w:p>
        </w:tc>
        <w:tc>
          <w:tcPr>
            <w:tcW w:w="680" w:type="dxa"/>
            <w:vAlign w:val="bottom"/>
            <w:gridSpan w:val="2"/>
          </w:tcPr>
          <w:p>
            <w:pPr>
              <w:jc w:val="right"/>
              <w:ind w:right="97"/>
              <w:spacing w:after="0" w:line="108" w:lineRule="exact"/>
              <w:rPr>
                <w:sz w:val="20"/>
                <w:szCs w:val="20"/>
                <w:color w:val="auto"/>
              </w:rPr>
            </w:pPr>
            <w:r>
              <w:rPr>
                <w:rFonts w:ascii="Arial" w:cs="Arial" w:eastAsia="Arial" w:hAnsi="Arial"/>
                <w:sz w:val="11"/>
                <w:szCs w:val="11"/>
                <w:b w:val="1"/>
                <w:bCs w:val="1"/>
                <w:color w:val="auto"/>
              </w:rPr>
              <w:t>Business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60" w:type="dxa"/>
            <w:vAlign w:val="bottom"/>
            <w:gridSpan w:val="5"/>
          </w:tcPr>
          <w:p>
            <w:pPr>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GAAP</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7"/>
              </w:rPr>
              <w:t>fications</w:t>
            </w:r>
          </w:p>
        </w:tc>
        <w:tc>
          <w:tcPr>
            <w:tcW w:w="8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(Subtractions)</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1"/>
                <w:szCs w:val="11"/>
                <w:b w:val="1"/>
                <w:bCs w:val="1"/>
                <w:color w:val="auto"/>
                <w:w w:val="98"/>
              </w:rPr>
              <w:t xml:space="preserve">Adjustments </w:t>
            </w:r>
            <w:r>
              <w:rPr>
                <w:rFonts w:ascii="Arial" w:cs="Arial" w:eastAsia="Arial" w:hAnsi="Arial"/>
                <w:sz w:val="14"/>
                <w:szCs w:val="14"/>
                <w:b w:val="1"/>
                <w:bCs w:val="1"/>
                <w:color w:val="auto"/>
                <w:w w:val="98"/>
                <w:vertAlign w:val="superscript"/>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1"/>
                <w:szCs w:val="11"/>
                <w:b w:val="1"/>
                <w:bCs w:val="1"/>
                <w:color w:val="auto"/>
                <w:w w:val="97"/>
              </w:rPr>
              <w:t>Earnings</w:t>
            </w:r>
          </w:p>
        </w:tc>
        <w:tc>
          <w:tcPr>
            <w:tcW w:w="6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Lending</w:t>
            </w:r>
          </w:p>
        </w:tc>
        <w:tc>
          <w:tcPr>
            <w:tcW w:w="1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Processing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74"/>
              </w:rPr>
              <w:t>Other</w:t>
            </w: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income:</w:t>
            </w:r>
          </w:p>
        </w:tc>
        <w:tc>
          <w:tcPr>
            <w:tcW w:w="760" w:type="dxa"/>
            <w:vAlign w:val="bottom"/>
            <w:tcBorders>
              <w:right w:val="single" w:sz="8" w:color="CFF0FC"/>
            </w:tcBorders>
            <w:gridSpan w:val="3"/>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top w:val="single" w:sz="8" w:color="auto"/>
              <w:right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Education loans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837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jc w:val="right"/>
              <w:ind w:right="61"/>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537</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300</w:t>
            </w:r>
          </w:p>
        </w:tc>
        <w:tc>
          <w:tcPr>
            <w:tcW w:w="4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tcBorders>
              <w:bottom w:val="single" w:sz="8" w:color="CFF0FC"/>
              <w:right w:val="single" w:sz="8" w:color="CFF0FC"/>
            </w:tcBorders>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Cash and investments</w:t>
            </w: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25</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right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12</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5</w:t>
            </w:r>
          </w:p>
        </w:tc>
        <w:tc>
          <w:tcPr>
            <w:tcW w:w="18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right w:val="single" w:sz="8" w:color="CFF0FC"/>
            </w:tcBorders>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right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6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862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549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305</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Borders>
              <w:right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727</w:t>
            </w: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514</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188</w:t>
            </w: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76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CFF0FC"/>
              <w:right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60" w:type="dxa"/>
            <w:vAlign w:val="bottom"/>
            <w:gridSpan w:val="5"/>
          </w:tcPr>
          <w:p>
            <w:pPr>
              <w:ind w:left="100"/>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(8)</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22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134</w:t>
            </w:r>
          </w:p>
        </w:tc>
        <w:tc>
          <w:tcPr>
            <w:tcW w:w="1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117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17"/>
        </w:trPr>
        <w:tc>
          <w:tcPr>
            <w:tcW w:w="1760" w:type="dxa"/>
            <w:vAlign w:val="bottom"/>
            <w:tcBorders>
              <w:right w:val="single" w:sz="8" w:color="CFF0FC"/>
            </w:tcBorders>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1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180" w:type="dxa"/>
            <w:vAlign w:val="bottom"/>
            <w:tcBorders>
              <w:right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38</w:t>
            </w: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760" w:type="dxa"/>
            <w:vAlign w:val="bottom"/>
            <w:tcBorders>
              <w:right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losses</w:t>
            </w:r>
          </w:p>
        </w:tc>
        <w:tc>
          <w:tcPr>
            <w:tcW w:w="100" w:type="dxa"/>
            <w:vAlign w:val="bottom"/>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tcBorders>
              <w:right w:val="single" w:sz="8" w:color="CFF0FC"/>
            </w:tcBorders>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76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CFF0FC"/>
              <w:right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(loss) after provisions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5"/>
          </w:tcPr>
          <w:p>
            <w:pPr>
              <w:ind w:left="100"/>
              <w:spacing w:after="0"/>
              <w:rPr>
                <w:sz w:val="20"/>
                <w:szCs w:val="20"/>
                <w:color w:val="auto"/>
              </w:rPr>
            </w:pPr>
            <w:r>
              <w:rPr>
                <w:rFonts w:ascii="Arial" w:cs="Arial" w:eastAsia="Arial" w:hAnsi="Arial"/>
                <w:sz w:val="13"/>
                <w:szCs w:val="13"/>
                <w:color w:val="auto"/>
              </w:rPr>
              <w:t>for loan losses</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79</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1760" w:type="dxa"/>
            <w:vAlign w:val="bottom"/>
            <w:tcBorders>
              <w:right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Servicing revenue</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760" w:type="dxa"/>
            <w:vAlign w:val="bottom"/>
            <w:tcBorders>
              <w:right w:val="single" w:sz="8" w:color="CFF0FC"/>
            </w:tcBorders>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Asset recovery and</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tcBorders>
              <w:right w:val="single" w:sz="8" w:color="CFF0FC"/>
            </w:tcBorders>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business processing</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tcBorders>
              <w:right w:val="single" w:sz="8" w:color="CFF0FC"/>
            </w:tcBorders>
            <w:gridSpan w:val="5"/>
            <w:shd w:val="clear" w:color="auto" w:fill="CFF0FC"/>
          </w:tcPr>
          <w:p>
            <w:pPr>
              <w:ind w:left="20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Other revenue</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60" w:type="dxa"/>
            <w:vAlign w:val="bottom"/>
            <w:tcBorders>
              <w:right w:val="single" w:sz="8" w:color="CFF0FC"/>
            </w:tcBorders>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Gain (loss) on sale of</w:t>
            </w:r>
          </w:p>
        </w:tc>
        <w:tc>
          <w:tcPr>
            <w:tcW w:w="10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760" w:type="dxa"/>
            <w:vAlign w:val="bottom"/>
            <w:tcBorders>
              <w:right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subsidiaries</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tcBorders>
              <w:right w:val="single" w:sz="8" w:color="CFF0FC"/>
            </w:tcBorders>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760" w:type="dxa"/>
            <w:vAlign w:val="bottom"/>
            <w:gridSpan w:val="5"/>
          </w:tcPr>
          <w:p>
            <w:pPr>
              <w:spacing w:after="0" w:line="129" w:lineRule="exact"/>
              <w:rPr>
                <w:sz w:val="20"/>
                <w:szCs w:val="20"/>
                <w:color w:val="auto"/>
              </w:rPr>
            </w:pPr>
            <w:r>
              <w:rPr>
                <w:rFonts w:ascii="Arial" w:cs="Arial" w:eastAsia="Arial" w:hAnsi="Arial"/>
                <w:sz w:val="13"/>
                <w:szCs w:val="13"/>
                <w:color w:val="auto"/>
              </w:rPr>
              <w:t>Total other income</w:t>
            </w: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88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(52)</w:t>
            </w:r>
          </w:p>
        </w:tc>
        <w:tc>
          <w:tcPr>
            <w:tcW w:w="14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(59)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29</w:t>
            </w: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Borders>
              <w:right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6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Direct operating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60" w:type="dxa"/>
            <w:vAlign w:val="bottom"/>
            <w:gridSpan w:val="5"/>
          </w:tcPr>
          <w:p>
            <w:pPr>
              <w:ind w:left="20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760" w:type="dxa"/>
            <w:vAlign w:val="bottom"/>
            <w:tcBorders>
              <w:right w:val="single" w:sz="8" w:color="CFF0FC"/>
            </w:tcBorders>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Unallocated shared</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1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760" w:type="dxa"/>
            <w:vAlign w:val="bottom"/>
            <w:tcBorders>
              <w:bottom w:val="single" w:sz="8" w:color="CFF0FC"/>
              <w:right w:val="single" w:sz="8" w:color="CFF0FC"/>
            </w:tcBorders>
            <w:gridSpan w:val="5"/>
            <w:shd w:val="clear" w:color="auto" w:fill="CFF0FC"/>
          </w:tcPr>
          <w:p>
            <w:pPr>
              <w:ind w:left="200"/>
              <w:spacing w:after="0" w:line="139" w:lineRule="exact"/>
              <w:rPr>
                <w:sz w:val="20"/>
                <w:szCs w:val="20"/>
                <w:color w:val="auto"/>
              </w:rPr>
            </w:pPr>
            <w:r>
              <w:rPr>
                <w:rFonts w:ascii="Arial" w:cs="Arial" w:eastAsia="Arial" w:hAnsi="Arial"/>
                <w:sz w:val="13"/>
                <w:szCs w:val="13"/>
                <w:color w:val="auto"/>
              </w:rPr>
              <w:t>services expenses</w:t>
            </w: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right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gridSpan w:val="2"/>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gridSpan w:val="2"/>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right w:val="single" w:sz="8" w:color="CFF0FC"/>
            </w:tcBorders>
            <w:shd w:val="clear" w:color="auto" w:fill="CFF0FC"/>
          </w:tcPr>
          <w:p>
            <w:pPr>
              <w:spacing w:after="0"/>
              <w:rPr>
                <w:sz w:val="12"/>
                <w:szCs w:val="12"/>
                <w:color w:val="auto"/>
              </w:rPr>
            </w:pPr>
          </w:p>
        </w:tc>
        <w:tc>
          <w:tcPr>
            <w:tcW w:w="3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60" w:type="dxa"/>
            <w:vAlign w:val="bottom"/>
            <w:gridSpan w:val="5"/>
          </w:tcPr>
          <w:p>
            <w:pPr>
              <w:ind w:left="100"/>
              <w:spacing w:after="0" w:line="129" w:lineRule="exact"/>
              <w:rPr>
                <w:sz w:val="20"/>
                <w:szCs w:val="20"/>
                <w:color w:val="auto"/>
              </w:rPr>
            </w:pPr>
            <w:r>
              <w:rPr>
                <w:rFonts w:ascii="Arial" w:cs="Arial" w:eastAsia="Arial" w:hAnsi="Arial"/>
                <w:sz w:val="13"/>
                <w:szCs w:val="13"/>
                <w:color w:val="auto"/>
              </w:rPr>
              <w:t>Operating expenses</w:t>
            </w: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146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146</w:t>
            </w: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33</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jc w:val="right"/>
              <w:ind w:right="17"/>
              <w:spacing w:after="0" w:line="129" w:lineRule="exact"/>
              <w:rPr>
                <w:sz w:val="20"/>
                <w:szCs w:val="20"/>
                <w:color w:val="auto"/>
              </w:rPr>
            </w:pPr>
            <w:r>
              <w:rPr>
                <w:rFonts w:ascii="Arial" w:cs="Arial" w:eastAsia="Arial" w:hAnsi="Arial"/>
                <w:sz w:val="13"/>
                <w:szCs w:val="13"/>
                <w:color w:val="auto"/>
              </w:rPr>
              <w:t>40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60" w:type="dxa"/>
            <w:vAlign w:val="bottom"/>
            <w:tcBorders>
              <w:right w:val="single" w:sz="8" w:color="CFF0FC"/>
            </w:tcBorders>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Goodwill and acquired</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tcBorders>
              <w:right w:val="single" w:sz="8" w:color="CFF0FC"/>
            </w:tcBorders>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intangible asset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Borders>
              <w:right w:val="single" w:sz="8" w:color="CFF0FC"/>
            </w:tcBorders>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impairment and</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tcBorders>
              <w:right w:val="single" w:sz="8" w:color="CFF0FC"/>
            </w:tcBorders>
            <w:gridSpan w:val="5"/>
            <w:shd w:val="clear" w:color="auto" w:fill="CFF0FC"/>
          </w:tcPr>
          <w:p>
            <w:pPr>
              <w:ind w:left="200"/>
              <w:spacing w:after="0"/>
              <w:rPr>
                <w:sz w:val="20"/>
                <w:szCs w:val="20"/>
                <w:color w:val="auto"/>
              </w:rPr>
            </w:pPr>
            <w:r>
              <w:rPr>
                <w:rFonts w:ascii="Arial" w:cs="Arial" w:eastAsia="Arial" w:hAnsi="Arial"/>
                <w:sz w:val="13"/>
                <w:szCs w:val="13"/>
                <w:color w:val="auto"/>
              </w:rPr>
              <w:t>amortization</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76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Restructuring/other</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reorganization</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5</w:t>
            </w: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60" w:type="dxa"/>
            <w:vAlign w:val="bottom"/>
            <w:gridSpan w:val="5"/>
          </w:tcPr>
          <w:p>
            <w:pPr>
              <w:ind w:left="200"/>
              <w:spacing w:after="0" w:line="139" w:lineRule="exact"/>
              <w:rPr>
                <w:sz w:val="20"/>
                <w:szCs w:val="20"/>
                <w:color w:val="auto"/>
              </w:rPr>
            </w:pPr>
            <w:r>
              <w:rPr>
                <w:rFonts w:ascii="Arial" w:cs="Arial" w:eastAsia="Arial" w:hAnsi="Arial"/>
                <w:sz w:val="13"/>
                <w:szCs w:val="13"/>
                <w:color w:val="auto"/>
              </w:rPr>
              <w:t>expenses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60" w:type="dxa"/>
            <w:vAlign w:val="bottom"/>
            <w:tcBorders>
              <w:right w:val="single" w:sz="8" w:color="CFF0FC"/>
            </w:tcBorders>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expenses</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152</w:t>
            </w: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151</w:t>
            </w:r>
          </w:p>
        </w:tc>
        <w:tc>
          <w:tcPr>
            <w:tcW w:w="18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33</w:t>
            </w: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40</w:t>
            </w: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76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Income (loss) before</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CFF0FC"/>
              <w:right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income tax expense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5"/>
          </w:tcPr>
          <w:p>
            <w:pPr>
              <w:ind w:left="100"/>
              <w:spacing w:after="0"/>
              <w:rPr>
                <w:sz w:val="20"/>
                <w:szCs w:val="20"/>
                <w:color w:val="auto"/>
              </w:rPr>
            </w:pPr>
            <w:r>
              <w:rPr>
                <w:rFonts w:ascii="Arial" w:cs="Arial" w:eastAsia="Arial" w:hAnsi="Arial"/>
                <w:sz w:val="13"/>
                <w:szCs w:val="13"/>
                <w:color w:val="auto"/>
              </w:rPr>
              <w:t>(benefit)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(33)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08"/>
        </w:trPr>
        <w:tc>
          <w:tcPr>
            <w:tcW w:w="1760" w:type="dxa"/>
            <w:vAlign w:val="bottom"/>
            <w:tcBorders>
              <w:right w:val="single" w:sz="8" w:color="CFF0FC"/>
            </w:tcBorders>
            <w:gridSpan w:val="5"/>
            <w:shd w:val="clear" w:color="auto" w:fill="CFF0FC"/>
          </w:tcPr>
          <w:p>
            <w:pPr>
              <w:spacing w:after="0" w:line="108" w:lineRule="exact"/>
              <w:rPr>
                <w:sz w:val="20"/>
                <w:szCs w:val="20"/>
                <w:color w:val="auto"/>
              </w:rPr>
            </w:pPr>
            <w:r>
              <w:rPr>
                <w:rFonts w:ascii="Arial" w:cs="Arial" w:eastAsia="Arial" w:hAnsi="Arial"/>
                <w:sz w:val="12"/>
                <w:szCs w:val="12"/>
                <w:color w:val="auto"/>
              </w:rPr>
              <w:t>Income tax expense</w:t>
            </w:r>
          </w:p>
        </w:tc>
        <w:tc>
          <w:tcPr>
            <w:tcW w:w="10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8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20" w:type="dxa"/>
            <w:vAlign w:val="bottom"/>
            <w:tcBorders>
              <w:right w:val="single" w:sz="8" w:color="auto"/>
            </w:tcBorders>
            <w:gridSpan w:val="3"/>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(8)</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9"/>
        </w:trPr>
        <w:tc>
          <w:tcPr>
            <w:tcW w:w="1760" w:type="dxa"/>
            <w:vAlign w:val="bottom"/>
            <w:tcBorders>
              <w:right w:val="single" w:sz="8" w:color="CFF0FC"/>
            </w:tcBorders>
            <w:gridSpan w:val="5"/>
            <w:shd w:val="clear" w:color="auto" w:fill="CFF0FC"/>
          </w:tcPr>
          <w:p>
            <w:pPr>
              <w:ind w:left="100"/>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100" w:type="dxa"/>
            <w:vAlign w:val="bottom"/>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3"/>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tcBorders>
              <w:right w:val="single" w:sz="8" w:color="CFF0FC"/>
            </w:tcBorders>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760" w:type="dxa"/>
            <w:vAlign w:val="bottom"/>
            <w:gridSpan w:val="5"/>
          </w:tcPr>
          <w:p>
            <w:pPr>
              <w:spacing w:after="0" w:line="129" w:lineRule="exact"/>
              <w:rPr>
                <w:sz w:val="20"/>
                <w:szCs w:val="20"/>
                <w:color w:val="auto"/>
              </w:rPr>
            </w:pPr>
            <w:r>
              <w:rPr>
                <w:rFonts w:ascii="Arial" w:cs="Arial" w:eastAsia="Arial" w:hAnsi="Arial"/>
                <w:sz w:val="13"/>
                <w:szCs w:val="13"/>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24</w:t>
            </w:r>
          </w:p>
        </w:tc>
        <w:tc>
          <w:tcPr>
            <w:tcW w:w="1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(49)</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(25)</w:t>
            </w:r>
          </w:p>
        </w:tc>
        <w:tc>
          <w:tcPr>
            <w:tcW w:w="180" w:type="dxa"/>
            <w:vAlign w:val="bottom"/>
            <w:tcBorders>
              <w:right w:val="single" w:sz="8" w:color="auto"/>
            </w:tcBorders>
          </w:tcPr>
          <w:p>
            <w:pPr>
              <w:spacing w:after="0"/>
              <w:rPr>
                <w:sz w:val="11"/>
                <w:szCs w:val="11"/>
                <w:color w:val="auto"/>
              </w:rPr>
            </w:pPr>
          </w:p>
        </w:tc>
        <w:tc>
          <w:tcPr>
            <w:tcW w:w="200" w:type="dxa"/>
            <w:vAlign w:val="bottom"/>
            <w:tcBorders>
              <w:bottom w:val="single" w:sz="8" w:color="auto"/>
            </w:tcBorders>
          </w:tcPr>
          <w:p>
            <w:pPr>
              <w:jc w:val="right"/>
              <w:ind w:right="61"/>
              <w:spacing w:after="0" w:line="115" w:lineRule="exact"/>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10</w:t>
            </w: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37</w:t>
            </w: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600" w:type="dxa"/>
            <w:vAlign w:val="bottom"/>
            <w:gridSpan w:val="8"/>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4"/>
                <w:szCs w:val="14"/>
                <w:color w:val="auto"/>
              </w:rPr>
              <w:t xml:space="preserve">  Core Earnings adjustments to GAAP:</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860" w:type="dxa"/>
            <w:vAlign w:val="bottom"/>
            <w:gridSpan w:val="4"/>
          </w:tcPr>
          <w:p>
            <w:pPr>
              <w:spacing w:after="0"/>
              <w:rPr>
                <w:sz w:val="17"/>
                <w:szCs w:val="17"/>
                <w:color w:val="auto"/>
              </w:rPr>
            </w:pPr>
          </w:p>
        </w:tc>
        <w:tc>
          <w:tcPr>
            <w:tcW w:w="60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1980" w:type="dxa"/>
            <w:vAlign w:val="bottom"/>
            <w:gridSpan w:val="10"/>
            <w:shd w:val="clear" w:color="auto" w:fill="D9D9D9"/>
          </w:tcPr>
          <w:p>
            <w:pPr>
              <w:jc w:val="center"/>
              <w:spacing w:after="0" w:line="122" w:lineRule="exact"/>
              <w:rPr>
                <w:sz w:val="20"/>
                <w:szCs w:val="20"/>
                <w:color w:val="auto"/>
              </w:rPr>
            </w:pPr>
            <w:r>
              <w:rPr>
                <w:rFonts w:ascii="Arial" w:cs="Arial" w:eastAsia="Arial" w:hAnsi="Arial"/>
                <w:sz w:val="11"/>
                <w:szCs w:val="11"/>
                <w:b w:val="1"/>
                <w:bCs w:val="1"/>
                <w:color w:val="auto"/>
                <w:w w:val="95"/>
              </w:rPr>
              <w:t>QUARTER ENDED DECEMBER 31, 2024</w:t>
            </w:r>
          </w:p>
        </w:tc>
        <w:tc>
          <w:tcPr>
            <w:tcW w:w="400" w:type="dxa"/>
            <w:vAlign w:val="bottom"/>
            <w:tcBorders>
              <w:right w:val="single" w:sz="8" w:color="D9D9D9"/>
            </w:tcBorders>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4"/>
          </w:tcPr>
          <w:p>
            <w:pPr>
              <w:jc w:val="center"/>
              <w:ind w:right="24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Net Impact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tcPr>
          <w:p>
            <w:pPr>
              <w:jc w:val="center"/>
              <w:ind w:right="240"/>
              <w:spacing w:after="0" w:line="122" w:lineRule="exact"/>
              <w:rPr>
                <w:sz w:val="20"/>
                <w:szCs w:val="20"/>
                <w:color w:val="auto"/>
              </w:rPr>
            </w:pPr>
            <w:r>
              <w:rPr>
                <w:rFonts w:ascii="Arial" w:cs="Arial" w:eastAsia="Arial" w:hAnsi="Arial"/>
                <w:sz w:val="11"/>
                <w:szCs w:val="11"/>
                <w:b w:val="1"/>
                <w:bCs w:val="1"/>
                <w:color w:val="auto"/>
              </w:rPr>
              <w:t>Acquired</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5"/>
              </w:rPr>
              <w:t>(Dollars in millions)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9"/>
              </w:rPr>
              <w:t>Accounting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center"/>
              <w:ind w:right="38"/>
              <w:spacing w:after="0"/>
              <w:rPr>
                <w:sz w:val="20"/>
                <w:szCs w:val="20"/>
                <w:color w:val="auto"/>
              </w:rPr>
            </w:pPr>
            <w:r>
              <w:rPr>
                <w:rFonts w:ascii="Arial" w:cs="Arial" w:eastAsia="Arial" w:hAnsi="Arial"/>
                <w:sz w:val="11"/>
                <w:szCs w:val="11"/>
                <w:b w:val="1"/>
                <w:bCs w:val="1"/>
                <w:color w:val="auto"/>
                <w:w w:val="96"/>
              </w:rPr>
              <w:t>Intangibles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960" w:type="dxa"/>
            <w:vAlign w:val="bottom"/>
            <w:gridSpan w:val="14"/>
            <w:shd w:val="clear" w:color="auto" w:fill="CFF0FC"/>
          </w:tcPr>
          <w:p>
            <w:pPr>
              <w:ind w:left="20"/>
              <w:spacing w:after="0" w:line="129" w:lineRule="exact"/>
              <w:rPr>
                <w:sz w:val="20"/>
                <w:szCs w:val="20"/>
                <w:color w:val="auto"/>
              </w:rPr>
            </w:pPr>
            <w:r>
              <w:rPr>
                <w:rFonts w:ascii="Arial" w:cs="Arial" w:eastAsia="Arial" w:hAnsi="Arial"/>
                <w:sz w:val="13"/>
                <w:szCs w:val="13"/>
                <w:color w:val="auto"/>
              </w:rPr>
              <w:t>Net interest income (loss) after provisions for loan losses</w:t>
            </w: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center"/>
              <w:ind w:right="102"/>
              <w:spacing w:after="0" w:line="129" w:lineRule="exact"/>
              <w:rPr>
                <w:sz w:val="20"/>
                <w:szCs w:val="20"/>
                <w:color w:val="auto"/>
              </w:rPr>
            </w:pPr>
            <w:r>
              <w:rPr>
                <w:rFonts w:ascii="Arial" w:cs="Arial" w:eastAsia="Arial" w:hAnsi="Arial"/>
                <w:sz w:val="13"/>
                <w:szCs w:val="13"/>
                <w:color w:val="auto"/>
                <w:w w:val="82"/>
              </w:rPr>
              <w:t>$</w:t>
            </w:r>
          </w:p>
        </w:tc>
        <w:tc>
          <w:tcPr>
            <w:tcW w:w="180" w:type="dxa"/>
            <w:vAlign w:val="bottom"/>
            <w:tcBorders>
              <w:right w:val="single" w:sz="8" w:color="CFF0FC"/>
            </w:tcBorders>
            <w:shd w:val="clear" w:color="auto" w:fill="CFF0FC"/>
          </w:tcPr>
          <w:p>
            <w:pPr>
              <w:spacing w:after="0"/>
              <w:rPr>
                <w:sz w:val="11"/>
                <w:szCs w:val="11"/>
                <w:color w:val="auto"/>
              </w:rPr>
            </w:pPr>
          </w:p>
        </w:tc>
        <w:tc>
          <w:tcPr>
            <w:tcW w:w="3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w:t>
            </w:r>
          </w:p>
        </w:tc>
        <w:tc>
          <w:tcPr>
            <w:tcW w:w="3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FF0FC"/>
          </w:tcPr>
          <w:p>
            <w:pPr>
              <w:ind w:left="180"/>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right w:val="single" w:sz="8" w:color="CFF0FC"/>
            </w:tcBorders>
            <w:shd w:val="clear" w:color="auto" w:fill="CFF0FC"/>
          </w:tcPr>
          <w:p>
            <w:pPr>
              <w:spacing w:after="0"/>
              <w:rPr>
                <w:sz w:val="11"/>
                <w:szCs w:val="11"/>
                <w:color w:val="auto"/>
              </w:rPr>
            </w:pPr>
          </w:p>
        </w:tc>
        <w:tc>
          <w:tcPr>
            <w:tcW w:w="300" w:type="dxa"/>
            <w:vAlign w:val="bottom"/>
            <w:tcBorders>
              <w:righ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Total other income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4"/>
              </w:rPr>
              <w:t>(59)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4"/>
              </w:rPr>
              <w:t>(59)</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960" w:type="dxa"/>
            <w:vAlign w:val="bottom"/>
            <w:gridSpan w:val="14"/>
            <w:shd w:val="clear" w:color="auto" w:fill="CFF0FC"/>
          </w:tcPr>
          <w:p>
            <w:pPr>
              <w:ind w:left="20"/>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300" w:type="dxa"/>
            <w:vAlign w:val="bottom"/>
            <w:tcBorders>
              <w:right w:val="single" w:sz="8" w:color="CFF0FC"/>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0" w:type="dxa"/>
            <w:vAlign w:val="bottom"/>
          </w:tcPr>
          <w:p>
            <w:pPr>
              <w:spacing w:after="0"/>
              <w:rPr>
                <w:sz w:val="11"/>
                <w:szCs w:val="11"/>
                <w:color w:val="auto"/>
              </w:rPr>
            </w:pPr>
          </w:p>
        </w:tc>
        <w:tc>
          <w:tcPr>
            <w:tcW w:w="2920" w:type="dxa"/>
            <w:vAlign w:val="bottom"/>
            <w:gridSpan w:val="10"/>
          </w:tcPr>
          <w:p>
            <w:pPr>
              <w:ind w:left="20"/>
              <w:spacing w:after="0" w:line="129" w:lineRule="exact"/>
              <w:rPr>
                <w:sz w:val="20"/>
                <w:szCs w:val="20"/>
                <w:color w:val="auto"/>
              </w:rPr>
            </w:pPr>
            <w:r>
              <w:rPr>
                <w:rFonts w:ascii="Arial" w:cs="Arial" w:eastAsia="Arial" w:hAnsi="Arial"/>
                <w:sz w:val="13"/>
                <w:szCs w:val="13"/>
                <w:color w:val="auto"/>
              </w:rPr>
              <w:t>Total Core Earnings adjustments to GAAP</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jc w:val="center"/>
              <w:ind w:right="342"/>
              <w:spacing w:after="0" w:line="115" w:lineRule="exact"/>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77"/>
              </w:rPr>
              <w:t>(60)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gridSpan w:val="2"/>
          </w:tcPr>
          <w:p>
            <w:pPr>
              <w:jc w:val="right"/>
              <w:spacing w:after="0" w:line="129" w:lineRule="exact"/>
              <w:rPr>
                <w:sz w:val="20"/>
                <w:szCs w:val="20"/>
                <w:color w:val="auto"/>
              </w:rPr>
            </w:pPr>
            <w:r>
              <w:rPr>
                <w:rFonts w:ascii="Arial" w:cs="Arial" w:eastAsia="Arial" w:hAnsi="Arial"/>
                <w:sz w:val="13"/>
                <w:szCs w:val="13"/>
                <w:color w:val="auto"/>
                <w:w w:val="94"/>
              </w:rPr>
              <w:t>(59)</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Pr>
          <w:p>
            <w:pPr>
              <w:spacing w:after="0"/>
              <w:rPr>
                <w:sz w:val="10"/>
                <w:szCs w:val="10"/>
                <w:color w:val="auto"/>
              </w:rPr>
            </w:pPr>
          </w:p>
        </w:tc>
        <w:tc>
          <w:tcPr>
            <w:tcW w:w="2120" w:type="dxa"/>
            <w:vAlign w:val="bottom"/>
            <w:tcBorders>
              <w:right w:val="single" w:sz="8" w:color="CFF0FC"/>
            </w:tcBorders>
            <w:gridSpan w:val="7"/>
            <w:shd w:val="clear" w:color="auto" w:fill="CFF0FC"/>
          </w:tcPr>
          <w:p>
            <w:pPr>
              <w:ind w:left="20"/>
              <w:spacing w:after="0" w:line="116" w:lineRule="exact"/>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w w:val="94"/>
              </w:rPr>
              <w:t>(10)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tcPr>
          <w:p>
            <w:pPr>
              <w:spacing w:after="0"/>
              <w:rPr>
                <w:sz w:val="11"/>
                <w:szCs w:val="11"/>
                <w:color w:val="auto"/>
              </w:rPr>
            </w:pPr>
          </w:p>
        </w:tc>
        <w:tc>
          <w:tcPr>
            <w:tcW w:w="1280" w:type="dxa"/>
            <w:vAlign w:val="bottom"/>
            <w:gridSpan w:val="4"/>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300" w:type="dxa"/>
            <w:vAlign w:val="bottom"/>
            <w:gridSpan w:val="2"/>
          </w:tcPr>
          <w:p>
            <w:pPr>
              <w:jc w:val="right"/>
              <w:spacing w:after="0" w:line="129" w:lineRule="exact"/>
              <w:rPr>
                <w:sz w:val="20"/>
                <w:szCs w:val="20"/>
                <w:color w:val="auto"/>
              </w:rPr>
            </w:pPr>
            <w:r>
              <w:rPr>
                <w:rFonts w:ascii="Arial" w:cs="Arial" w:eastAsia="Arial" w:hAnsi="Arial"/>
                <w:sz w:val="13"/>
                <w:szCs w:val="13"/>
                <w:color w:val="auto"/>
                <w:w w:val="94"/>
              </w:rPr>
              <w:t>(49)</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-4679950</wp:posOffset>
            </wp:positionV>
            <wp:extent cx="60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-4679950</wp:posOffset>
            </wp:positionV>
            <wp:extent cx="60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-4679950</wp:posOffset>
            </wp:positionV>
            <wp:extent cx="603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-4679950</wp:posOffset>
            </wp:positionV>
            <wp:extent cx="596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-4679950</wp:posOffset>
            </wp:positionV>
            <wp:extent cx="60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-4679950</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-4679950</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-4679950</wp:posOffset>
            </wp:positionV>
            <wp:extent cx="59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-4679950</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-4499610</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-4499610</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-4499610</wp:posOffset>
            </wp:positionV>
            <wp:extent cx="60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-4499610</wp:posOffset>
            </wp:positionV>
            <wp:extent cx="596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-4499610</wp:posOffset>
            </wp:positionV>
            <wp:extent cx="60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-4499610</wp:posOffset>
            </wp:positionV>
            <wp:extent cx="603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-4499610</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-4499610</wp:posOffset>
            </wp:positionV>
            <wp:extent cx="596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-4499610</wp:posOffset>
            </wp:positionV>
            <wp:extent cx="60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-4156710</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-4156710</wp:posOffset>
            </wp:positionV>
            <wp:extent cx="603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-4156710</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-4156710</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-4156710</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-4156710</wp:posOffset>
            </wp:positionV>
            <wp:extent cx="60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-4156710</wp:posOffset>
            </wp:positionV>
            <wp:extent cx="603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-4156710</wp:posOffset>
            </wp:positionV>
            <wp:extent cx="596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-4156710</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-3213735</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-3213735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-3213735</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-3213735</wp:posOffset>
            </wp:positionV>
            <wp:extent cx="596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-3213735</wp:posOffset>
            </wp:positionV>
            <wp:extent cx="60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-3213735</wp:posOffset>
            </wp:positionV>
            <wp:extent cx="603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-3213735</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-3213735</wp:posOffset>
            </wp:positionV>
            <wp:extent cx="596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-3213735</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-2699385</wp:posOffset>
            </wp:positionV>
            <wp:extent cx="603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-2699385</wp:posOffset>
            </wp:positionV>
            <wp:extent cx="603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-2699385</wp:posOffset>
            </wp:positionV>
            <wp:extent cx="603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-2699385</wp:posOffset>
            </wp:positionV>
            <wp:extent cx="596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-2699385</wp:posOffset>
            </wp:positionV>
            <wp:extent cx="603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-2699385</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-2699385</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-2699385</wp:posOffset>
            </wp:positionV>
            <wp:extent cx="596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-2699385</wp:posOffset>
            </wp:positionV>
            <wp:extent cx="60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-1919605</wp:posOffset>
            </wp:positionV>
            <wp:extent cx="603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-1919605</wp:posOffset>
            </wp:positionV>
            <wp:extent cx="603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-1919605</wp:posOffset>
            </wp:positionV>
            <wp:extent cx="603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-1919605</wp:posOffset>
            </wp:positionV>
            <wp:extent cx="596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-1919605</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-1919605</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-1919605</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-1919605</wp:posOffset>
            </wp:positionV>
            <wp:extent cx="596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-1919605</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-1490980</wp:posOffset>
            </wp:positionV>
            <wp:extent cx="603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-1490980</wp:posOffset>
            </wp:positionV>
            <wp:extent cx="603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-1490980</wp:posOffset>
            </wp:positionV>
            <wp:extent cx="603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-1490980</wp:posOffset>
            </wp:positionV>
            <wp:extent cx="596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-1490980</wp:posOffset>
            </wp:positionV>
            <wp:extent cx="603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-1490980</wp:posOffset>
            </wp:positionV>
            <wp:extent cx="603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-1490980</wp:posOffset>
            </wp:positionV>
            <wp:extent cx="603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-1490980</wp:posOffset>
            </wp:positionV>
            <wp:extent cx="596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-1490980</wp:posOffset>
            </wp:positionV>
            <wp:extent cx="603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-325120</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-325120</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-325120</wp:posOffset>
            </wp:positionV>
            <wp:extent cx="60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-119380</wp:posOffset>
            </wp:positionV>
            <wp:extent cx="603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23"/>
        </w:numPr>
        <w:rPr>
          <w:rFonts w:ascii="Arial" w:cs="Arial" w:eastAsia="Arial" w:hAnsi="Arial"/>
          <w:sz w:val="17"/>
          <w:szCs w:val="17"/>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jc w:val="right"/>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9" w:right="10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2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46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2380" w:type="dxa"/>
            <w:vAlign w:val="bottom"/>
            <w:tcBorders>
              <w:right w:val="single" w:sz="8" w:color="D9D9D9"/>
            </w:tcBorders>
            <w:gridSpan w:val="9"/>
            <w:shd w:val="clear" w:color="auto" w:fill="D9D9D9"/>
          </w:tcPr>
          <w:p>
            <w:pPr>
              <w:jc w:val="right"/>
              <w:ind w:right="300"/>
              <w:spacing w:after="0"/>
              <w:rPr>
                <w:sz w:val="20"/>
                <w:szCs w:val="20"/>
                <w:color w:val="auto"/>
              </w:rPr>
            </w:pPr>
            <w:r>
              <w:rPr>
                <w:rFonts w:ascii="Arial" w:cs="Arial" w:eastAsia="Arial" w:hAnsi="Arial"/>
                <w:sz w:val="11"/>
                <w:szCs w:val="11"/>
                <w:b w:val="1"/>
                <w:bCs w:val="1"/>
                <w:color w:val="auto"/>
              </w:rPr>
              <w:t>YEAR ENDED DECEMBER 31, 2025</w:t>
            </w:r>
          </w:p>
        </w:tc>
        <w:tc>
          <w:tcPr>
            <w:tcW w:w="10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46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tcPr>
          <w:p>
            <w:pPr>
              <w:jc w:val="right"/>
              <w:ind w:right="100"/>
              <w:spacing w:after="0" w:line="122" w:lineRule="exact"/>
              <w:rPr>
                <w:sz w:val="20"/>
                <w:szCs w:val="20"/>
                <w:color w:val="auto"/>
              </w:rPr>
            </w:pPr>
            <w:r>
              <w:rPr>
                <w:rFonts w:ascii="Arial" w:cs="Arial" w:eastAsia="Arial" w:hAnsi="Arial"/>
                <w:sz w:val="11"/>
                <w:szCs w:val="11"/>
                <w:b w:val="1"/>
                <w:bCs w:val="1"/>
                <w:color w:val="auto"/>
              </w:rPr>
              <w:t>Adjustments</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jc w:val="right"/>
              <w:ind w:right="297"/>
              <w:spacing w:after="0" w:line="122" w:lineRule="exact"/>
              <w:rPr>
                <w:sz w:val="20"/>
                <w:szCs w:val="20"/>
                <w:color w:val="auto"/>
              </w:rPr>
            </w:pPr>
            <w:r>
              <w:rPr>
                <w:rFonts w:ascii="Arial" w:cs="Arial" w:eastAsia="Arial" w:hAnsi="Arial"/>
                <w:sz w:val="11"/>
                <w:szCs w:val="11"/>
                <w:b w:val="1"/>
                <w:bCs w:val="1"/>
                <w:color w:val="auto"/>
              </w:rPr>
              <w:t>Reportable Segments</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jc w:val="center"/>
              <w:ind w:right="200"/>
              <w:spacing w:after="0" w:line="102" w:lineRule="exact"/>
              <w:rPr>
                <w:sz w:val="20"/>
                <w:szCs w:val="20"/>
                <w:color w:val="auto"/>
              </w:rPr>
            </w:pPr>
            <w:r>
              <w:rPr>
                <w:rFonts w:ascii="Arial" w:cs="Arial" w:eastAsia="Arial" w:hAnsi="Arial"/>
                <w:sz w:val="11"/>
                <w:szCs w:val="11"/>
                <w:b w:val="1"/>
                <w:bCs w:val="1"/>
                <w:color w:val="auto"/>
              </w:rPr>
              <w:t>Additions/</w:t>
            </w:r>
          </w:p>
        </w:tc>
        <w:tc>
          <w:tcPr>
            <w:tcW w:w="160" w:type="dxa"/>
            <w:vAlign w:val="bottom"/>
          </w:tcPr>
          <w:p>
            <w:pPr>
              <w:spacing w:after="0"/>
              <w:rPr>
                <w:sz w:val="8"/>
                <w:szCs w:val="8"/>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96"/>
              </w:rPr>
              <w:t>Federal</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Total</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1"/>
                <w:szCs w:val="11"/>
                <w:b w:val="1"/>
                <w:bCs w:val="1"/>
                <w:color w:val="auto"/>
              </w:rPr>
              <w:t>Reclassi-</w:t>
            </w:r>
          </w:p>
        </w:tc>
        <w:tc>
          <w:tcPr>
            <w:tcW w:w="100" w:type="dxa"/>
            <w:vAlign w:val="bottom"/>
          </w:tcPr>
          <w:p>
            <w:pPr>
              <w:spacing w:after="0"/>
              <w:rPr>
                <w:sz w:val="2"/>
                <w:szCs w:val="2"/>
                <w:color w:val="auto"/>
              </w:rPr>
            </w:pPr>
          </w:p>
        </w:tc>
        <w:tc>
          <w:tcPr>
            <w:tcW w:w="74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97"/>
              </w:rPr>
              <w:t>(Subtracti</w:t>
            </w:r>
          </w:p>
        </w:tc>
        <w:tc>
          <w:tcPr>
            <w:tcW w:w="1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1"/>
                <w:szCs w:val="11"/>
                <w:b w:val="1"/>
                <w:bCs w:val="1"/>
                <w:color w:val="auto"/>
              </w:rPr>
              <w:t>Core</w:t>
            </w:r>
          </w:p>
        </w:tc>
        <w:tc>
          <w:tcPr>
            <w:tcW w:w="60" w:type="dxa"/>
            <w:vAlign w:val="bottom"/>
          </w:tcPr>
          <w:p>
            <w:pPr>
              <w:spacing w:after="0"/>
              <w:rPr>
                <w:sz w:val="2"/>
                <w:szCs w:val="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7"/>
              </w:rPr>
              <w:t>Education</w:t>
            </w:r>
          </w:p>
        </w:tc>
        <w:tc>
          <w:tcPr>
            <w:tcW w:w="100" w:type="dxa"/>
            <w:vAlign w:val="bottom"/>
          </w:tcPr>
          <w:p>
            <w:pPr>
              <w:spacing w:after="0"/>
              <w:rPr>
                <w:sz w:val="2"/>
                <w:szCs w:val="2"/>
                <w:color w:val="auto"/>
              </w:rPr>
            </w:pPr>
          </w:p>
        </w:tc>
        <w:tc>
          <w:tcPr>
            <w:tcW w:w="72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w w:val="99"/>
              </w:rPr>
              <w:t>Consumer</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restart"/>
          </w:tcPr>
          <w:p>
            <w:pPr>
              <w:jc w:val="right"/>
              <w:ind w:right="77"/>
              <w:spacing w:after="0"/>
              <w:rPr>
                <w:sz w:val="20"/>
                <w:szCs w:val="20"/>
                <w:color w:val="auto"/>
              </w:rPr>
            </w:pPr>
            <w:r>
              <w:rPr>
                <w:rFonts w:ascii="Arial" w:cs="Arial" w:eastAsia="Arial" w:hAnsi="Arial"/>
                <w:sz w:val="11"/>
                <w:szCs w:val="11"/>
                <w:b w:val="1"/>
                <w:bCs w:val="1"/>
                <w:color w:val="auto"/>
                <w:w w:val="93"/>
              </w:rPr>
              <w:t>Business</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4"/>
                <w:szCs w:val="14"/>
                <w:b w:val="1"/>
                <w:bCs w:val="1"/>
                <w:color w:val="auto"/>
                <w:vertAlign w:val="superscript"/>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9"/>
                <w:szCs w:val="9"/>
                <w:color w:val="auto"/>
              </w:rPr>
            </w:pPr>
          </w:p>
        </w:tc>
        <w:tc>
          <w:tcPr>
            <w:tcW w:w="720" w:type="dxa"/>
            <w:vAlign w:val="bottom"/>
            <w:gridSpan w:val="2"/>
          </w:tcPr>
          <w:p>
            <w:pPr>
              <w:jc w:val="right"/>
              <w:ind w:right="360"/>
              <w:spacing w:after="0" w:line="108" w:lineRule="exact"/>
              <w:rPr>
                <w:sz w:val="20"/>
                <w:szCs w:val="20"/>
                <w:color w:val="auto"/>
              </w:rPr>
            </w:pPr>
            <w:r>
              <w:rPr>
                <w:rFonts w:ascii="Arial" w:cs="Arial" w:eastAsia="Arial" w:hAnsi="Arial"/>
                <w:sz w:val="11"/>
                <w:szCs w:val="11"/>
                <w:b w:val="1"/>
                <w:bCs w:val="1"/>
                <w:color w:val="auto"/>
              </w:rPr>
              <w:t>GAAP</w:t>
            </w:r>
          </w:p>
        </w:tc>
        <w:tc>
          <w:tcPr>
            <w:tcW w:w="60" w:type="dxa"/>
            <w:vAlign w:val="bottom"/>
          </w:tcPr>
          <w:p>
            <w:pPr>
              <w:spacing w:after="0"/>
              <w:rPr>
                <w:sz w:val="9"/>
                <w:szCs w:val="9"/>
                <w:color w:val="auto"/>
              </w:rPr>
            </w:pP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1"/>
                <w:szCs w:val="11"/>
                <w:b w:val="1"/>
                <w:bCs w:val="1"/>
                <w:color w:val="auto"/>
                <w:w w:val="92"/>
              </w:rPr>
              <w:t>fications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4"/>
              </w:rPr>
              <w:t>ons)</w:t>
            </w:r>
          </w:p>
        </w:tc>
        <w:tc>
          <w:tcPr>
            <w:tcW w:w="160" w:type="dxa"/>
            <w:vAlign w:val="bottom"/>
          </w:tcPr>
          <w:p>
            <w:pPr>
              <w:spacing w:after="0"/>
              <w:rPr>
                <w:sz w:val="9"/>
                <w:szCs w:val="9"/>
                <w:color w:val="auto"/>
              </w:rPr>
            </w:pPr>
          </w:p>
        </w:tc>
        <w:tc>
          <w:tcPr>
            <w:tcW w:w="540" w:type="dxa"/>
            <w:vAlign w:val="bottom"/>
          </w:tcPr>
          <w:p>
            <w:pPr>
              <w:jc w:val="right"/>
              <w:ind w:right="261"/>
              <w:spacing w:after="0"/>
              <w:rPr>
                <w:sz w:val="20"/>
                <w:szCs w:val="20"/>
                <w:color w:val="auto"/>
              </w:rPr>
            </w:pPr>
            <w:r>
              <w:rPr>
                <w:rFonts w:ascii="Arial" w:cs="Arial" w:eastAsia="Arial" w:hAnsi="Arial"/>
                <w:sz w:val="7"/>
                <w:szCs w:val="7"/>
                <w:b w:val="1"/>
                <w:bCs w:val="1"/>
                <w:color w:val="auto"/>
              </w:rPr>
              <w:t>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right w:val="single" w:sz="8" w:color="auto"/>
            </w:tcBorders>
            <w:gridSpan w:val="3"/>
          </w:tcPr>
          <w:p>
            <w:pPr>
              <w:jc w:val="right"/>
              <w:ind w:right="260"/>
              <w:spacing w:after="0" w:line="108" w:lineRule="exact"/>
              <w:rPr>
                <w:sz w:val="20"/>
                <w:szCs w:val="20"/>
                <w:color w:val="auto"/>
              </w:rPr>
            </w:pPr>
            <w:r>
              <w:rPr>
                <w:rFonts w:ascii="Arial" w:cs="Arial" w:eastAsia="Arial" w:hAnsi="Arial"/>
                <w:sz w:val="11"/>
                <w:szCs w:val="11"/>
                <w:b w:val="1"/>
                <w:bCs w:val="1"/>
                <w:color w:val="auto"/>
              </w:rPr>
              <w:t>Earnings</w:t>
            </w:r>
          </w:p>
        </w:tc>
        <w:tc>
          <w:tcPr>
            <w:tcW w:w="60" w:type="dxa"/>
            <w:vAlign w:val="bottom"/>
          </w:tcPr>
          <w:p>
            <w:pPr>
              <w:spacing w:after="0"/>
              <w:rPr>
                <w:sz w:val="9"/>
                <w:szCs w:val="9"/>
                <w:color w:val="auto"/>
              </w:rPr>
            </w:pPr>
          </w:p>
        </w:tc>
        <w:tc>
          <w:tcPr>
            <w:tcW w:w="8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9"/>
                <w:szCs w:val="9"/>
                <w:color w:val="auto"/>
              </w:rPr>
            </w:pPr>
          </w:p>
        </w:tc>
        <w:tc>
          <w:tcPr>
            <w:tcW w:w="720" w:type="dxa"/>
            <w:vAlign w:val="bottom"/>
          </w:tcPr>
          <w:p>
            <w:pPr>
              <w:jc w:val="right"/>
              <w:ind w:right="138"/>
              <w:spacing w:after="0" w:line="108" w:lineRule="exact"/>
              <w:rPr>
                <w:sz w:val="20"/>
                <w:szCs w:val="20"/>
                <w:color w:val="auto"/>
              </w:rPr>
            </w:pPr>
            <w:r>
              <w:rPr>
                <w:rFonts w:ascii="Arial" w:cs="Arial" w:eastAsia="Arial" w:hAnsi="Arial"/>
                <w:sz w:val="11"/>
                <w:szCs w:val="11"/>
                <w:b w:val="1"/>
                <w:bCs w:val="1"/>
                <w:color w:val="auto"/>
              </w:rPr>
              <w:t>Lending</w:t>
            </w:r>
          </w:p>
        </w:tc>
        <w:tc>
          <w:tcPr>
            <w:tcW w:w="200" w:type="dxa"/>
            <w:vAlign w:val="bottom"/>
          </w:tcPr>
          <w:p>
            <w:pPr>
              <w:spacing w:after="0"/>
              <w:rPr>
                <w:sz w:val="9"/>
                <w:szCs w:val="9"/>
                <w:color w:val="auto"/>
              </w:rPr>
            </w:pPr>
          </w:p>
        </w:tc>
        <w:tc>
          <w:tcPr>
            <w:tcW w:w="700" w:type="dxa"/>
            <w:vAlign w:val="bottom"/>
            <w:gridSpan w:val="2"/>
          </w:tcPr>
          <w:p>
            <w:pPr>
              <w:jc w:val="right"/>
              <w:spacing w:after="0" w:line="108" w:lineRule="exact"/>
              <w:rPr>
                <w:sz w:val="20"/>
                <w:szCs w:val="20"/>
                <w:color w:val="auto"/>
              </w:rPr>
            </w:pPr>
            <w:r>
              <w:rPr>
                <w:rFonts w:ascii="Arial" w:cs="Arial" w:eastAsia="Arial" w:hAnsi="Arial"/>
                <w:sz w:val="11"/>
                <w:szCs w:val="11"/>
                <w:b w:val="1"/>
                <w:bCs w:val="1"/>
                <w:color w:val="auto"/>
              </w:rPr>
              <w:t>Processing</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15"/>
        </w:trPr>
        <w:tc>
          <w:tcPr>
            <w:tcW w:w="1000" w:type="dxa"/>
            <w:vAlign w:val="bottom"/>
            <w:tcBorders>
              <w:top w:val="single" w:sz="8" w:color="auto"/>
            </w:tcBorders>
            <w:shd w:val="clear" w:color="auto" w:fill="CFF0FC"/>
          </w:tcPr>
          <w:p>
            <w:pPr>
              <w:spacing w:after="0" w:line="115" w:lineRule="exact"/>
              <w:rPr>
                <w:sz w:val="20"/>
                <w:szCs w:val="20"/>
                <w:color w:val="auto"/>
              </w:rPr>
            </w:pPr>
            <w:r>
              <w:rPr>
                <w:rFonts w:ascii="Arial" w:cs="Arial" w:eastAsia="Arial" w:hAnsi="Arial"/>
                <w:sz w:val="11"/>
                <w:szCs w:val="11"/>
                <w:color w:val="auto"/>
              </w:rPr>
              <w:t>Interest income:</w:t>
            </w:r>
          </w:p>
        </w:tc>
        <w:tc>
          <w:tcPr>
            <w:tcW w:w="1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tcBorders>
              <w:right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ind w:left="80"/>
              <w:spacing w:after="0"/>
              <w:rPr>
                <w:sz w:val="20"/>
                <w:szCs w:val="20"/>
                <w:color w:val="auto"/>
              </w:rPr>
            </w:pPr>
            <w:r>
              <w:rPr>
                <w:rFonts w:ascii="Arial" w:cs="Arial" w:eastAsia="Arial" w:hAnsi="Arial"/>
                <w:sz w:val="11"/>
                <w:szCs w:val="11"/>
                <w:color w:val="auto"/>
              </w:rPr>
              <w:t>Education loans</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3,025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1,903</w:t>
            </w:r>
          </w:p>
        </w:tc>
        <w:tc>
          <w:tcPr>
            <w:tcW w:w="18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1,122</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4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1"/>
                <w:szCs w:val="11"/>
                <w:color w:val="auto"/>
              </w:rPr>
              <w:t>Cash and investments</w:t>
            </w: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83</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39</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20</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gridSpan w:val="2"/>
          </w:tcPr>
          <w:p>
            <w:pPr>
              <w:spacing w:after="0"/>
              <w:rPr>
                <w:sz w:val="20"/>
                <w:szCs w:val="20"/>
                <w:color w:val="auto"/>
              </w:rPr>
            </w:pPr>
            <w:r>
              <w:rPr>
                <w:rFonts w:ascii="Arial" w:cs="Arial" w:eastAsia="Arial" w:hAnsi="Arial"/>
                <w:sz w:val="11"/>
                <w:szCs w:val="11"/>
                <w:color w:val="auto"/>
              </w:rPr>
              <w:t>Total interest income</w:t>
            </w: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3,108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1,942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1,142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1"/>
                <w:szCs w:val="11"/>
                <w:color w:val="auto"/>
              </w:rPr>
              <w:t>Total interest expense</w:t>
            </w: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2,589</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1,730</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731</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96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240" w:type="dxa"/>
            <w:vAlign w:val="bottom"/>
            <w:gridSpan w:val="2"/>
          </w:tcPr>
          <w:p>
            <w:pPr>
              <w:spacing w:after="0" w:line="102" w:lineRule="exact"/>
              <w:rPr>
                <w:sz w:val="20"/>
                <w:szCs w:val="20"/>
                <w:color w:val="auto"/>
              </w:rPr>
            </w:pPr>
            <w:r>
              <w:rPr>
                <w:rFonts w:ascii="Arial" w:cs="Arial" w:eastAsia="Arial" w:hAnsi="Arial"/>
                <w:sz w:val="11"/>
                <w:szCs w:val="11"/>
                <w:color w:val="auto"/>
              </w:rPr>
              <w:t>Net interest income</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519</w:t>
            </w:r>
          </w:p>
        </w:tc>
        <w:tc>
          <w:tcPr>
            <w:tcW w:w="22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8"/>
                <w:szCs w:val="8"/>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8"/>
                <w:szCs w:val="8"/>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551</w:t>
            </w:r>
          </w:p>
        </w:tc>
        <w:tc>
          <w:tcPr>
            <w:tcW w:w="2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212</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411</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240" w:type="dxa"/>
            <w:vAlign w:val="bottom"/>
            <w:gridSpan w:val="2"/>
          </w:tcPr>
          <w:p>
            <w:pPr>
              <w:ind w:left="100"/>
              <w:spacing w:after="0"/>
              <w:rPr>
                <w:sz w:val="20"/>
                <w:szCs w:val="20"/>
                <w:color w:val="auto"/>
              </w:rPr>
            </w:pPr>
            <w:r>
              <w:rPr>
                <w:rFonts w:ascii="Arial" w:cs="Arial" w:eastAsia="Arial" w:hAnsi="Arial"/>
                <w:sz w:val="11"/>
                <w:szCs w:val="11"/>
                <w:color w:val="auto"/>
              </w:rPr>
              <w:t>(loss)</w:t>
            </w: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gridSpan w:val="2"/>
            <w:shd w:val="clear" w:color="auto" w:fill="CFF0FC"/>
          </w:tcPr>
          <w:p>
            <w:pPr>
              <w:spacing w:after="0" w:line="109" w:lineRule="exact"/>
              <w:rPr>
                <w:sz w:val="20"/>
                <w:szCs w:val="20"/>
                <w:color w:val="auto"/>
              </w:rPr>
            </w:pPr>
            <w:r>
              <w:rPr>
                <w:rFonts w:ascii="Arial" w:cs="Arial" w:eastAsia="Arial" w:hAnsi="Arial"/>
                <w:sz w:val="11"/>
                <w:szCs w:val="11"/>
                <w:color w:val="auto"/>
              </w:rPr>
              <w:t>Less: provisions for loan</w:t>
            </w: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280</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280</w:t>
            </w:r>
          </w:p>
        </w:tc>
        <w:tc>
          <w:tcPr>
            <w:tcW w:w="20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8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249</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24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losses</w:t>
            </w:r>
          </w:p>
        </w:tc>
        <w:tc>
          <w:tcPr>
            <w:tcW w:w="100" w:type="dxa"/>
            <w:vAlign w:val="bottom"/>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20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240" w:type="dxa"/>
            <w:vAlign w:val="bottom"/>
            <w:tcBorders>
              <w:top w:val="single" w:sz="8" w:color="CFF0FC"/>
            </w:tcBorders>
            <w:gridSpan w:val="2"/>
          </w:tcPr>
          <w:p>
            <w:pPr>
              <w:spacing w:after="0" w:line="102" w:lineRule="exact"/>
              <w:rPr>
                <w:sz w:val="20"/>
                <w:szCs w:val="20"/>
                <w:color w:val="auto"/>
              </w:rPr>
            </w:pPr>
            <w:r>
              <w:rPr>
                <w:rFonts w:ascii="Arial" w:cs="Arial" w:eastAsia="Arial" w:hAnsi="Arial"/>
                <w:sz w:val="11"/>
                <w:szCs w:val="11"/>
                <w:color w:val="auto"/>
              </w:rPr>
              <w:t>Net interest income</w:t>
            </w: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Borders>
              <w:top w:val="single" w:sz="8" w:color="CFF0FC"/>
              <w:right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(loss) after provisions</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239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181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240" w:type="dxa"/>
            <w:vAlign w:val="bottom"/>
            <w:gridSpan w:val="2"/>
          </w:tcPr>
          <w:p>
            <w:pPr>
              <w:ind w:left="100"/>
              <w:spacing w:after="0"/>
              <w:rPr>
                <w:sz w:val="20"/>
                <w:szCs w:val="20"/>
                <w:color w:val="auto"/>
              </w:rPr>
            </w:pPr>
            <w:r>
              <w:rPr>
                <w:rFonts w:ascii="Arial" w:cs="Arial" w:eastAsia="Arial" w:hAnsi="Arial"/>
                <w:sz w:val="11"/>
                <w:szCs w:val="11"/>
                <w:color w:val="auto"/>
              </w:rPr>
              <w:t>for loan losses</w:t>
            </w: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Other income (loss):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ind w:left="80"/>
              <w:spacing w:after="0"/>
              <w:rPr>
                <w:sz w:val="20"/>
                <w:szCs w:val="20"/>
                <w:color w:val="auto"/>
              </w:rPr>
            </w:pPr>
            <w:r>
              <w:rPr>
                <w:rFonts w:ascii="Arial" w:cs="Arial" w:eastAsia="Arial" w:hAnsi="Arial"/>
                <w:sz w:val="11"/>
                <w:szCs w:val="11"/>
                <w:color w:val="auto"/>
              </w:rPr>
              <w:t>Servicing revenue</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2240" w:type="dxa"/>
            <w:vAlign w:val="bottom"/>
            <w:gridSpan w:val="2"/>
            <w:shd w:val="clear" w:color="auto" w:fill="CFF0FC"/>
          </w:tcPr>
          <w:p>
            <w:pPr>
              <w:ind w:left="80"/>
              <w:spacing w:after="0" w:line="109" w:lineRule="exact"/>
              <w:rPr>
                <w:sz w:val="20"/>
                <w:szCs w:val="20"/>
                <w:color w:val="auto"/>
              </w:rPr>
            </w:pPr>
            <w:r>
              <w:rPr>
                <w:rFonts w:ascii="Arial" w:cs="Arial" w:eastAsia="Arial" w:hAnsi="Arial"/>
                <w:sz w:val="11"/>
                <w:szCs w:val="11"/>
                <w:color w:val="auto"/>
              </w:rPr>
              <w:t>Asset recovery and</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gridSpan w:val="2"/>
            <w:shd w:val="clear" w:color="auto" w:fill="CFF0FC"/>
          </w:tcPr>
          <w:p>
            <w:pPr>
              <w:ind w:left="160"/>
              <w:spacing w:after="0" w:line="122" w:lineRule="exact"/>
              <w:rPr>
                <w:sz w:val="20"/>
                <w:szCs w:val="20"/>
                <w:color w:val="auto"/>
              </w:rPr>
            </w:pPr>
            <w:r>
              <w:rPr>
                <w:rFonts w:ascii="Arial" w:cs="Arial" w:eastAsia="Arial" w:hAnsi="Arial"/>
                <w:sz w:val="11"/>
                <w:szCs w:val="11"/>
                <w:color w:val="auto"/>
              </w:rPr>
              <w:t>business processing</w:t>
            </w: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revenue</w:t>
            </w:r>
          </w:p>
        </w:tc>
        <w:tc>
          <w:tcPr>
            <w:tcW w:w="10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ind w:left="80"/>
              <w:spacing w:after="0"/>
              <w:rPr>
                <w:sz w:val="20"/>
                <w:szCs w:val="20"/>
                <w:color w:val="auto"/>
              </w:rPr>
            </w:pPr>
            <w:r>
              <w:rPr>
                <w:rFonts w:ascii="Arial" w:cs="Arial" w:eastAsia="Arial" w:hAnsi="Arial"/>
                <w:sz w:val="11"/>
                <w:szCs w:val="11"/>
                <w:color w:val="auto"/>
              </w:rPr>
              <w:t>Other revenue (loss)</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2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Total other income (loss)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(18)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48</w:t>
            </w:r>
          </w:p>
        </w:tc>
        <w:tc>
          <w:tcPr>
            <w:tcW w:w="1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121</w:t>
            </w:r>
          </w:p>
        </w:tc>
        <w:tc>
          <w:tcPr>
            <w:tcW w:w="20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39</w:t>
            </w: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23</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Expenses: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gridSpan w:val="2"/>
            <w:shd w:val="clear" w:color="auto" w:fill="CFF0FC"/>
          </w:tcPr>
          <w:p>
            <w:pPr>
              <w:ind w:left="80"/>
              <w:spacing w:after="0" w:line="109" w:lineRule="exact"/>
              <w:rPr>
                <w:sz w:val="20"/>
                <w:szCs w:val="20"/>
                <w:color w:val="auto"/>
              </w:rPr>
            </w:pPr>
            <w:r>
              <w:rPr>
                <w:rFonts w:ascii="Arial" w:cs="Arial" w:eastAsia="Arial" w:hAnsi="Arial"/>
                <w:sz w:val="11"/>
                <w:szCs w:val="11"/>
                <w:color w:val="auto"/>
              </w:rPr>
              <w:t>Direct operating</w:t>
            </w: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20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18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147</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expenses</w:t>
            </w:r>
          </w:p>
        </w:tc>
        <w:tc>
          <w:tcPr>
            <w:tcW w:w="10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gridSpan w:val="2"/>
          </w:tcPr>
          <w:p>
            <w:pPr>
              <w:ind w:left="80"/>
              <w:spacing w:after="0" w:line="109" w:lineRule="exact"/>
              <w:rPr>
                <w:sz w:val="20"/>
                <w:szCs w:val="20"/>
                <w:color w:val="auto"/>
              </w:rPr>
            </w:pPr>
            <w:r>
              <w:rPr>
                <w:rFonts w:ascii="Arial" w:cs="Arial" w:eastAsia="Arial" w:hAnsi="Arial"/>
                <w:sz w:val="11"/>
                <w:szCs w:val="11"/>
                <w:color w:val="auto"/>
              </w:rPr>
              <w:t>Unallocated shared</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2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4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services expenses</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Operating expenses</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421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right w:val="single" w:sz="8" w:color="CFF0FC"/>
            </w:tcBorders>
            <w:gridSpan w:val="2"/>
            <w:shd w:val="clear" w:color="auto" w:fill="CFF0FC"/>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421</w:t>
            </w:r>
          </w:p>
        </w:tc>
        <w:tc>
          <w:tcPr>
            <w:tcW w:w="20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70</w:t>
            </w: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147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gridSpan w:val="2"/>
          </w:tcPr>
          <w:p>
            <w:pPr>
              <w:ind w:left="80"/>
              <w:spacing w:after="0" w:line="109" w:lineRule="exact"/>
              <w:rPr>
                <w:sz w:val="20"/>
                <w:szCs w:val="20"/>
                <w:color w:val="auto"/>
              </w:rPr>
            </w:pPr>
            <w:r>
              <w:rPr>
                <w:rFonts w:ascii="Arial" w:cs="Arial" w:eastAsia="Arial" w:hAnsi="Arial"/>
                <w:sz w:val="11"/>
                <w:szCs w:val="11"/>
                <w:color w:val="auto"/>
              </w:rPr>
              <w:t>Goodwill and acquired</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intangible asset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impairment and</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40" w:type="dxa"/>
            <w:vAlign w:val="bottom"/>
            <w:gridSpan w:val="2"/>
          </w:tcPr>
          <w:p>
            <w:pPr>
              <w:ind w:left="160"/>
              <w:spacing w:after="0"/>
              <w:rPr>
                <w:sz w:val="20"/>
                <w:szCs w:val="20"/>
                <w:color w:val="auto"/>
              </w:rPr>
            </w:pPr>
            <w:r>
              <w:rPr>
                <w:rFonts w:ascii="Arial" w:cs="Arial" w:eastAsia="Arial" w:hAnsi="Arial"/>
                <w:sz w:val="11"/>
                <w:szCs w:val="11"/>
                <w:color w:val="auto"/>
              </w:rPr>
              <w:t>amortization</w:t>
            </w: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gridSpan w:val="2"/>
            <w:shd w:val="clear" w:color="auto" w:fill="CFF0FC"/>
          </w:tcPr>
          <w:p>
            <w:pPr>
              <w:ind w:left="80"/>
              <w:spacing w:after="0" w:line="109" w:lineRule="exact"/>
              <w:rPr>
                <w:sz w:val="20"/>
                <w:szCs w:val="20"/>
                <w:color w:val="auto"/>
              </w:rPr>
            </w:pPr>
            <w:r>
              <w:rPr>
                <w:rFonts w:ascii="Arial" w:cs="Arial" w:eastAsia="Arial" w:hAnsi="Arial"/>
                <w:sz w:val="11"/>
                <w:szCs w:val="11"/>
                <w:color w:val="auto"/>
              </w:rPr>
              <w:t>Restructuring/other</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gridSpan w:val="2"/>
            <w:shd w:val="clear" w:color="auto" w:fill="CFF0FC"/>
          </w:tcPr>
          <w:p>
            <w:pPr>
              <w:ind w:left="160"/>
              <w:spacing w:after="0" w:line="122" w:lineRule="exact"/>
              <w:rPr>
                <w:sz w:val="20"/>
                <w:szCs w:val="20"/>
                <w:color w:val="auto"/>
              </w:rPr>
            </w:pPr>
            <w:r>
              <w:rPr>
                <w:rFonts w:ascii="Arial" w:cs="Arial" w:eastAsia="Arial" w:hAnsi="Arial"/>
                <w:sz w:val="11"/>
                <w:szCs w:val="11"/>
                <w:color w:val="auto"/>
              </w:rPr>
              <w:t>reorganization</w:t>
            </w: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vMerge w:val="restart"/>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0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tcBorders>
              <w:bottom w:val="single" w:sz="8" w:color="CFF0FC"/>
            </w:tcBorders>
            <w:gridSpan w:val="2"/>
            <w:shd w:val="clear" w:color="auto" w:fill="CFF0FC"/>
          </w:tcPr>
          <w:p>
            <w:pPr>
              <w:ind w:left="160"/>
              <w:spacing w:after="0" w:line="122" w:lineRule="exact"/>
              <w:rPr>
                <w:sz w:val="20"/>
                <w:szCs w:val="20"/>
                <w:color w:val="auto"/>
              </w:rPr>
            </w:pPr>
            <w:r>
              <w:rPr>
                <w:rFonts w:ascii="Arial" w:cs="Arial" w:eastAsia="Arial" w:hAnsi="Arial"/>
                <w:sz w:val="11"/>
                <w:szCs w:val="11"/>
                <w:color w:val="auto"/>
              </w:rPr>
              <w:t>expenses</w:t>
            </w:r>
          </w:p>
        </w:tc>
        <w:tc>
          <w:tcPr>
            <w:tcW w:w="10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180" w:type="dxa"/>
            <w:vAlign w:val="bottom"/>
            <w:tcBorders>
              <w:bottom w:val="single" w:sz="8" w:color="CFF0FC"/>
              <w:right w:val="single" w:sz="8" w:color="CFF0FC"/>
            </w:tcBorders>
            <w:vMerge w:val="continue"/>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right w:val="single" w:sz="8" w:color="auto"/>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vMerge w:val="continue"/>
            <w:shd w:val="clear" w:color="auto" w:fill="CFF0FC"/>
          </w:tcPr>
          <w:p>
            <w:pPr>
              <w:spacing w:after="0"/>
              <w:rPr>
                <w:sz w:val="10"/>
                <w:szCs w:val="10"/>
                <w:color w:val="auto"/>
              </w:rPr>
            </w:pPr>
          </w:p>
        </w:tc>
        <w:tc>
          <w:tcPr>
            <w:tcW w:w="180" w:type="dxa"/>
            <w:vAlign w:val="bottom"/>
            <w:tcBorders>
              <w:bottom w:val="single" w:sz="8" w:color="CFF0FC"/>
              <w:right w:val="single" w:sz="8" w:color="CFF0FC"/>
            </w:tcBorders>
            <w:vMerge w:val="continue"/>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240" w:type="dxa"/>
            <w:vAlign w:val="bottom"/>
            <w:gridSpan w:val="2"/>
          </w:tcPr>
          <w:p>
            <w:pPr>
              <w:spacing w:after="0"/>
              <w:rPr>
                <w:sz w:val="20"/>
                <w:szCs w:val="20"/>
                <w:color w:val="auto"/>
              </w:rPr>
            </w:pPr>
            <w:r>
              <w:rPr>
                <w:rFonts w:ascii="Arial" w:cs="Arial" w:eastAsia="Arial" w:hAnsi="Arial"/>
                <w:sz w:val="11"/>
                <w:szCs w:val="11"/>
                <w:color w:val="auto"/>
              </w:rPr>
              <w:t>Total expenses</w:t>
            </w: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441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438</w:t>
            </w: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70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147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240" w:type="dxa"/>
            <w:vAlign w:val="bottom"/>
            <w:gridSpan w:val="2"/>
            <w:shd w:val="clear" w:color="auto" w:fill="CFF0FC"/>
          </w:tcPr>
          <w:p>
            <w:pPr>
              <w:spacing w:after="0" w:line="102" w:lineRule="exact"/>
              <w:rPr>
                <w:sz w:val="20"/>
                <w:szCs w:val="20"/>
                <w:color w:val="auto"/>
              </w:rPr>
            </w:pPr>
            <w:r>
              <w:rPr>
                <w:rFonts w:ascii="Arial" w:cs="Arial" w:eastAsia="Arial" w:hAnsi="Arial"/>
                <w:sz w:val="11"/>
                <w:szCs w:val="11"/>
                <w:color w:val="auto"/>
              </w:rPr>
              <w:t>Income (loss) before</w:t>
            </w:r>
          </w:p>
        </w:tc>
        <w:tc>
          <w:tcPr>
            <w:tcW w:w="10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200" w:type="dxa"/>
            <w:vAlign w:val="bottom"/>
            <w:tcBorders>
              <w:right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4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income tax expense</w:t>
            </w: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(111)</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8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(46)</w:t>
            </w:r>
          </w:p>
        </w:tc>
        <w:tc>
          <w:tcPr>
            <w:tcW w:w="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150</w:t>
            </w:r>
          </w:p>
        </w:tc>
        <w:tc>
          <w:tcPr>
            <w:tcW w:w="1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(benefit)</w:t>
            </w:r>
          </w:p>
        </w:tc>
        <w:tc>
          <w:tcPr>
            <w:tcW w:w="10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tcBorders>
              <w:right w:val="single" w:sz="8" w:color="auto"/>
            </w:tcBorders>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40" w:type="dxa"/>
            <w:vAlign w:val="bottom"/>
            <w:gridSpan w:val="2"/>
          </w:tcPr>
          <w:p>
            <w:pPr>
              <w:spacing w:after="0" w:line="95" w:lineRule="exact"/>
              <w:rPr>
                <w:sz w:val="20"/>
                <w:szCs w:val="20"/>
                <w:color w:val="auto"/>
              </w:rPr>
            </w:pPr>
            <w:r>
              <w:rPr>
                <w:rFonts w:ascii="Arial" w:cs="Arial" w:eastAsia="Arial" w:hAnsi="Arial"/>
                <w:sz w:val="10"/>
                <w:szCs w:val="10"/>
                <w:color w:val="auto"/>
              </w:rPr>
              <w:t>Income tax expense</w:t>
            </w:r>
          </w:p>
        </w:tc>
        <w:tc>
          <w:tcPr>
            <w:tcW w:w="100" w:type="dxa"/>
            <w:vAlign w:val="bottom"/>
          </w:tcPr>
          <w:p>
            <w:pPr>
              <w:spacing w:after="0"/>
              <w:rPr>
                <w:sz w:val="8"/>
                <w:szCs w:val="8"/>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(31)</w:t>
            </w:r>
          </w:p>
        </w:tc>
        <w:tc>
          <w:tcPr>
            <w:tcW w:w="6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35"/>
        </w:trPr>
        <w:tc>
          <w:tcPr>
            <w:tcW w:w="2240" w:type="dxa"/>
            <w:vAlign w:val="bottom"/>
            <w:gridSpan w:val="2"/>
          </w:tcPr>
          <w:p>
            <w:pPr>
              <w:ind w:left="100"/>
              <w:spacing w:after="0" w:line="135" w:lineRule="exact"/>
              <w:rPr>
                <w:sz w:val="20"/>
                <w:szCs w:val="20"/>
                <w:color w:val="auto"/>
              </w:rPr>
            </w:pPr>
            <w:r>
              <w:rPr>
                <w:rFonts w:ascii="Arial" w:cs="Arial" w:eastAsia="Arial" w:hAnsi="Arial"/>
                <w:sz w:val="11"/>
                <w:szCs w:val="11"/>
                <w:color w:val="auto"/>
              </w:rPr>
              <w:t>(benefit)</w:t>
            </w:r>
            <w:r>
              <w:rPr>
                <w:rFonts w:ascii="Arial" w:cs="Arial" w:eastAsia="Arial" w:hAnsi="Arial"/>
                <w:sz w:val="14"/>
                <w:szCs w:val="14"/>
                <w:color w:val="auto"/>
                <w:vertAlign w:val="superscript"/>
              </w:rPr>
              <w:t>(2)</w:t>
            </w: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1"/>
                <w:szCs w:val="11"/>
                <w:color w:val="auto"/>
              </w:rPr>
              <w:t>Net income (loss)</w:t>
            </w: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(80)</w:t>
            </w: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45</w:t>
            </w: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45</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(35)</w:t>
            </w:r>
          </w:p>
        </w:tc>
        <w:tc>
          <w:tcPr>
            <w:tcW w:w="2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115</w:t>
            </w: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20</w:t>
            </w: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2</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(172)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50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000000"/>
          </w:tcPr>
          <w:p>
            <w:pPr>
              <w:spacing w:after="0" w:line="20" w:lineRule="exact"/>
              <w:rPr>
                <w:sz w:val="1"/>
                <w:szCs w:val="1"/>
                <w:color w:val="auto"/>
              </w:rPr>
            </w:pPr>
          </w:p>
        </w:tc>
        <w:tc>
          <w:tcPr>
            <w:tcW w:w="52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000000"/>
          </w:tcPr>
          <w:p>
            <w:pPr>
              <w:spacing w:after="0" w:line="20" w:lineRule="exact"/>
              <w:rPr>
                <w:sz w:val="1"/>
                <w:szCs w:val="1"/>
                <w:color w:val="auto"/>
              </w:rPr>
            </w:pPr>
          </w:p>
        </w:tc>
        <w:tc>
          <w:tcPr>
            <w:tcW w:w="64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000000"/>
          </w:tcPr>
          <w:p>
            <w:pPr>
              <w:spacing w:after="0" w:line="20" w:lineRule="exact"/>
              <w:rPr>
                <w:sz w:val="1"/>
                <w:szCs w:val="1"/>
                <w:color w:val="auto"/>
              </w:rPr>
            </w:pPr>
          </w:p>
        </w:tc>
        <w:tc>
          <w:tcPr>
            <w:tcW w:w="6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-2922270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-2922270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-2922270</wp:posOffset>
            </wp:positionV>
            <wp:extent cx="60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-2922270</wp:posOffset>
            </wp:positionV>
            <wp:extent cx="596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-2922270</wp:posOffset>
            </wp:positionV>
            <wp:extent cx="603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-2922270</wp:posOffset>
            </wp:positionV>
            <wp:extent cx="603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-2922270</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-2922270</wp:posOffset>
            </wp:positionV>
            <wp:extent cx="603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-2922270</wp:posOffset>
            </wp:positionV>
            <wp:extent cx="603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-2742565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-2742565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-2742565</wp:posOffset>
            </wp:positionV>
            <wp:extent cx="60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-2742565</wp:posOffset>
            </wp:positionV>
            <wp:extent cx="596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-2742565</wp:posOffset>
            </wp:positionV>
            <wp:extent cx="603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-2742565</wp:posOffset>
            </wp:positionV>
            <wp:extent cx="603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-2742565</wp:posOffset>
            </wp:positionV>
            <wp:extent cx="603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-2742565</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-2742565</wp:posOffset>
            </wp:positionV>
            <wp:extent cx="603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-2433955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-2433955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-2433955</wp:posOffset>
            </wp:positionV>
            <wp:extent cx="60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-2433955</wp:posOffset>
            </wp:positionV>
            <wp:extent cx="596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-2433955</wp:posOffset>
            </wp:positionV>
            <wp:extent cx="603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-2433955</wp:posOffset>
            </wp:positionV>
            <wp:extent cx="603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-2433955</wp:posOffset>
            </wp:positionV>
            <wp:extent cx="60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-2433955</wp:posOffset>
            </wp:positionV>
            <wp:extent cx="60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-2433955</wp:posOffset>
            </wp:positionV>
            <wp:extent cx="603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-599440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-599440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-599440</wp:posOffset>
            </wp:positionV>
            <wp:extent cx="60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-599440</wp:posOffset>
            </wp:positionV>
            <wp:extent cx="596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-599440</wp:posOffset>
            </wp:positionV>
            <wp:extent cx="603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-599440</wp:posOffset>
            </wp:positionV>
            <wp:extent cx="603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-599440</wp:posOffset>
            </wp:positionV>
            <wp:extent cx="603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-599440</wp:posOffset>
            </wp:positionV>
            <wp:extent cx="603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-599440</wp:posOffset>
            </wp:positionV>
            <wp:extent cx="603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-24765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-7620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-24765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-7620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-24765</wp:posOffset>
            </wp:positionV>
            <wp:extent cx="603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-7620</wp:posOffset>
            </wp:positionV>
            <wp:extent cx="603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-24765</wp:posOffset>
            </wp:positionV>
            <wp:extent cx="596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-7620</wp:posOffset>
            </wp:positionV>
            <wp:extent cx="596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-24765</wp:posOffset>
            </wp:positionV>
            <wp:extent cx="603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-7620</wp:posOffset>
            </wp:positionV>
            <wp:extent cx="603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-24765</wp:posOffset>
            </wp:positionV>
            <wp:extent cx="603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-7620</wp:posOffset>
            </wp:positionV>
            <wp:extent cx="60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-24765</wp:posOffset>
            </wp:positionV>
            <wp:extent cx="60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-7620</wp:posOffset>
            </wp:positionV>
            <wp:extent cx="603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-24765</wp:posOffset>
            </wp:positionV>
            <wp:extent cx="603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-7620</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7372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4"/>
          <w:szCs w:val="14"/>
          <w:color w:val="auto"/>
        </w:rPr>
        <w:t xml:space="preserve">  Core Earnings adjustments to GAAP:</w:t>
      </w:r>
    </w:p>
    <w:p>
      <w:pPr>
        <w:spacing w:after="0" w:line="152"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10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380" w:type="dxa"/>
            <w:vAlign w:val="bottom"/>
            <w:gridSpan w:val="6"/>
            <w:shd w:val="clear" w:color="auto" w:fill="D9D9D9"/>
          </w:tcPr>
          <w:p>
            <w:pPr>
              <w:jc w:val="center"/>
              <w:ind w:left="442"/>
              <w:spacing w:after="0"/>
              <w:rPr>
                <w:sz w:val="20"/>
                <w:szCs w:val="20"/>
                <w:color w:val="auto"/>
              </w:rPr>
            </w:pPr>
            <w:r>
              <w:rPr>
                <w:rFonts w:ascii="Arial" w:cs="Arial" w:eastAsia="Arial" w:hAnsi="Arial"/>
                <w:sz w:val="11"/>
                <w:szCs w:val="11"/>
                <w:b w:val="1"/>
                <w:bCs w:val="1"/>
                <w:color w:val="auto"/>
                <w:w w:val="97"/>
              </w:rPr>
              <w:t>YEAR ENDED DECEMBER 31, 2025</w:t>
            </w:r>
          </w:p>
        </w:tc>
        <w:tc>
          <w:tcPr>
            <w:tcW w:w="6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42"/>
              <w:spacing w:after="0"/>
              <w:rPr>
                <w:sz w:val="20"/>
                <w:szCs w:val="20"/>
                <w:color w:val="auto"/>
              </w:rPr>
            </w:pPr>
            <w:r>
              <w:rPr>
                <w:rFonts w:ascii="Arial" w:cs="Arial" w:eastAsia="Arial" w:hAnsi="Arial"/>
                <w:sz w:val="11"/>
                <w:szCs w:val="11"/>
                <w:b w:val="1"/>
                <w:bCs w:val="1"/>
                <w:color w:val="auto"/>
                <w:w w:val="99"/>
              </w:rPr>
              <w:t xml:space="preserve">Net </w:t>
            </w:r>
            <w:r>
              <w:rPr>
                <w:rFonts w:ascii="Times New Roman" w:cs="Times New Roman" w:eastAsia="Times New Roman" w:hAnsi="Times New Roman"/>
                <w:sz w:val="11"/>
                <w:szCs w:val="11"/>
                <w:b w:val="1"/>
                <w:bCs w:val="1"/>
                <w:color w:val="auto"/>
                <w:w w:val="99"/>
              </w:rPr>
              <w:t>Impact of</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tcPr>
          <w:p>
            <w:pPr>
              <w:jc w:val="center"/>
              <w:ind w:right="56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560"/>
              <w:spacing w:after="0" w:line="119" w:lineRule="exact"/>
              <w:rPr>
                <w:sz w:val="20"/>
                <w:szCs w:val="20"/>
                <w:color w:val="auto"/>
              </w:rPr>
            </w:pPr>
            <w:r>
              <w:rPr>
                <w:rFonts w:ascii="Arial" w:cs="Arial" w:eastAsia="Arial" w:hAnsi="Arial"/>
                <w:sz w:val="11"/>
                <w:szCs w:val="11"/>
                <w:b w:val="1"/>
                <w:bCs w:val="1"/>
                <w:color w:val="auto"/>
                <w:w w:val="98"/>
              </w:rPr>
              <w:t>Goodwill and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62"/>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Derivative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560"/>
              <w:spacing w:after="0" w:line="122" w:lineRule="exact"/>
              <w:rPr>
                <w:sz w:val="20"/>
                <w:szCs w:val="20"/>
                <w:color w:val="auto"/>
              </w:rPr>
            </w:pPr>
            <w:r>
              <w:rPr>
                <w:rFonts w:ascii="Arial" w:cs="Arial" w:eastAsia="Arial" w:hAnsi="Arial"/>
                <w:sz w:val="11"/>
                <w:szCs w:val="11"/>
                <w:b w:val="1"/>
                <w:bCs w:val="1"/>
                <w:color w:val="auto"/>
              </w:rPr>
              <w:t>Acquired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5"/>
              </w:rPr>
              <w:t>(Dollars in millions)</w:t>
            </w:r>
          </w:p>
        </w:tc>
        <w:tc>
          <w:tcPr>
            <w:tcW w:w="3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6"/>
              </w:rPr>
              <w:t>Accounting</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6"/>
              </w:rPr>
              <w:t>Intangibles</w:t>
            </w: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gridSpan w:val="2"/>
            <w:shd w:val="clear" w:color="auto" w:fill="CFF0FC"/>
          </w:tcPr>
          <w:p>
            <w:pPr>
              <w:ind w:left="20"/>
              <w:spacing w:after="0" w:line="129" w:lineRule="exact"/>
              <w:rPr>
                <w:sz w:val="20"/>
                <w:szCs w:val="20"/>
                <w:color w:val="auto"/>
              </w:rPr>
            </w:pPr>
            <w:r>
              <w:rPr>
                <w:rFonts w:ascii="Arial" w:cs="Arial" w:eastAsia="Arial" w:hAnsi="Arial"/>
                <w:sz w:val="13"/>
                <w:szCs w:val="13"/>
                <w:color w:val="auto"/>
              </w:rPr>
              <w:t>Net interest income (loss) after provisions for loan losses</w:t>
            </w:r>
          </w:p>
        </w:tc>
        <w:tc>
          <w:tcPr>
            <w:tcW w:w="10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w:t>
            </w:r>
          </w:p>
        </w:tc>
        <w:tc>
          <w:tcPr>
            <w:tcW w:w="2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280" w:type="dxa"/>
            <w:vAlign w:val="bottom"/>
            <w:gridSpan w:val="3"/>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   $</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Total other income (loss)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2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8"/>
        </w:trPr>
        <w:tc>
          <w:tcPr>
            <w:tcW w:w="4680" w:type="dxa"/>
            <w:vAlign w:val="bottom"/>
            <w:tcBorders>
              <w:top w:val="single" w:sz="8" w:color="CFF0FC"/>
              <w:bottom w:val="single" w:sz="8" w:color="CFF0FC"/>
            </w:tcBorders>
            <w:gridSpan w:val="2"/>
          </w:tcPr>
          <w:p>
            <w:pPr>
              <w:ind w:left="20"/>
              <w:spacing w:after="0" w:line="129" w:lineRule="exact"/>
              <w:rPr>
                <w:sz w:val="20"/>
                <w:szCs w:val="20"/>
                <w:color w:val="auto"/>
              </w:rPr>
            </w:pPr>
            <w:r>
              <w:rPr>
                <w:rFonts w:ascii="Arial" w:cs="Arial" w:eastAsia="Arial" w:hAnsi="Arial"/>
                <w:sz w:val="13"/>
                <w:szCs w:val="13"/>
                <w:color w:val="auto"/>
              </w:rPr>
              <w:t>Total Core Earnings adjustments to GAAP</w:t>
            </w:r>
          </w:p>
        </w:tc>
        <w:tc>
          <w:tcPr>
            <w:tcW w:w="90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62</w:t>
            </w:r>
          </w:p>
        </w:tc>
        <w:tc>
          <w:tcPr>
            <w:tcW w:w="18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w:t>
            </w:r>
          </w:p>
        </w:tc>
        <w:tc>
          <w:tcPr>
            <w:tcW w:w="18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w:t>
            </w: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680" w:type="dxa"/>
            <w:vAlign w:val="bottom"/>
            <w:tcBorders>
              <w:bottom w:val="single" w:sz="8" w:color="CFF0FC"/>
            </w:tcBorders>
            <w:gridSpan w:val="2"/>
            <w:shd w:val="clear" w:color="auto" w:fill="CFF0FC"/>
          </w:tcPr>
          <w:p>
            <w:pPr>
              <w:ind w:left="20"/>
              <w:spacing w:after="0" w:line="116" w:lineRule="exact"/>
              <w:rPr>
                <w:sz w:val="20"/>
                <w:szCs w:val="20"/>
                <w:color w:val="auto"/>
              </w:rPr>
            </w:pPr>
            <w:r>
              <w:rPr>
                <w:rFonts w:ascii="Arial" w:cs="Arial" w:eastAsia="Arial" w:hAnsi="Arial"/>
                <w:sz w:val="13"/>
                <w:szCs w:val="13"/>
                <w:color w:val="auto"/>
              </w:rPr>
              <w:t>Income tax expense (benefit)</w:t>
            </w:r>
          </w:p>
        </w:tc>
        <w:tc>
          <w:tcPr>
            <w:tcW w:w="9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20</w:t>
            </w: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8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-325120</wp:posOffset>
            </wp:positionV>
            <wp:extent cx="514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-325120</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-325120</wp:posOffset>
            </wp:positionV>
            <wp:extent cx="514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-119380</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24"/>
        </w:numPr>
        <w:rPr>
          <w:rFonts w:ascii="Arial" w:cs="Arial" w:eastAsia="Arial" w:hAnsi="Arial"/>
          <w:sz w:val="17"/>
          <w:szCs w:val="17"/>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jc w:val="right"/>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9" w:right="10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8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2480" w:type="dxa"/>
            <w:vAlign w:val="bottom"/>
            <w:tcBorders>
              <w:right w:val="single" w:sz="8" w:color="D9D9D9"/>
            </w:tcBorders>
            <w:gridSpan w:val="9"/>
            <w:shd w:val="clear" w:color="auto" w:fill="D9D9D9"/>
          </w:tcPr>
          <w:p>
            <w:pPr>
              <w:jc w:val="right"/>
              <w:ind w:right="517"/>
              <w:spacing w:after="0"/>
              <w:rPr>
                <w:sz w:val="20"/>
                <w:szCs w:val="20"/>
                <w:color w:val="auto"/>
              </w:rPr>
            </w:pPr>
            <w:r>
              <w:rPr>
                <w:rFonts w:ascii="Arial" w:cs="Arial" w:eastAsia="Arial" w:hAnsi="Arial"/>
                <w:sz w:val="11"/>
                <w:szCs w:val="11"/>
                <w:b w:val="1"/>
                <w:bCs w:val="1"/>
                <w:color w:val="auto"/>
              </w:rPr>
              <w:t>YEAR ENDED DECEMBER 31, 2024</w:t>
            </w: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340" w:type="dxa"/>
            <w:vAlign w:val="bottom"/>
            <w:tcBorders>
              <w:right w:val="single" w:sz="8" w:color="D9D9D9"/>
            </w:tcBorders>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tcBorders>
              <w:right w:val="single" w:sz="8" w:color="D9D9D9"/>
            </w:tcBorders>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Adjustments</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vMerge w:val="restart"/>
          </w:tcPr>
          <w:p>
            <w:pPr>
              <w:jc w:val="right"/>
              <w:ind w:right="97"/>
              <w:spacing w:after="0"/>
              <w:rPr>
                <w:sz w:val="20"/>
                <w:szCs w:val="20"/>
                <w:color w:val="auto"/>
              </w:rPr>
            </w:pPr>
            <w:r>
              <w:rPr>
                <w:rFonts w:ascii="Arial" w:cs="Arial" w:eastAsia="Arial" w:hAnsi="Arial"/>
                <w:sz w:val="11"/>
                <w:szCs w:val="11"/>
                <w:b w:val="1"/>
                <w:bCs w:val="1"/>
                <w:color w:val="auto"/>
              </w:rPr>
              <w:t>Total</w:t>
            </w:r>
          </w:p>
        </w:tc>
        <w:tc>
          <w:tcPr>
            <w:tcW w:w="200" w:type="dxa"/>
            <w:vAlign w:val="bottom"/>
            <w:tcBorders>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5"/>
          </w:tcPr>
          <w:p>
            <w:pPr>
              <w:ind w:left="20"/>
              <w:spacing w:after="0" w:line="122" w:lineRule="exact"/>
              <w:rPr>
                <w:sz w:val="20"/>
                <w:szCs w:val="20"/>
                <w:color w:val="auto"/>
              </w:rPr>
            </w:pPr>
            <w:r>
              <w:rPr>
                <w:rFonts w:ascii="Arial" w:cs="Arial" w:eastAsia="Arial" w:hAnsi="Arial"/>
                <w:sz w:val="11"/>
                <w:szCs w:val="11"/>
                <w:b w:val="1"/>
                <w:bCs w:val="1"/>
                <w:color w:val="auto"/>
                <w:w w:val="97"/>
              </w:rPr>
              <w:t>Reportable Segments</w:t>
            </w: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97"/>
              <w:spacing w:after="0" w:line="102" w:lineRule="exact"/>
              <w:rPr>
                <w:sz w:val="20"/>
                <w:szCs w:val="20"/>
                <w:color w:val="auto"/>
              </w:rPr>
            </w:pPr>
            <w:r>
              <w:rPr>
                <w:rFonts w:ascii="Arial" w:cs="Arial" w:eastAsia="Arial" w:hAnsi="Arial"/>
                <w:sz w:val="11"/>
                <w:szCs w:val="11"/>
                <w:b w:val="1"/>
                <w:bCs w:val="1"/>
                <w:color w:val="auto"/>
              </w:rPr>
              <w:t>Federal</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Business</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20"/>
              <w:spacing w:after="0" w:line="108" w:lineRule="exact"/>
              <w:rPr>
                <w:sz w:val="20"/>
                <w:szCs w:val="20"/>
                <w:color w:val="auto"/>
              </w:rPr>
            </w:pPr>
            <w:r>
              <w:rPr>
                <w:rFonts w:ascii="Arial" w:cs="Arial" w:eastAsia="Arial" w:hAnsi="Arial"/>
                <w:sz w:val="11"/>
                <w:szCs w:val="11"/>
                <w:b w:val="1"/>
                <w:bCs w:val="1"/>
                <w:color w:val="auto"/>
                <w:w w:val="99"/>
              </w:rPr>
              <w:t>Reclassi-</w:t>
            </w:r>
          </w:p>
        </w:tc>
        <w:tc>
          <w:tcPr>
            <w:tcW w:w="80" w:type="dxa"/>
            <w:vAlign w:val="bottom"/>
          </w:tcPr>
          <w:p>
            <w:pPr>
              <w:spacing w:after="0"/>
              <w:rPr>
                <w:sz w:val="9"/>
                <w:szCs w:val="9"/>
                <w:color w:val="auto"/>
              </w:rPr>
            </w:pPr>
          </w:p>
        </w:tc>
        <w:tc>
          <w:tcPr>
            <w:tcW w:w="80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rPr>
              <w:t>Additions/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right"/>
              <w:ind w:right="500"/>
              <w:spacing w:after="0" w:line="108" w:lineRule="exact"/>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9"/>
                <w:szCs w:val="9"/>
                <w:color w:val="auto"/>
              </w:rPr>
            </w:pPr>
          </w:p>
        </w:tc>
        <w:tc>
          <w:tcPr>
            <w:tcW w:w="460" w:type="dxa"/>
            <w:vAlign w:val="bottom"/>
            <w:gridSpan w:val="2"/>
          </w:tcPr>
          <w:p>
            <w:pPr>
              <w:jc w:val="right"/>
              <w:ind w:right="97"/>
              <w:spacing w:after="0" w:line="108" w:lineRule="exact"/>
              <w:rPr>
                <w:sz w:val="20"/>
                <w:szCs w:val="20"/>
                <w:color w:val="auto"/>
              </w:rPr>
            </w:pPr>
            <w:r>
              <w:rPr>
                <w:rFonts w:ascii="Arial" w:cs="Arial" w:eastAsia="Arial" w:hAnsi="Arial"/>
                <w:sz w:val="11"/>
                <w:szCs w:val="11"/>
                <w:b w:val="1"/>
                <w:bCs w:val="1"/>
                <w:color w:val="auto"/>
              </w:rPr>
              <w:t>Core</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97"/>
              <w:spacing w:after="0" w:line="108" w:lineRule="exact"/>
              <w:rPr>
                <w:sz w:val="20"/>
                <w:szCs w:val="20"/>
                <w:color w:val="auto"/>
              </w:rPr>
            </w:pPr>
            <w:r>
              <w:rPr>
                <w:rFonts w:ascii="Arial" w:cs="Arial" w:eastAsia="Arial" w:hAnsi="Arial"/>
                <w:sz w:val="11"/>
                <w:szCs w:val="11"/>
                <w:b w:val="1"/>
                <w:bCs w:val="1"/>
                <w:color w:val="auto"/>
                <w:w w:val="97"/>
              </w:rPr>
              <w:t>Education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4"/>
          </w:tcPr>
          <w:p>
            <w:pPr>
              <w:jc w:val="right"/>
              <w:ind w:right="360"/>
              <w:spacing w:after="0" w:line="108" w:lineRule="exact"/>
              <w:rPr>
                <w:sz w:val="20"/>
                <w:szCs w:val="20"/>
                <w:color w:val="auto"/>
              </w:rPr>
            </w:pPr>
            <w:r>
              <w:rPr>
                <w:rFonts w:ascii="Arial" w:cs="Arial" w:eastAsia="Arial" w:hAnsi="Arial"/>
                <w:sz w:val="11"/>
                <w:szCs w:val="11"/>
                <w:b w:val="1"/>
                <w:bCs w:val="1"/>
                <w:color w:val="auto"/>
              </w:rPr>
              <w:t>Consumer</w:t>
            </w:r>
          </w:p>
        </w:tc>
        <w:tc>
          <w:tcPr>
            <w:tcW w:w="5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w w:val="94"/>
              </w:rPr>
              <w:t>Processin</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GAAP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fications</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(Subtractions)</w:t>
            </w:r>
          </w:p>
        </w:tc>
        <w:tc>
          <w:tcPr>
            <w:tcW w:w="80" w:type="dxa"/>
            <w:vAlign w:val="bottom"/>
          </w:tcPr>
          <w:p>
            <w:pPr>
              <w:spacing w:after="0"/>
              <w:rPr>
                <w:sz w:val="12"/>
                <w:szCs w:val="12"/>
                <w:color w:val="auto"/>
              </w:rPr>
            </w:pP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1"/>
                <w:szCs w:val="11"/>
                <w:b w:val="1"/>
                <w:bCs w:val="1"/>
                <w:color w:val="auto"/>
                <w:w w:val="96"/>
              </w:rPr>
              <w:t xml:space="preserve">Adjustments </w:t>
            </w:r>
            <w:r>
              <w:rPr>
                <w:rFonts w:ascii="Arial" w:cs="Arial" w:eastAsia="Arial" w:hAnsi="Arial"/>
                <w:sz w:val="14"/>
                <w:szCs w:val="14"/>
                <w:b w:val="1"/>
                <w:bCs w:val="1"/>
                <w:color w:val="auto"/>
                <w:w w:val="96"/>
                <w:vertAlign w:val="superscript"/>
              </w:rPr>
              <w:t>(1)</w:t>
            </w:r>
          </w:p>
        </w:tc>
        <w:tc>
          <w:tcPr>
            <w:tcW w:w="580" w:type="dxa"/>
            <w:vAlign w:val="bottom"/>
            <w:gridSpan w:val="3"/>
          </w:tcPr>
          <w:p>
            <w:pPr>
              <w:jc w:val="right"/>
              <w:spacing w:after="0"/>
              <w:rPr>
                <w:sz w:val="20"/>
                <w:szCs w:val="20"/>
                <w:color w:val="auto"/>
              </w:rPr>
            </w:pPr>
            <w:r>
              <w:rPr>
                <w:rFonts w:ascii="Arial" w:cs="Arial" w:eastAsia="Arial" w:hAnsi="Arial"/>
                <w:sz w:val="11"/>
                <w:szCs w:val="11"/>
                <w:b w:val="1"/>
                <w:bCs w:val="1"/>
                <w:color w:val="auto"/>
              </w:rPr>
              <w:t>Earnings</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57"/>
              <w:spacing w:after="0"/>
              <w:rPr>
                <w:sz w:val="20"/>
                <w:szCs w:val="20"/>
                <w:color w:val="auto"/>
              </w:rPr>
            </w:pPr>
            <w:r>
              <w:rPr>
                <w:rFonts w:ascii="Arial" w:cs="Arial" w:eastAsia="Arial" w:hAnsi="Arial"/>
                <w:sz w:val="11"/>
                <w:szCs w:val="11"/>
                <w:b w:val="1"/>
                <w:bCs w:val="1"/>
                <w:color w:val="auto"/>
                <w:w w:val="98"/>
              </w:rPr>
              <w:t>Loans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11"/>
                <w:szCs w:val="11"/>
                <w:b w:val="1"/>
                <w:bCs w:val="1"/>
                <w:color w:val="auto"/>
              </w:rPr>
              <w:t>Lending</w:t>
            </w:r>
          </w:p>
        </w:tc>
        <w:tc>
          <w:tcPr>
            <w:tcW w:w="200" w:type="dxa"/>
            <w:vAlign w:val="bottom"/>
          </w:tcPr>
          <w:p>
            <w:pPr>
              <w:spacing w:after="0"/>
              <w:rPr>
                <w:sz w:val="12"/>
                <w:szCs w:val="12"/>
                <w:color w:val="auto"/>
              </w:rPr>
            </w:pPr>
          </w:p>
        </w:tc>
        <w:tc>
          <w:tcPr>
            <w:tcW w:w="340" w:type="dxa"/>
            <w:vAlign w:val="bottom"/>
          </w:tcPr>
          <w:p>
            <w:pPr>
              <w:jc w:val="right"/>
              <w:ind w:right="178"/>
              <w:spacing w:after="0"/>
              <w:rPr>
                <w:sz w:val="20"/>
                <w:szCs w:val="20"/>
                <w:color w:val="auto"/>
              </w:rPr>
            </w:pPr>
            <w:r>
              <w:rPr>
                <w:rFonts w:ascii="Arial" w:cs="Arial" w:eastAsia="Arial" w:hAnsi="Arial"/>
                <w:sz w:val="11"/>
                <w:szCs w:val="11"/>
                <w:b w:val="1"/>
                <w:bCs w:val="1"/>
                <w:color w:val="auto"/>
              </w:rPr>
              <w:t>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57"/>
              <w:spacing w:after="0"/>
              <w:rPr>
                <w:sz w:val="20"/>
                <w:szCs w:val="20"/>
                <w:color w:val="auto"/>
              </w:rPr>
            </w:pPr>
            <w:r>
              <w:rPr>
                <w:rFonts w:ascii="Arial" w:cs="Arial" w:eastAsia="Arial" w:hAnsi="Arial"/>
                <w:sz w:val="11"/>
                <w:szCs w:val="11"/>
                <w:b w:val="1"/>
                <w:bCs w:val="1"/>
                <w:color w:val="auto"/>
                <w:w w:val="81"/>
              </w:rPr>
              <w:t>Other</w:t>
            </w: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income:</w:t>
            </w:r>
          </w:p>
        </w:tc>
        <w:tc>
          <w:tcPr>
            <w:tcW w:w="800" w:type="dxa"/>
            <w:vAlign w:val="bottom"/>
            <w:tcBorders>
              <w:right w:val="single" w:sz="8" w:color="CFF0FC"/>
            </w:tcBorders>
            <w:gridSpan w:val="3"/>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right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Education loans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3,655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2,397</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tcBorders>
              <w:bottom w:val="single" w:sz="8" w:color="CFF0FC"/>
              <w:right w:val="single" w:sz="8" w:color="CFF0FC"/>
            </w:tcBorders>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Cash and investments</w:t>
            </w: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154</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right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right w:val="single" w:sz="8" w:color="CFF0FC"/>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88</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25</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41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3,809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2,485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1,284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Borders>
              <w:bottom w:val="single" w:sz="8" w:color="CFF0FC"/>
              <w:right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3,273</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right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right w:val="single" w:sz="8" w:color="CFF0FC"/>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2,323</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786</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128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00" w:type="dxa"/>
            <w:vAlign w:val="bottom"/>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00" w:type="dxa"/>
            <w:vAlign w:val="bottom"/>
            <w:gridSpan w:val="5"/>
          </w:tcPr>
          <w:p>
            <w:pPr>
              <w:ind w:left="100"/>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536</w:t>
            </w:r>
          </w:p>
        </w:tc>
        <w:tc>
          <w:tcPr>
            <w:tcW w:w="1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2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573</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17"/>
        </w:trPr>
        <w:tc>
          <w:tcPr>
            <w:tcW w:w="1800" w:type="dxa"/>
            <w:vAlign w:val="bottom"/>
            <w:tcBorders>
              <w:right w:val="single" w:sz="8" w:color="CFF0FC"/>
            </w:tcBorders>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20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800" w:type="dxa"/>
            <w:vAlign w:val="bottom"/>
            <w:tcBorders>
              <w:right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losses</w:t>
            </w: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vMerge w:val="continue"/>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80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CFF0FC"/>
              <w:right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(loss) after provisions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00" w:type="dxa"/>
            <w:vAlign w:val="bottom"/>
            <w:gridSpan w:val="5"/>
          </w:tcPr>
          <w:p>
            <w:pPr>
              <w:ind w:left="100"/>
              <w:spacing w:after="0"/>
              <w:rPr>
                <w:sz w:val="20"/>
                <w:szCs w:val="20"/>
                <w:color w:val="auto"/>
              </w:rPr>
            </w:pPr>
            <w:r>
              <w:rPr>
                <w:rFonts w:ascii="Arial" w:cs="Arial" w:eastAsia="Arial" w:hAnsi="Arial"/>
                <w:sz w:val="13"/>
                <w:szCs w:val="13"/>
                <w:color w:val="auto"/>
              </w:rPr>
              <w:t>for loan losses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35"/>
        </w:trPr>
        <w:tc>
          <w:tcPr>
            <w:tcW w:w="1800" w:type="dxa"/>
            <w:vAlign w:val="bottom"/>
            <w:tcBorders>
              <w:right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Servicing revenue</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00" w:type="dxa"/>
            <w:vAlign w:val="bottom"/>
            <w:tcBorders>
              <w:right w:val="single" w:sz="8" w:color="CFF0FC"/>
            </w:tcBorders>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Asset recovery and</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Borders>
              <w:right w:val="single" w:sz="8" w:color="CFF0FC"/>
            </w:tcBorders>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business processing</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00" w:type="dxa"/>
            <w:vAlign w:val="bottom"/>
            <w:tcBorders>
              <w:right w:val="single" w:sz="8" w:color="CFF0FC"/>
            </w:tcBorders>
            <w:gridSpan w:val="5"/>
            <w:shd w:val="clear" w:color="auto" w:fill="CFF0FC"/>
          </w:tcPr>
          <w:p>
            <w:pPr>
              <w:ind w:left="20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Other revenue</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00" w:type="dxa"/>
            <w:vAlign w:val="bottom"/>
            <w:tcBorders>
              <w:right w:val="single" w:sz="8" w:color="CFF0FC"/>
            </w:tcBorders>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Gain (loss) on sale of</w:t>
            </w: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191</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gridSpan w:val="2"/>
            <w:vMerge w:val="restart"/>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191</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00" w:type="dxa"/>
            <w:vAlign w:val="bottom"/>
            <w:tcBorders>
              <w:bottom w:val="single" w:sz="8" w:color="CFF0FC"/>
              <w:right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subsidiaries</w:t>
            </w: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right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gridSpan w:val="2"/>
            <w:vMerge w:val="continue"/>
            <w:shd w:val="clear" w:color="auto" w:fill="CFF0FC"/>
          </w:tcPr>
          <w:p>
            <w:pPr>
              <w:spacing w:after="0"/>
              <w:rPr>
                <w:sz w:val="12"/>
                <w:szCs w:val="12"/>
                <w:color w:val="auto"/>
              </w:rPr>
            </w:pPr>
          </w:p>
        </w:tc>
        <w:tc>
          <w:tcPr>
            <w:tcW w:w="180" w:type="dxa"/>
            <w:vAlign w:val="bottom"/>
            <w:tcBorders>
              <w:bottom w:val="single" w:sz="8" w:color="CFF0FC"/>
              <w:right w:val="single" w:sz="8" w:color="CFF0FC"/>
            </w:tcBorders>
            <w:gridSpan w:val="2"/>
            <w:vMerge w:val="continue"/>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right w:val="single" w:sz="8" w:color="CFF0FC"/>
            </w:tcBorders>
            <w:shd w:val="clear" w:color="auto" w:fill="CFF0FC"/>
          </w:tcPr>
          <w:p>
            <w:pPr>
              <w:spacing w:after="0"/>
              <w:rPr>
                <w:sz w:val="12"/>
                <w:szCs w:val="12"/>
                <w:color w:val="auto"/>
              </w:rPr>
            </w:pPr>
          </w:p>
        </w:tc>
        <w:tc>
          <w:tcPr>
            <w:tcW w:w="3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0" w:type="dxa"/>
            <w:vAlign w:val="bottom"/>
            <w:gridSpan w:val="5"/>
          </w:tcPr>
          <w:p>
            <w:pPr>
              <w:spacing w:after="0" w:line="129" w:lineRule="exact"/>
              <w:rPr>
                <w:sz w:val="20"/>
                <w:szCs w:val="20"/>
                <w:color w:val="auto"/>
              </w:rPr>
            </w:pPr>
            <w:r>
              <w:rPr>
                <w:rFonts w:ascii="Arial" w:cs="Arial" w:eastAsia="Arial" w:hAnsi="Arial"/>
                <w:sz w:val="13"/>
                <w:szCs w:val="13"/>
                <w:color w:val="auto"/>
              </w:rPr>
              <w:t>Total other income</w:t>
            </w: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616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(70)</w:t>
            </w:r>
          </w:p>
        </w:tc>
        <w:tc>
          <w:tcPr>
            <w:tcW w:w="120" w:type="dxa"/>
            <w:vAlign w:val="bottom"/>
          </w:tcPr>
          <w:p>
            <w:pPr>
              <w:spacing w:after="0"/>
              <w:rPr>
                <w:sz w:val="11"/>
                <w:szCs w:val="11"/>
                <w:color w:val="auto"/>
              </w:rPr>
            </w:pPr>
          </w:p>
        </w:tc>
        <w:tc>
          <w:tcPr>
            <w:tcW w:w="4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546</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462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Borders>
              <w:right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0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Direct operating</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00" w:type="dxa"/>
            <w:vAlign w:val="bottom"/>
            <w:gridSpan w:val="5"/>
          </w:tcPr>
          <w:p>
            <w:pPr>
              <w:ind w:left="20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00" w:type="dxa"/>
            <w:vAlign w:val="bottom"/>
            <w:tcBorders>
              <w:right w:val="single" w:sz="8" w:color="CFF0FC"/>
            </w:tcBorders>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Unallocated shared</w:t>
            </w: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gridSpan w:val="2"/>
            <w:vMerge w:val="restart"/>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00" w:type="dxa"/>
            <w:vAlign w:val="bottom"/>
            <w:tcBorders>
              <w:bottom w:val="single" w:sz="8" w:color="CFF0FC"/>
              <w:right w:val="single" w:sz="8" w:color="CFF0FC"/>
            </w:tcBorders>
            <w:gridSpan w:val="5"/>
            <w:shd w:val="clear" w:color="auto" w:fill="CFF0FC"/>
          </w:tcPr>
          <w:p>
            <w:pPr>
              <w:ind w:left="200"/>
              <w:spacing w:after="0" w:line="139" w:lineRule="exact"/>
              <w:rPr>
                <w:sz w:val="20"/>
                <w:szCs w:val="20"/>
                <w:color w:val="auto"/>
              </w:rPr>
            </w:pPr>
            <w:r>
              <w:rPr>
                <w:rFonts w:ascii="Arial" w:cs="Arial" w:eastAsia="Arial" w:hAnsi="Arial"/>
                <w:sz w:val="13"/>
                <w:szCs w:val="13"/>
                <w:color w:val="auto"/>
              </w:rPr>
              <w:t>services expenses</w:t>
            </w: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right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gridSpan w:val="2"/>
            <w:vMerge w:val="continue"/>
            <w:shd w:val="clear" w:color="auto" w:fill="CFF0FC"/>
          </w:tcPr>
          <w:p>
            <w:pPr>
              <w:spacing w:after="0"/>
              <w:rPr>
                <w:sz w:val="12"/>
                <w:szCs w:val="12"/>
                <w:color w:val="auto"/>
              </w:rPr>
            </w:pPr>
          </w:p>
        </w:tc>
        <w:tc>
          <w:tcPr>
            <w:tcW w:w="180" w:type="dxa"/>
            <w:vAlign w:val="bottom"/>
            <w:tcBorders>
              <w:bottom w:val="single" w:sz="8" w:color="CFF0FC"/>
              <w:right w:val="single" w:sz="8" w:color="CFF0FC"/>
            </w:tcBorders>
            <w:gridSpan w:val="2"/>
            <w:vMerge w:val="continue"/>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right w:val="single" w:sz="8" w:color="CFF0FC"/>
            </w:tcBorders>
            <w:shd w:val="clear" w:color="auto" w:fill="CFF0FC"/>
          </w:tcPr>
          <w:p>
            <w:pPr>
              <w:spacing w:after="0"/>
              <w:rPr>
                <w:sz w:val="12"/>
                <w:szCs w:val="12"/>
                <w:color w:val="auto"/>
              </w:rPr>
            </w:pPr>
          </w:p>
        </w:tc>
        <w:tc>
          <w:tcPr>
            <w:tcW w:w="3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0" w:type="dxa"/>
            <w:vAlign w:val="bottom"/>
            <w:gridSpan w:val="5"/>
          </w:tcPr>
          <w:p>
            <w:pPr>
              <w:ind w:left="100"/>
              <w:spacing w:after="0" w:line="129" w:lineRule="exact"/>
              <w:rPr>
                <w:sz w:val="20"/>
                <w:szCs w:val="20"/>
                <w:color w:val="auto"/>
              </w:rPr>
            </w:pPr>
            <w:r>
              <w:rPr>
                <w:rFonts w:ascii="Arial" w:cs="Arial" w:eastAsia="Arial" w:hAnsi="Arial"/>
                <w:sz w:val="13"/>
                <w:szCs w:val="13"/>
                <w:color w:val="auto"/>
              </w:rPr>
              <w:t>Operating expenses</w:t>
            </w: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680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680</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228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235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00" w:type="dxa"/>
            <w:vAlign w:val="bottom"/>
            <w:tcBorders>
              <w:right w:val="single" w:sz="8" w:color="CFF0FC"/>
            </w:tcBorders>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Goodwill and acquired</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Borders>
              <w:right w:val="single" w:sz="8" w:color="CFF0FC"/>
            </w:tcBorders>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intangible asset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Borders>
              <w:right w:val="single" w:sz="8" w:color="CFF0FC"/>
            </w:tcBorders>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impairment and</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00" w:type="dxa"/>
            <w:vAlign w:val="bottom"/>
            <w:tcBorders>
              <w:right w:val="single" w:sz="8" w:color="CFF0FC"/>
            </w:tcBorders>
            <w:gridSpan w:val="5"/>
            <w:shd w:val="clear" w:color="auto" w:fill="CFF0FC"/>
          </w:tcPr>
          <w:p>
            <w:pPr>
              <w:ind w:left="200"/>
              <w:spacing w:after="0"/>
              <w:rPr>
                <w:sz w:val="20"/>
                <w:szCs w:val="20"/>
                <w:color w:val="auto"/>
              </w:rPr>
            </w:pPr>
            <w:r>
              <w:rPr>
                <w:rFonts w:ascii="Arial" w:cs="Arial" w:eastAsia="Arial" w:hAnsi="Arial"/>
                <w:sz w:val="13"/>
                <w:szCs w:val="13"/>
                <w:color w:val="auto"/>
              </w:rPr>
              <w:t>amortization</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0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Restructuring/other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reorganization</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rPr>
              <w:t>39</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gridSpan w:val="2"/>
            <w:vMerge w:val="restart"/>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00" w:type="dxa"/>
            <w:vAlign w:val="bottom"/>
            <w:gridSpan w:val="5"/>
          </w:tcPr>
          <w:p>
            <w:pPr>
              <w:ind w:left="200"/>
              <w:spacing w:after="0" w:line="139" w:lineRule="exact"/>
              <w:rPr>
                <w:sz w:val="20"/>
                <w:szCs w:val="20"/>
                <w:color w:val="auto"/>
              </w:rPr>
            </w:pPr>
            <w:r>
              <w:rPr>
                <w:rFonts w:ascii="Arial" w:cs="Arial" w:eastAsia="Arial" w:hAnsi="Arial"/>
                <w:sz w:val="13"/>
                <w:szCs w:val="13"/>
                <w:color w:val="auto"/>
              </w:rPr>
              <w:t>expenses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0" w:type="dxa"/>
            <w:vAlign w:val="bottom"/>
            <w:tcBorders>
              <w:right w:val="single" w:sz="8" w:color="CFF0FC"/>
            </w:tcBorders>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expenses</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865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color w:val="auto"/>
              </w:rPr>
              <w:t>(146)</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tcBorders>
              <w:right w:val="single" w:sz="8" w:color="CFF0FC"/>
            </w:tcBorders>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(146)</w:t>
            </w:r>
          </w:p>
        </w:tc>
        <w:tc>
          <w:tcPr>
            <w:tcW w:w="12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719</w:t>
            </w: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74</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143</w:t>
            </w: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228</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274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0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Income (loss) before</w:t>
            </w: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CFF0FC"/>
              <w:right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income tax expense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00" w:type="dxa"/>
            <w:vAlign w:val="bottom"/>
            <w:gridSpan w:val="5"/>
          </w:tcPr>
          <w:p>
            <w:pPr>
              <w:ind w:left="100"/>
              <w:spacing w:after="0"/>
              <w:rPr>
                <w:sz w:val="20"/>
                <w:szCs w:val="20"/>
                <w:color w:val="auto"/>
              </w:rPr>
            </w:pPr>
            <w:r>
              <w:rPr>
                <w:rFonts w:ascii="Arial" w:cs="Arial" w:eastAsia="Arial" w:hAnsi="Arial"/>
                <w:sz w:val="13"/>
                <w:szCs w:val="13"/>
                <w:color w:val="auto"/>
              </w:rPr>
              <w:t>(benefit)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287</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136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234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08"/>
        </w:trPr>
        <w:tc>
          <w:tcPr>
            <w:tcW w:w="1800" w:type="dxa"/>
            <w:vAlign w:val="bottom"/>
            <w:tcBorders>
              <w:right w:val="single" w:sz="8" w:color="CFF0FC"/>
            </w:tcBorders>
            <w:gridSpan w:val="5"/>
            <w:shd w:val="clear" w:color="auto" w:fill="CFF0FC"/>
          </w:tcPr>
          <w:p>
            <w:pPr>
              <w:spacing w:after="0" w:line="108" w:lineRule="exact"/>
              <w:rPr>
                <w:sz w:val="20"/>
                <w:szCs w:val="20"/>
                <w:color w:val="auto"/>
              </w:rPr>
            </w:pPr>
            <w:r>
              <w:rPr>
                <w:rFonts w:ascii="Arial" w:cs="Arial" w:eastAsia="Arial" w:hAnsi="Arial"/>
                <w:sz w:val="12"/>
                <w:szCs w:val="12"/>
                <w:color w:val="auto"/>
              </w:rPr>
              <w:t>Income tax expense</w:t>
            </w: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8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20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58</w:t>
            </w:r>
          </w:p>
        </w:tc>
        <w:tc>
          <w:tcPr>
            <w:tcW w:w="8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right w:val="single" w:sz="8" w:color="CFF0FC"/>
            </w:tcBorders>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9"/>
        </w:trPr>
        <w:tc>
          <w:tcPr>
            <w:tcW w:w="1800" w:type="dxa"/>
            <w:vAlign w:val="bottom"/>
            <w:tcBorders>
              <w:right w:val="single" w:sz="8" w:color="CFF0FC"/>
            </w:tcBorders>
            <w:gridSpan w:val="5"/>
            <w:shd w:val="clear" w:color="auto" w:fill="CFF0FC"/>
          </w:tcPr>
          <w:p>
            <w:pPr>
              <w:ind w:left="100"/>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vMerge w:val="continue"/>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tcBorders>
              <w:right w:val="single" w:sz="8" w:color="CFF0FC"/>
            </w:tcBorders>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00" w:type="dxa"/>
            <w:vAlign w:val="bottom"/>
            <w:gridSpan w:val="5"/>
          </w:tcPr>
          <w:p>
            <w:pPr>
              <w:spacing w:after="0" w:line="129" w:lineRule="exact"/>
              <w:rPr>
                <w:sz w:val="20"/>
                <w:szCs w:val="20"/>
                <w:color w:val="auto"/>
              </w:rPr>
            </w:pPr>
            <w:r>
              <w:rPr>
                <w:rFonts w:ascii="Arial" w:cs="Arial" w:eastAsia="Arial" w:hAnsi="Arial"/>
                <w:sz w:val="13"/>
                <w:szCs w:val="13"/>
                <w:color w:val="auto"/>
              </w:rPr>
              <w:t>Net income (loss)</w:t>
            </w: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90</w:t>
            </w:r>
          </w:p>
        </w:tc>
        <w:tc>
          <w:tcPr>
            <w:tcW w:w="18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221</w:t>
            </w:r>
          </w:p>
        </w:tc>
        <w:tc>
          <w:tcPr>
            <w:tcW w:w="200" w:type="dxa"/>
            <w:vAlign w:val="bottom"/>
            <w:tcBorders>
              <w:right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105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196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180</w:t>
            </w:r>
          </w:p>
        </w:tc>
        <w:tc>
          <w:tcPr>
            <w:tcW w:w="180" w:type="dxa"/>
            <w:vAlign w:val="bottom"/>
          </w:tcPr>
          <w:p>
            <w:pPr>
              <w:spacing w:after="0"/>
              <w:rPr>
                <w:sz w:val="11"/>
                <w:szCs w:val="11"/>
                <w:color w:val="auto"/>
              </w:rPr>
            </w:pPr>
          </w:p>
        </w:tc>
        <w:tc>
          <w:tcPr>
            <w:tcW w:w="160" w:type="dxa"/>
            <w:vAlign w:val="bottom"/>
            <w:tcBorders>
              <w:bottom w:val="single" w:sz="8" w:color="auto"/>
            </w:tcBorders>
            <w:gridSpan w:val="2"/>
          </w:tcPr>
          <w:p>
            <w:pPr>
              <w:jc w:val="right"/>
              <w:ind w:right="80"/>
              <w:spacing w:after="0" w:line="115" w:lineRule="exact"/>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(260</w:t>
            </w:r>
          </w:p>
        </w:tc>
        <w:tc>
          <w:tcPr>
            <w:tcW w:w="100" w:type="dxa"/>
            <w:vAlign w:val="bottom"/>
          </w:tcPr>
          <w:p>
            <w:pPr>
              <w:jc w:val="right"/>
              <w:spacing w:after="0" w:line="129"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4"/>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620" w:type="dxa"/>
            <w:vAlign w:val="bottom"/>
            <w:gridSpan w:val="8"/>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4"/>
                <w:szCs w:val="14"/>
                <w:color w:val="auto"/>
              </w:rPr>
              <w:t xml:space="preserve">  Core Earnings adjustments to GAAP:</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4"/>
          </w:tcPr>
          <w:p>
            <w:pPr>
              <w:spacing w:after="0"/>
              <w:rPr>
                <w:sz w:val="17"/>
                <w:szCs w:val="17"/>
                <w:color w:val="auto"/>
              </w:rPr>
            </w:pPr>
          </w:p>
        </w:tc>
        <w:tc>
          <w:tcPr>
            <w:tcW w:w="18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00" w:type="dxa"/>
            <w:vAlign w:val="bottom"/>
            <w:tcBorders>
              <w:right w:val="single" w:sz="8" w:color="D9D9D9"/>
            </w:tcBorders>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2100" w:type="dxa"/>
            <w:vAlign w:val="bottom"/>
            <w:gridSpan w:val="10"/>
            <w:shd w:val="clear" w:color="auto" w:fill="D9D9D9"/>
          </w:tcPr>
          <w:p>
            <w:pPr>
              <w:jc w:val="center"/>
              <w:ind w:left="119"/>
              <w:spacing w:after="0" w:line="122" w:lineRule="exact"/>
              <w:rPr>
                <w:sz w:val="20"/>
                <w:szCs w:val="20"/>
                <w:color w:val="auto"/>
              </w:rPr>
            </w:pPr>
            <w:r>
              <w:rPr>
                <w:rFonts w:ascii="Arial" w:cs="Arial" w:eastAsia="Arial" w:hAnsi="Arial"/>
                <w:sz w:val="11"/>
                <w:szCs w:val="11"/>
                <w:b w:val="1"/>
                <w:bCs w:val="1"/>
                <w:color w:val="auto"/>
                <w:w w:val="97"/>
              </w:rPr>
              <w:t>YEAR ENDED DECEMBER 31, 2024</w:t>
            </w:r>
          </w:p>
        </w:tc>
        <w:tc>
          <w:tcPr>
            <w:tcW w:w="340" w:type="dxa"/>
            <w:vAlign w:val="bottom"/>
            <w:tcBorders>
              <w:right w:val="single" w:sz="8" w:color="D9D9D9"/>
            </w:tcBorders>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tcBorders>
              <w:right w:val="single" w:sz="8" w:color="D9D9D9"/>
            </w:tcBorders>
            <w:shd w:val="clear" w:color="auto" w:fill="D9D9D9"/>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6"/>
          </w:tcPr>
          <w:p>
            <w:pPr>
              <w:jc w:val="center"/>
              <w:ind w:right="38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257"/>
              <w:spacing w:after="0" w:line="122" w:lineRule="exact"/>
              <w:rPr>
                <w:sz w:val="20"/>
                <w:szCs w:val="20"/>
                <w:color w:val="auto"/>
              </w:rPr>
            </w:pPr>
            <w:r>
              <w:rPr>
                <w:rFonts w:ascii="Arial" w:cs="Arial" w:eastAsia="Arial" w:hAnsi="Arial"/>
                <w:sz w:val="11"/>
                <w:szCs w:val="11"/>
                <w:b w:val="1"/>
                <w:bCs w:val="1"/>
                <w:color w:val="auto"/>
                <w:w w:val="97"/>
              </w:rPr>
              <w:t>Net Impact of</w:t>
            </w:r>
          </w:p>
        </w:tc>
        <w:tc>
          <w:tcPr>
            <w:tcW w:w="80" w:type="dxa"/>
            <w:vAlign w:val="bottom"/>
          </w:tcPr>
          <w:p>
            <w:pPr>
              <w:spacing w:after="0"/>
              <w:rPr>
                <w:sz w:val="10"/>
                <w:szCs w:val="10"/>
                <w:color w:val="auto"/>
              </w:rPr>
            </w:pPr>
          </w:p>
        </w:tc>
        <w:tc>
          <w:tcPr>
            <w:tcW w:w="1100" w:type="dxa"/>
            <w:vAlign w:val="bottom"/>
            <w:gridSpan w:val="6"/>
          </w:tcPr>
          <w:p>
            <w:pPr>
              <w:jc w:val="center"/>
              <w:ind w:right="38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257"/>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5"/>
          </w:tcPr>
          <w:p>
            <w:pPr>
              <w:jc w:val="center"/>
              <w:ind w:right="460"/>
              <w:spacing w:after="0" w:line="122" w:lineRule="exact"/>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5"/>
              </w:rPr>
              <w:t>(Dollars 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1"/>
                <w:szCs w:val="11"/>
                <w:b w:val="1"/>
                <w:bCs w:val="1"/>
                <w:color w:val="auto"/>
                <w:w w:val="99"/>
              </w:rPr>
              <w:t>Accounting</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center"/>
              <w:ind w:right="38"/>
              <w:spacing w:after="0"/>
              <w:rPr>
                <w:sz w:val="20"/>
                <w:szCs w:val="20"/>
                <w:color w:val="auto"/>
              </w:rPr>
            </w:pPr>
            <w:r>
              <w:rPr>
                <w:rFonts w:ascii="Arial" w:cs="Arial" w:eastAsia="Arial" w:hAnsi="Arial"/>
                <w:sz w:val="11"/>
                <w:szCs w:val="11"/>
                <w:b w:val="1"/>
                <w:bCs w:val="1"/>
                <w:color w:val="auto"/>
                <w:w w:val="96"/>
              </w:rPr>
              <w:t>Intangibles</w:t>
            </w:r>
          </w:p>
        </w:tc>
        <w:tc>
          <w:tcPr>
            <w:tcW w:w="1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w w:val="91"/>
              </w:rPr>
              <w:t>Total</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0" w:type="dxa"/>
            <w:vAlign w:val="bottom"/>
            <w:gridSpan w:val="12"/>
            <w:shd w:val="clear" w:color="auto" w:fill="CFF0FC"/>
          </w:tcPr>
          <w:p>
            <w:pPr>
              <w:ind w:left="20"/>
              <w:spacing w:after="0" w:line="129" w:lineRule="exact"/>
              <w:rPr>
                <w:sz w:val="20"/>
                <w:szCs w:val="20"/>
                <w:color w:val="auto"/>
              </w:rPr>
            </w:pPr>
            <w:r>
              <w:rPr>
                <w:rFonts w:ascii="Arial" w:cs="Arial" w:eastAsia="Arial" w:hAnsi="Arial"/>
                <w:sz w:val="13"/>
                <w:szCs w:val="13"/>
                <w:color w:val="auto"/>
                <w:w w:val="96"/>
              </w:rPr>
              <w:t>Net interest income (loss) after provisions for loan losses</w:t>
            </w: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37</w:t>
            </w: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4"/>
            <w:shd w:val="clear" w:color="auto" w:fill="CFF0FC"/>
          </w:tcPr>
          <w:p>
            <w:pPr>
              <w:jc w:val="right"/>
              <w:ind w:right="40"/>
              <w:spacing w:after="0" w:line="129" w:lineRule="exact"/>
              <w:rPr>
                <w:sz w:val="20"/>
                <w:szCs w:val="20"/>
                <w:color w:val="auto"/>
              </w:rPr>
            </w:pPr>
            <w:r>
              <w:rPr>
                <w:rFonts w:ascii="Arial" w:cs="Arial" w:eastAsia="Arial" w:hAnsi="Arial"/>
                <w:sz w:val="13"/>
                <w:szCs w:val="13"/>
                <w:color w:val="auto"/>
              </w:rPr>
              <w:t>—   $</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37</w:t>
            </w: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32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Total other income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(70)</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4000" w:type="dxa"/>
            <w:vAlign w:val="bottom"/>
            <w:gridSpan w:val="14"/>
            <w:shd w:val="clear" w:color="auto" w:fill="CFF0FC"/>
          </w:tcPr>
          <w:p>
            <w:pPr>
              <w:ind w:left="20"/>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(146)</w:t>
            </w: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340" w:type="dxa"/>
            <w:vAlign w:val="bottom"/>
            <w:tcBorders>
              <w:right w:val="single" w:sz="8" w:color="CFF0FC"/>
            </w:tcBorders>
            <w:gridSpan w:val="3"/>
            <w:shd w:val="clear" w:color="auto" w:fill="CFF0FC"/>
          </w:tcPr>
          <w:p>
            <w:pPr>
              <w:jc w:val="right"/>
              <w:ind w:right="40"/>
              <w:spacing w:after="0" w:line="135" w:lineRule="exact"/>
              <w:rPr>
                <w:sz w:val="20"/>
                <w:szCs w:val="20"/>
                <w:color w:val="auto"/>
              </w:rPr>
            </w:pPr>
            <w:r>
              <w:rPr>
                <w:rFonts w:ascii="Arial" w:cs="Arial" w:eastAsia="Arial" w:hAnsi="Arial"/>
                <w:sz w:val="13"/>
                <w:szCs w:val="13"/>
                <w:color w:val="auto"/>
                <w:w w:val="92"/>
              </w:rPr>
              <w:t>(146)</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120" w:type="dxa"/>
            <w:vAlign w:val="bottom"/>
            <w:tcBorders>
              <w:top w:val="single" w:sz="8" w:color="CFF0FC"/>
              <w:bottom w:val="single" w:sz="8" w:color="CFF0FC"/>
            </w:tcBorders>
            <w:gridSpan w:val="11"/>
          </w:tcPr>
          <w:p>
            <w:pPr>
              <w:ind w:left="20"/>
              <w:spacing w:after="0" w:line="129" w:lineRule="exact"/>
              <w:rPr>
                <w:sz w:val="20"/>
                <w:szCs w:val="20"/>
                <w:color w:val="auto"/>
              </w:rPr>
            </w:pPr>
            <w:r>
              <w:rPr>
                <w:rFonts w:ascii="Arial" w:cs="Arial" w:eastAsia="Arial" w:hAnsi="Arial"/>
                <w:sz w:val="13"/>
                <w:szCs w:val="13"/>
                <w:color w:val="auto"/>
              </w:rPr>
              <w:t>Total Core Earnings adjustments to GAAP</w:t>
            </w:r>
          </w:p>
        </w:tc>
        <w:tc>
          <w:tcPr>
            <w:tcW w:w="80" w:type="dxa"/>
            <w:vAlign w:val="bottom"/>
            <w:tcBorders>
              <w:top w:val="single" w:sz="8" w:color="CF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4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(33)</w:t>
            </w:r>
          </w:p>
        </w:tc>
        <w:tc>
          <w:tcPr>
            <w:tcW w:w="18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146</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113</w:t>
            </w:r>
          </w:p>
        </w:tc>
        <w:tc>
          <w:tcPr>
            <w:tcW w:w="80" w:type="dxa"/>
            <w:vAlign w:val="bottom"/>
            <w:tcBorders>
              <w:top w:val="single" w:sz="8" w:color="CFF0FC"/>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Pr>
          <w:p>
            <w:pPr>
              <w:spacing w:after="0"/>
              <w:rPr>
                <w:sz w:val="10"/>
                <w:szCs w:val="10"/>
                <w:color w:val="auto"/>
              </w:rPr>
            </w:pPr>
          </w:p>
        </w:tc>
        <w:tc>
          <w:tcPr>
            <w:tcW w:w="2140" w:type="dxa"/>
            <w:vAlign w:val="bottom"/>
            <w:tcBorders>
              <w:bottom w:val="single" w:sz="8" w:color="CFF0FC"/>
            </w:tcBorders>
            <w:gridSpan w:val="7"/>
            <w:shd w:val="clear" w:color="auto" w:fill="CFF0FC"/>
          </w:tcPr>
          <w:p>
            <w:pPr>
              <w:ind w:left="20"/>
              <w:spacing w:after="0" w:line="116" w:lineRule="exact"/>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right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right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right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right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right w:val="single" w:sz="8" w:color="CFF0FC"/>
            </w:tcBorders>
            <w:shd w:val="clear" w:color="auto" w:fill="CFF0FC"/>
          </w:tcPr>
          <w:p>
            <w:pPr>
              <w:spacing w:after="0"/>
              <w:rPr>
                <w:sz w:val="10"/>
                <w:szCs w:val="10"/>
                <w:color w:val="auto"/>
              </w:rPr>
            </w:pPr>
          </w:p>
        </w:tc>
        <w:tc>
          <w:tcPr>
            <w:tcW w:w="260" w:type="dxa"/>
            <w:vAlign w:val="bottom"/>
            <w:tcBorders>
              <w:bottom w:val="single" w:sz="8" w:color="auto"/>
            </w:tcBorders>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23</w:t>
            </w:r>
          </w:p>
        </w:tc>
        <w:tc>
          <w:tcPr>
            <w:tcW w:w="80" w:type="dxa"/>
            <w:vAlign w:val="bottom"/>
            <w:tcBorders>
              <w:bottom w:val="single" w:sz="8" w:color="CFF0FC"/>
              <w:right w:val="single" w:sz="8" w:color="CFF0FC"/>
            </w:tcBorders>
            <w:shd w:val="clear" w:color="auto" w:fill="CFF0FC"/>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1320" w:type="dxa"/>
            <w:vAlign w:val="bottom"/>
            <w:gridSpan w:val="4"/>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-4679950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-4679950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-4679950</wp:posOffset>
            </wp:positionV>
            <wp:extent cx="60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-4679950</wp:posOffset>
            </wp:positionV>
            <wp:extent cx="603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-4679950</wp:posOffset>
            </wp:positionV>
            <wp:extent cx="603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-4679950</wp:posOffset>
            </wp:positionV>
            <wp:extent cx="596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-4679950</wp:posOffset>
            </wp:positionV>
            <wp:extent cx="603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-4679950</wp:posOffset>
            </wp:positionV>
            <wp:extent cx="603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-4679950</wp:posOffset>
            </wp:positionV>
            <wp:extent cx="6032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-4499610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-4499610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-4499610</wp:posOffset>
            </wp:positionV>
            <wp:extent cx="60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-4499610</wp:posOffset>
            </wp:positionV>
            <wp:extent cx="603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-4499610</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-4499610</wp:posOffset>
            </wp:positionV>
            <wp:extent cx="596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-4499610</wp:posOffset>
            </wp:positionV>
            <wp:extent cx="603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-4499610</wp:posOffset>
            </wp:positionV>
            <wp:extent cx="603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-4499610</wp:posOffset>
            </wp:positionV>
            <wp:extent cx="603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-4156710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-4156710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-4156710</wp:posOffset>
            </wp:positionV>
            <wp:extent cx="603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-4156710</wp:posOffset>
            </wp:positionV>
            <wp:extent cx="603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-4156710</wp:posOffset>
            </wp:positionV>
            <wp:extent cx="603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-4156710</wp:posOffset>
            </wp:positionV>
            <wp:extent cx="596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-4156710</wp:posOffset>
            </wp:positionV>
            <wp:extent cx="603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-4156710</wp:posOffset>
            </wp:positionV>
            <wp:extent cx="60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-4156710</wp:posOffset>
            </wp:positionV>
            <wp:extent cx="603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-3213735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-3213735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-3213735</wp:posOffset>
            </wp:positionV>
            <wp:extent cx="603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-3213735</wp:posOffset>
            </wp:positionV>
            <wp:extent cx="603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-3213735</wp:posOffset>
            </wp:positionV>
            <wp:extent cx="603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-3213735</wp:posOffset>
            </wp:positionV>
            <wp:extent cx="596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-3213735</wp:posOffset>
            </wp:positionV>
            <wp:extent cx="603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-3213735</wp:posOffset>
            </wp:positionV>
            <wp:extent cx="603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-3213735</wp:posOffset>
            </wp:positionV>
            <wp:extent cx="603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-2699385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-2699385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-2699385</wp:posOffset>
            </wp:positionV>
            <wp:extent cx="603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-2699385</wp:posOffset>
            </wp:positionV>
            <wp:extent cx="603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-2699385</wp:posOffset>
            </wp:positionV>
            <wp:extent cx="603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-2699385</wp:posOffset>
            </wp:positionV>
            <wp:extent cx="596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-2699385</wp:posOffset>
            </wp:positionV>
            <wp:extent cx="603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-2699385</wp:posOffset>
            </wp:positionV>
            <wp:extent cx="603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-2699385</wp:posOffset>
            </wp:positionV>
            <wp:extent cx="603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-1919605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-1919605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-1919605</wp:posOffset>
            </wp:positionV>
            <wp:extent cx="6032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-1919605</wp:posOffset>
            </wp:positionV>
            <wp:extent cx="603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-1919605</wp:posOffset>
            </wp:positionV>
            <wp:extent cx="603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-1919605</wp:posOffset>
            </wp:positionV>
            <wp:extent cx="596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-1919605</wp:posOffset>
            </wp:positionV>
            <wp:extent cx="603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-1919605</wp:posOffset>
            </wp:positionV>
            <wp:extent cx="6032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-1919605</wp:posOffset>
            </wp:positionV>
            <wp:extent cx="603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-1490980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-1490980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-1490980</wp:posOffset>
            </wp:positionV>
            <wp:extent cx="6032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-1490980</wp:posOffset>
            </wp:positionV>
            <wp:extent cx="603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-1490980</wp:posOffset>
            </wp:positionV>
            <wp:extent cx="603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-1490980</wp:posOffset>
            </wp:positionV>
            <wp:extent cx="596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-1490980</wp:posOffset>
            </wp:positionV>
            <wp:extent cx="6032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-1490980</wp:posOffset>
            </wp:positionV>
            <wp:extent cx="603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-1490980</wp:posOffset>
            </wp:positionV>
            <wp:extent cx="603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-325120</wp:posOffset>
            </wp:positionV>
            <wp:extent cx="514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-325120</wp:posOffset>
            </wp:positionV>
            <wp:extent cx="514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-325120</wp:posOffset>
            </wp:positionV>
            <wp:extent cx="514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-119380</wp:posOffset>
            </wp:positionV>
            <wp:extent cx="5143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25"/>
        </w:numPr>
        <w:rPr>
          <w:rFonts w:ascii="Arial" w:cs="Arial" w:eastAsia="Arial" w:hAnsi="Arial"/>
          <w:sz w:val="17"/>
          <w:szCs w:val="17"/>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jc w:val="right"/>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9" w:right="1099" w:bottom="1440" w:gutter="0" w:footer="0" w:header="0"/>
        </w:sectPr>
      </w:pPr>
    </w:p>
    <w:bookmarkStart w:id="27" w:name="page28"/>
    <w:bookmarkEnd w:id="27"/>
    <w:p>
      <w:pPr>
        <w:ind w:right="740"/>
        <w:spacing w:after="0" w:line="286" w:lineRule="auto"/>
        <w:rPr>
          <w:sz w:val="20"/>
          <w:szCs w:val="20"/>
          <w:color w:val="auto"/>
        </w:rPr>
      </w:pPr>
      <w:r>
        <w:rPr>
          <w:rFonts w:ascii="Arial" w:cs="Arial" w:eastAsia="Arial" w:hAnsi="Arial"/>
          <w:sz w:val="16"/>
          <w:szCs w:val="16"/>
          <w:color w:val="auto"/>
        </w:rPr>
        <w:t>The following discussion summarizes the differences between GAAP and Core Earnings net income and details each specific adjustment required to reconcile our GAAP earnings to our Core Earnings segment presentation.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540" w:type="dxa"/>
            <w:vAlign w:val="bottom"/>
            <w:tcBorders>
              <w:left w:val="single" w:sz="8" w:color="D9D9D9"/>
            </w:tcBorders>
            <w:gridSpan w:val="4"/>
            <w:shd w:val="clear" w:color="auto" w:fill="D9D9D9"/>
          </w:tcPr>
          <w:p>
            <w:pPr>
              <w:jc w:val="center"/>
              <w:ind w:right="20"/>
              <w:spacing w:after="0"/>
              <w:rPr>
                <w:sz w:val="20"/>
                <w:szCs w:val="20"/>
                <w:color w:val="auto"/>
              </w:rPr>
            </w:pPr>
            <w:r>
              <w:rPr>
                <w:rFonts w:ascii="Arial" w:cs="Arial" w:eastAsia="Arial" w:hAnsi="Arial"/>
                <w:sz w:val="14"/>
                <w:szCs w:val="14"/>
                <w:b w:val="1"/>
                <w:bCs w:val="1"/>
                <w:color w:val="auto"/>
              </w:rPr>
              <w:t>QUARTERS ENDED</w:t>
            </w:r>
          </w:p>
        </w:tc>
        <w:tc>
          <w:tcPr>
            <w:tcW w:w="24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780" w:type="dxa"/>
            <w:vAlign w:val="bottom"/>
            <w:gridSpan w:val="3"/>
            <w:shd w:val="clear" w:color="auto" w:fill="D9D9D9"/>
          </w:tcPr>
          <w:p>
            <w:pPr>
              <w:jc w:val="right"/>
              <w:ind w:right="246"/>
              <w:spacing w:after="0"/>
              <w:rPr>
                <w:sz w:val="20"/>
                <w:szCs w:val="20"/>
                <w:color w:val="auto"/>
              </w:rPr>
            </w:pPr>
            <w:r>
              <w:rPr>
                <w:rFonts w:ascii="Arial" w:cs="Arial" w:eastAsia="Arial" w:hAnsi="Arial"/>
                <w:sz w:val="14"/>
                <w:szCs w:val="14"/>
                <w:b w:val="1"/>
                <w:bCs w:val="1"/>
                <w:color w:val="auto"/>
              </w:rPr>
              <w:t>YEARS ENDED</w:t>
            </w:r>
          </w:p>
        </w:tc>
        <w:tc>
          <w:tcPr>
            <w:tcW w:w="3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4"/>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1340" w:type="dxa"/>
            <w:vAlign w:val="bottom"/>
            <w:tcBorders>
              <w:top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4"/>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4"/>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5"/>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4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GAAP net income (loss)</w:t>
            </w:r>
          </w:p>
        </w:tc>
        <w:tc>
          <w:tcPr>
            <w:tcW w:w="480" w:type="dxa"/>
            <w:vAlign w:val="bottom"/>
            <w:gridSpan w:val="2"/>
            <w:shd w:val="clear" w:color="auto" w:fill="CFF0FC"/>
          </w:tcPr>
          <w:p>
            <w:pPr>
              <w:jc w:val="right"/>
              <w:ind w:right="68"/>
              <w:spacing w:after="0" w:line="156"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w:t>
            </w:r>
          </w:p>
        </w:tc>
        <w:tc>
          <w:tcPr>
            <w:tcW w:w="460" w:type="dxa"/>
            <w:vAlign w:val="bottom"/>
            <w:tcBorders>
              <w:left w:val="single" w:sz="8" w:color="CFF0FC"/>
            </w:tcBorders>
            <w:gridSpan w:val="2"/>
            <w:shd w:val="clear" w:color="auto" w:fill="CFF0FC"/>
          </w:tcPr>
          <w:p>
            <w:pPr>
              <w:jc w:val="right"/>
              <w:ind w:right="88"/>
              <w:spacing w:after="0" w:line="156"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140"/>
              <w:spacing w:after="0" w:line="156" w:lineRule="exact"/>
              <w:rPr>
                <w:sz w:val="20"/>
                <w:szCs w:val="20"/>
                <w:color w:val="auto"/>
              </w:rPr>
            </w:pPr>
            <w:r>
              <w:rPr>
                <w:rFonts w:ascii="Arial" w:cs="Arial" w:eastAsia="Arial" w:hAnsi="Arial"/>
                <w:sz w:val="15"/>
                <w:szCs w:val="15"/>
                <w:color w:val="auto"/>
              </w:rPr>
              <w:t>(86)</w:t>
            </w:r>
          </w:p>
        </w:tc>
        <w:tc>
          <w:tcPr>
            <w:tcW w:w="240" w:type="dxa"/>
            <w:vAlign w:val="bottom"/>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24</w:t>
            </w:r>
          </w:p>
        </w:tc>
        <w:tc>
          <w:tcPr>
            <w:tcW w:w="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68"/>
              <w:spacing w:after="0" w:line="156"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40"/>
              <w:spacing w:after="0" w:line="156" w:lineRule="exact"/>
              <w:rPr>
                <w:sz w:val="20"/>
                <w:szCs w:val="20"/>
                <w:color w:val="auto"/>
              </w:rPr>
            </w:pPr>
            <w:r>
              <w:rPr>
                <w:rFonts w:ascii="Arial" w:cs="Arial" w:eastAsia="Arial" w:hAnsi="Arial"/>
                <w:sz w:val="15"/>
                <w:szCs w:val="15"/>
                <w:color w:val="auto"/>
              </w:rPr>
              <w:t>(80)</w:t>
            </w:r>
          </w:p>
        </w:tc>
        <w:tc>
          <w:tcPr>
            <w:tcW w:w="740" w:type="dxa"/>
            <w:vAlign w:val="bottom"/>
            <w:shd w:val="clear" w:color="auto" w:fill="CFF0FC"/>
          </w:tcPr>
          <w:p>
            <w:pPr>
              <w:jc w:val="right"/>
              <w:ind w:right="586"/>
              <w:spacing w:after="0" w:line="156" w:lineRule="exact"/>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line="162" w:lineRule="exact"/>
              <w:rPr>
                <w:sz w:val="20"/>
                <w:szCs w:val="20"/>
                <w:color w:val="auto"/>
              </w:rPr>
            </w:pPr>
            <w:r>
              <w:rPr>
                <w:rFonts w:ascii="Arial" w:cs="Arial" w:eastAsia="Arial" w:hAnsi="Arial"/>
                <w:sz w:val="15"/>
                <w:szCs w:val="15"/>
                <w:color w:val="auto"/>
              </w:rPr>
              <w:t>Core Earnings adjustments to GAAP:</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Net impact of derivative accounting</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7</w:t>
            </w:r>
          </w:p>
        </w:tc>
        <w:tc>
          <w:tcPr>
            <w:tcW w:w="220" w:type="dxa"/>
            <w:vAlign w:val="bottom"/>
            <w:tcBorders>
              <w:lef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8</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(60)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62</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45"/>
        </w:trPr>
        <w:tc>
          <w:tcPr>
            <w:tcW w:w="3140" w:type="dxa"/>
            <w:vAlign w:val="bottom"/>
            <w:gridSpan w:val="2"/>
          </w:tcPr>
          <w:p>
            <w:pPr>
              <w:spacing w:after="0" w:line="145" w:lineRule="exact"/>
              <w:rPr>
                <w:sz w:val="20"/>
                <w:szCs w:val="20"/>
                <w:color w:val="auto"/>
              </w:rPr>
            </w:pPr>
            <w:r>
              <w:rPr>
                <w:rFonts w:ascii="Arial" w:cs="Arial" w:eastAsia="Arial" w:hAnsi="Arial"/>
                <w:sz w:val="15"/>
                <w:szCs w:val="15"/>
                <w:color w:val="auto"/>
              </w:rPr>
              <w:t>Net impact of goodwill and acquired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40" w:type="dxa"/>
            <w:vAlign w:val="bottom"/>
            <w:gridSpan w:val="2"/>
          </w:tcPr>
          <w:p>
            <w:pPr>
              <w:ind w:left="80"/>
              <w:spacing w:after="0"/>
              <w:rPr>
                <w:sz w:val="20"/>
                <w:szCs w:val="20"/>
                <w:color w:val="auto"/>
              </w:rPr>
            </w:pPr>
            <w:r>
              <w:rPr>
                <w:rFonts w:ascii="Arial" w:cs="Arial" w:eastAsia="Arial" w:hAnsi="Arial"/>
                <w:sz w:val="15"/>
                <w:szCs w:val="15"/>
                <w:color w:val="auto"/>
              </w:rPr>
              <w:t>intangible assets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Net tax effect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w:t>
            </w:r>
          </w:p>
        </w:tc>
        <w:tc>
          <w:tcPr>
            <w:tcW w:w="220" w:type="dxa"/>
            <w:vAlign w:val="bottom"/>
            <w:tcBorders>
              <w:lef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(6)</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(20)</w:t>
            </w: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
        </w:trPr>
        <w:tc>
          <w:tcPr>
            <w:tcW w:w="134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40" w:type="dxa"/>
            <w:vAlign w:val="bottom"/>
            <w:gridSpan w:val="2"/>
          </w:tcPr>
          <w:p>
            <w:pPr>
              <w:spacing w:after="0" w:line="156" w:lineRule="exact"/>
              <w:rPr>
                <w:sz w:val="20"/>
                <w:szCs w:val="20"/>
                <w:color w:val="auto"/>
              </w:rPr>
            </w:pPr>
            <w:r>
              <w:rPr>
                <w:rFonts w:ascii="Arial" w:cs="Arial" w:eastAsia="Arial" w:hAnsi="Arial"/>
                <w:sz w:val="15"/>
                <w:szCs w:val="15"/>
                <w:color w:val="auto"/>
              </w:rPr>
              <w:t>Total Core Earnings adjustments to GAAP</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5"/>
                <w:szCs w:val="15"/>
                <w:color w:val="auto"/>
              </w:rPr>
              <w:t>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40"/>
              <w:spacing w:after="0" w:line="156" w:lineRule="exact"/>
              <w:rPr>
                <w:sz w:val="20"/>
                <w:szCs w:val="20"/>
                <w:color w:val="auto"/>
              </w:rPr>
            </w:pPr>
            <w:r>
              <w:rPr>
                <w:rFonts w:ascii="Arial" w:cs="Arial" w:eastAsia="Arial" w:hAnsi="Arial"/>
                <w:sz w:val="15"/>
                <w:szCs w:val="15"/>
                <w:color w:val="auto"/>
              </w:rPr>
              <w:t>(49)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45</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jc w:val="right"/>
              <w:spacing w:after="0" w:line="156" w:lineRule="exact"/>
              <w:rPr>
                <w:sz w:val="20"/>
                <w:szCs w:val="20"/>
                <w:color w:val="auto"/>
              </w:rPr>
            </w:pPr>
            <w:r>
              <w:rPr>
                <w:rFonts w:ascii="Arial" w:cs="Arial" w:eastAsia="Arial" w:hAnsi="Arial"/>
                <w:sz w:val="15"/>
                <w:szCs w:val="15"/>
                <w:color w:val="auto"/>
              </w:rPr>
              <w:t>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Core Earnings net income (loss)</w:t>
            </w:r>
          </w:p>
        </w:tc>
        <w:tc>
          <w:tcPr>
            <w:tcW w:w="480" w:type="dxa"/>
            <w:vAlign w:val="bottom"/>
            <w:gridSpan w:val="2"/>
            <w:shd w:val="clear" w:color="auto" w:fill="CFF0FC"/>
          </w:tcPr>
          <w:p>
            <w:pPr>
              <w:jc w:val="right"/>
              <w:ind w:right="68"/>
              <w:spacing w:after="0" w:line="156"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w:t>
            </w:r>
          </w:p>
        </w:tc>
        <w:tc>
          <w:tcPr>
            <w:tcW w:w="460" w:type="dxa"/>
            <w:vAlign w:val="bottom"/>
            <w:tcBorders>
              <w:left w:val="single" w:sz="8" w:color="CFF0FC"/>
            </w:tcBorders>
            <w:gridSpan w:val="2"/>
            <w:shd w:val="clear" w:color="auto" w:fill="CFF0FC"/>
          </w:tcPr>
          <w:p>
            <w:pPr>
              <w:jc w:val="right"/>
              <w:ind w:right="88"/>
              <w:spacing w:after="0" w:line="156"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140"/>
              <w:spacing w:after="0" w:line="156" w:lineRule="exact"/>
              <w:rPr>
                <w:sz w:val="20"/>
                <w:szCs w:val="20"/>
                <w:color w:val="auto"/>
              </w:rPr>
            </w:pPr>
            <w:r>
              <w:rPr>
                <w:rFonts w:ascii="Arial" w:cs="Arial" w:eastAsia="Arial" w:hAnsi="Arial"/>
                <w:sz w:val="15"/>
                <w:szCs w:val="15"/>
                <w:color w:val="auto"/>
              </w:rPr>
              <w:t>(83)</w:t>
            </w:r>
          </w:p>
        </w:tc>
        <w:tc>
          <w:tcPr>
            <w:tcW w:w="240" w:type="dxa"/>
            <w:vAlign w:val="bottom"/>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(25)</w:t>
            </w:r>
          </w:p>
        </w:tc>
        <w:tc>
          <w:tcPr>
            <w:tcW w:w="340" w:type="dxa"/>
            <w:vAlign w:val="bottom"/>
            <w:gridSpan w:val="2"/>
            <w:shd w:val="clear" w:color="auto" w:fill="CFF0FC"/>
          </w:tcPr>
          <w:p>
            <w:pPr>
              <w:jc w:val="right"/>
              <w:ind w:right="68"/>
              <w:spacing w:after="0" w:line="156"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40"/>
              <w:spacing w:after="0" w:line="156" w:lineRule="exact"/>
              <w:rPr>
                <w:sz w:val="20"/>
                <w:szCs w:val="20"/>
                <w:color w:val="auto"/>
              </w:rPr>
            </w:pPr>
            <w:r>
              <w:rPr>
                <w:rFonts w:ascii="Arial" w:cs="Arial" w:eastAsia="Arial" w:hAnsi="Arial"/>
                <w:sz w:val="15"/>
                <w:szCs w:val="15"/>
                <w:color w:val="auto"/>
              </w:rPr>
              <w:t>(35)</w:t>
            </w:r>
          </w:p>
        </w:tc>
        <w:tc>
          <w:tcPr>
            <w:tcW w:w="740" w:type="dxa"/>
            <w:vAlign w:val="bottom"/>
            <w:shd w:val="clear" w:color="auto" w:fill="CFF0FC"/>
          </w:tcPr>
          <w:p>
            <w:pPr>
              <w:jc w:val="right"/>
              <w:ind w:right="586"/>
              <w:spacing w:after="0" w:line="156" w:lineRule="exact"/>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-247650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-247650</wp:posOffset>
            </wp:positionV>
            <wp:extent cx="603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-247650</wp:posOffset>
            </wp:positionV>
            <wp:extent cx="603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-247650</wp:posOffset>
            </wp:positionV>
            <wp:extent cx="603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-247650</wp:posOffset>
            </wp:positionV>
            <wp:extent cx="6032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-24765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-7620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-24765</wp:posOffset>
            </wp:positionV>
            <wp:extent cx="6032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-7620</wp:posOffset>
            </wp:positionV>
            <wp:extent cx="603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-24765</wp:posOffset>
            </wp:positionV>
            <wp:extent cx="603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-7620</wp:posOffset>
            </wp:positionV>
            <wp:extent cx="6032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-24765</wp:posOffset>
            </wp:positionV>
            <wp:extent cx="603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-7620</wp:posOffset>
            </wp:positionV>
            <wp:extent cx="603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ind w:left="460" w:right="200" w:hanging="456"/>
        <w:spacing w:after="0" w:line="244" w:lineRule="auto"/>
        <w:tabs>
          <w:tab w:leader="none" w:pos="406" w:val="left"/>
        </w:tabs>
        <w:numPr>
          <w:ilvl w:val="0"/>
          <w:numId w:val="26"/>
        </w:numPr>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Derivative Accounting: </w:t>
      </w:r>
      <w:r>
        <w:rPr>
          <w:rFonts w:ascii="Arial" w:cs="Arial" w:eastAsia="Arial" w:hAnsi="Arial"/>
          <w:sz w:val="16"/>
          <w:szCs w:val="16"/>
          <w:color w:val="auto"/>
        </w:rPr>
        <w:t>Core Earnings exclude periodic gains and losses that are caused by the mark-to-market valuations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derivatives that do not qualify for hedge accounting treatment under GAAP, as well as the periodic mark-to-market gains and losses that are a result of ineffectiveness recognized related to effective hedges under GAAP. Under GAAP, for our derivatives that are held to maturity, the mark-to-market gain or loss over the life of the contract will equal $0. In our Core Earnings presentation, we recognize the economic effect of these hedges, which generally results in any net settlement cash paid or received being recognized ratably as an interest expense or revenue over the hedged item’s life.</w:t>
      </w:r>
    </w:p>
    <w:p>
      <w:pPr>
        <w:spacing w:after="0" w:line="4"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9" w:right="109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The table below quantifies the adjustments for derivative accounting between GAAP and Core Earnings net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500" w:type="dxa"/>
            <w:vAlign w:val="bottom"/>
            <w:gridSpan w:val="4"/>
            <w:shd w:val="clear" w:color="auto" w:fill="D9D9D9"/>
          </w:tcPr>
          <w:p>
            <w:pPr>
              <w:jc w:val="right"/>
              <w:ind w:right="180"/>
              <w:spacing w:after="0"/>
              <w:rPr>
                <w:sz w:val="20"/>
                <w:szCs w:val="20"/>
                <w:color w:val="auto"/>
              </w:rPr>
            </w:pPr>
            <w:r>
              <w:rPr>
                <w:rFonts w:ascii="Arial" w:cs="Arial" w:eastAsia="Arial" w:hAnsi="Arial"/>
                <w:sz w:val="13"/>
                <w:szCs w:val="13"/>
                <w:b w:val="1"/>
                <w:bCs w:val="1"/>
                <w:color w:val="auto"/>
              </w:rPr>
              <w:t>QUARTERS ENDED</w:t>
            </w:r>
          </w:p>
        </w:tc>
        <w:tc>
          <w:tcPr>
            <w:tcW w:w="20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1440" w:type="dxa"/>
            <w:vAlign w:val="bottom"/>
            <w:gridSpan w:val="3"/>
            <w:shd w:val="clear" w:color="auto" w:fill="D9D9D9"/>
          </w:tcPr>
          <w:p>
            <w:pPr>
              <w:ind w:left="460"/>
              <w:spacing w:after="0"/>
              <w:rPr>
                <w:sz w:val="20"/>
                <w:szCs w:val="20"/>
                <w:color w:val="auto"/>
              </w:rPr>
            </w:pPr>
            <w:r>
              <w:rPr>
                <w:rFonts w:ascii="Arial" w:cs="Arial" w:eastAsia="Arial" w:hAnsi="Arial"/>
                <w:sz w:val="13"/>
                <w:szCs w:val="13"/>
                <w:b w:val="1"/>
                <w:bCs w:val="1"/>
                <w:color w:val="auto"/>
              </w:rPr>
              <w:t>YEARS ENDED</w:t>
            </w:r>
          </w:p>
        </w:tc>
        <w:tc>
          <w:tcPr>
            <w:tcW w:w="66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0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September</w:t>
            </w:r>
          </w:p>
        </w:tc>
        <w:tc>
          <w:tcPr>
            <w:tcW w:w="110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3"/>
                <w:szCs w:val="13"/>
                <w:color w:val="auto"/>
              </w:rPr>
            </w:pPr>
          </w:p>
        </w:tc>
        <w:tc>
          <w:tcPr>
            <w:tcW w:w="110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2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30, 2025</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Core Earnings derivative adjustments:</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0" w:type="dxa"/>
            <w:vAlign w:val="bottom"/>
            <w:gridSpan w:val="3"/>
          </w:tcPr>
          <w:p>
            <w:pPr>
              <w:spacing w:after="0" w:line="153" w:lineRule="exact"/>
              <w:rPr>
                <w:sz w:val="20"/>
                <w:szCs w:val="20"/>
                <w:color w:val="auto"/>
              </w:rPr>
            </w:pPr>
            <w:r>
              <w:rPr>
                <w:rFonts w:ascii="Arial" w:cs="Arial" w:eastAsia="Arial" w:hAnsi="Arial"/>
                <w:sz w:val="14"/>
                <w:szCs w:val="14"/>
                <w:color w:val="auto"/>
              </w:rPr>
              <w:t>(Gains) losses on derivative and hedging</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400" w:type="dxa"/>
            <w:vAlign w:val="bottom"/>
            <w:gridSpan w:val="3"/>
          </w:tcPr>
          <w:p>
            <w:pPr>
              <w:ind w:left="120"/>
              <w:spacing w:after="0"/>
              <w:rPr>
                <w:sz w:val="20"/>
                <w:szCs w:val="20"/>
                <w:color w:val="auto"/>
              </w:rPr>
            </w:pPr>
            <w:r>
              <w:rPr>
                <w:rFonts w:ascii="Arial" w:cs="Arial" w:eastAsia="Arial" w:hAnsi="Arial"/>
                <w:sz w:val="14"/>
                <w:szCs w:val="14"/>
                <w:color w:val="auto"/>
              </w:rPr>
              <w:t>activities, net, included in other income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(59)</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3"/>
        </w:trPr>
        <w:tc>
          <w:tcPr>
            <w:tcW w:w="340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Plus: (Gains) losses on fair value hedging activity</w:t>
            </w:r>
          </w:p>
        </w:tc>
        <w:tc>
          <w:tcPr>
            <w:tcW w:w="2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120"/>
              <w:spacing w:after="0" w:line="158" w:lineRule="exact"/>
              <w:rPr>
                <w:sz w:val="20"/>
                <w:szCs w:val="20"/>
                <w:color w:val="auto"/>
              </w:rPr>
            </w:pPr>
            <w:r>
              <w:rPr>
                <w:rFonts w:ascii="Arial" w:cs="Arial" w:eastAsia="Arial" w:hAnsi="Arial"/>
                <w:sz w:val="14"/>
                <w:szCs w:val="14"/>
                <w:color w:val="auto"/>
              </w:rPr>
              <w:t>included in interest expense</w:t>
            </w:r>
          </w:p>
        </w:tc>
        <w:tc>
          <w:tcPr>
            <w:tcW w:w="20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0" w:type="dxa"/>
            <w:vAlign w:val="bottom"/>
            <w:gridSpan w:val="3"/>
          </w:tcPr>
          <w:p>
            <w:pPr>
              <w:spacing w:after="0" w:line="155" w:lineRule="exact"/>
              <w:rPr>
                <w:sz w:val="20"/>
                <w:szCs w:val="20"/>
                <w:color w:val="auto"/>
              </w:rPr>
            </w:pPr>
            <w:r>
              <w:rPr>
                <w:rFonts w:ascii="Arial" w:cs="Arial" w:eastAsia="Arial" w:hAnsi="Arial"/>
                <w:sz w:val="14"/>
                <w:szCs w:val="14"/>
                <w:color w:val="auto"/>
              </w:rPr>
              <w:t>Total (gains) losses in GAAP net income</w:t>
            </w:r>
          </w:p>
        </w:tc>
        <w:tc>
          <w:tcPr>
            <w:tcW w:w="2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37</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3"/>
        </w:trPr>
        <w:tc>
          <w:tcPr>
            <w:tcW w:w="340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Plus: Reclassification of settlement income</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0" w:type="dxa"/>
            <w:vAlign w:val="bottom"/>
            <w:gridSpan w:val="3"/>
            <w:shd w:val="clear" w:color="auto" w:fill="CFF0FC"/>
          </w:tcPr>
          <w:p>
            <w:pPr>
              <w:ind w:left="120"/>
              <w:spacing w:after="0" w:line="145" w:lineRule="exact"/>
              <w:rPr>
                <w:sz w:val="20"/>
                <w:szCs w:val="20"/>
                <w:color w:val="auto"/>
              </w:rPr>
            </w:pPr>
            <w:r>
              <w:rPr>
                <w:rFonts w:ascii="Arial" w:cs="Arial" w:eastAsia="Arial" w:hAnsi="Arial"/>
                <w:sz w:val="14"/>
                <w:szCs w:val="14"/>
                <w:color w:val="auto"/>
              </w:rPr>
              <w:t>(expense) on derivative and hedging</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00" w:type="dxa"/>
            <w:vAlign w:val="bottom"/>
            <w:tcBorders>
              <w:bottom w:val="single" w:sz="8" w:color="CFF0FC"/>
            </w:tcBorders>
            <w:gridSpan w:val="3"/>
            <w:shd w:val="clear" w:color="auto" w:fill="CFF0FC"/>
          </w:tcPr>
          <w:p>
            <w:pPr>
              <w:ind w:left="120"/>
              <w:spacing w:after="0" w:line="175" w:lineRule="exact"/>
              <w:rPr>
                <w:sz w:val="20"/>
                <w:szCs w:val="20"/>
                <w:color w:val="auto"/>
              </w:rPr>
            </w:pPr>
            <w:r>
              <w:rPr>
                <w:rFonts w:ascii="Arial" w:cs="Arial" w:eastAsia="Arial" w:hAnsi="Arial"/>
                <w:sz w:val="14"/>
                <w:szCs w:val="14"/>
                <w:color w:val="auto"/>
              </w:rPr>
              <w:t>activities, net</w:t>
            </w:r>
            <w:r>
              <w:rPr>
                <w:rFonts w:ascii="Arial" w:cs="Arial" w:eastAsia="Arial" w:hAnsi="Arial"/>
                <w:sz w:val="19"/>
                <w:szCs w:val="19"/>
                <w:color w:val="auto"/>
                <w:vertAlign w:val="superscript"/>
              </w:rPr>
              <w:t>(1)</w:t>
            </w: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400" w:type="dxa"/>
            <w:vAlign w:val="bottom"/>
            <w:gridSpan w:val="3"/>
          </w:tcPr>
          <w:p>
            <w:pPr>
              <w:spacing w:after="0" w:line="129" w:lineRule="exact"/>
              <w:rPr>
                <w:sz w:val="20"/>
                <w:szCs w:val="20"/>
                <w:color w:val="auto"/>
              </w:rPr>
            </w:pPr>
            <w:r>
              <w:rPr>
                <w:rFonts w:ascii="Arial" w:cs="Arial" w:eastAsia="Arial" w:hAnsi="Arial"/>
                <w:sz w:val="14"/>
                <w:szCs w:val="14"/>
                <w:color w:val="auto"/>
              </w:rPr>
              <w:t>Mark-to-market (gains) losses on derivative and</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00" w:type="dxa"/>
            <w:vAlign w:val="bottom"/>
            <w:gridSpan w:val="3"/>
          </w:tcPr>
          <w:p>
            <w:pPr>
              <w:ind w:left="120"/>
              <w:spacing w:after="0" w:line="189" w:lineRule="exact"/>
              <w:rPr>
                <w:sz w:val="20"/>
                <w:szCs w:val="20"/>
                <w:color w:val="auto"/>
              </w:rPr>
            </w:pPr>
            <w:r>
              <w:rPr>
                <w:rFonts w:ascii="Arial" w:cs="Arial" w:eastAsia="Arial" w:hAnsi="Arial"/>
                <w:sz w:val="14"/>
                <w:szCs w:val="14"/>
                <w:color w:val="auto"/>
              </w:rPr>
              <w:t>hedging activities, net</w:t>
            </w:r>
            <w:r>
              <w:rPr>
                <w:rFonts w:ascii="Arial" w:cs="Arial" w:eastAsia="Arial" w:hAnsi="Arial"/>
                <w:sz w:val="19"/>
                <w:szCs w:val="19"/>
                <w:color w:val="auto"/>
                <w:vertAlign w:val="superscript"/>
              </w:rPr>
              <w:t>(2)</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3"/>
        </w:trPr>
        <w:tc>
          <w:tcPr>
            <w:tcW w:w="340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Amortization of net premiums on Floor Income</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Contracts in net interest income for Core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Earnings</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3"/>
          </w:tcPr>
          <w:p>
            <w:pPr>
              <w:spacing w:after="0" w:line="162" w:lineRule="exact"/>
              <w:rPr>
                <w:sz w:val="20"/>
                <w:szCs w:val="20"/>
                <w:color w:val="auto"/>
              </w:rPr>
            </w:pPr>
            <w:r>
              <w:rPr>
                <w:rFonts w:ascii="Arial" w:cs="Arial" w:eastAsia="Arial" w:hAnsi="Arial"/>
                <w:sz w:val="14"/>
                <w:szCs w:val="14"/>
                <w:color w:val="auto"/>
              </w:rPr>
              <w:t>Other derivative accounting adjustments</w:t>
            </w:r>
            <w:r>
              <w:rPr>
                <w:rFonts w:ascii="Arial" w:cs="Arial" w:eastAsia="Arial" w:hAnsi="Arial"/>
                <w:sz w:val="18"/>
                <w:szCs w:val="18"/>
                <w:color w:val="auto"/>
                <w:vertAlign w:val="superscript"/>
              </w:rPr>
              <w:t>(3)</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Total net impact of derivative accounting</w:t>
            </w:r>
          </w:p>
        </w:tc>
        <w:tc>
          <w:tcPr>
            <w:tcW w:w="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(60)</w:t>
            </w:r>
          </w:p>
        </w:tc>
        <w:tc>
          <w:tcPr>
            <w:tcW w:w="420" w:type="dxa"/>
            <w:vAlign w:val="bottom"/>
            <w:gridSpan w:val="2"/>
            <w:shd w:val="clear" w:color="auto" w:fill="CFF0FC"/>
          </w:tcPr>
          <w:p>
            <w:pPr>
              <w:ind w:left="20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w:t>
            </w:r>
          </w:p>
        </w:tc>
        <w:tc>
          <w:tcPr>
            <w:tcW w:w="660" w:type="dxa"/>
            <w:vAlign w:val="bottom"/>
            <w:gridSpan w:val="2"/>
            <w:shd w:val="clear" w:color="auto" w:fill="CFF0FC"/>
          </w:tcPr>
          <w:p>
            <w:pPr>
              <w:ind w:left="32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16"/>
        </w:trPr>
        <w:tc>
          <w:tcPr>
            <w:tcW w:w="1160" w:type="dxa"/>
            <w:vAlign w:val="bottom"/>
            <w:tcBorders>
              <w:top w:val="single" w:sz="8" w:color="CFF0FC"/>
              <w:bottom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1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-1268095</wp:posOffset>
            </wp:positionV>
            <wp:extent cx="596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-1268095</wp:posOffset>
            </wp:positionV>
            <wp:extent cx="603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-1268095</wp:posOffset>
            </wp:positionV>
            <wp:extent cx="6032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-1268095</wp:posOffset>
            </wp:positionV>
            <wp:extent cx="6032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-1268095</wp:posOffset>
            </wp:positionV>
            <wp:extent cx="603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-856615</wp:posOffset>
            </wp:positionV>
            <wp:extent cx="596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-856615</wp:posOffset>
            </wp:positionV>
            <wp:extent cx="6032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-856615</wp:posOffset>
            </wp:positionV>
            <wp:extent cx="603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-856615</wp:posOffset>
            </wp:positionV>
            <wp:extent cx="603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-856615</wp:posOffset>
            </wp:positionV>
            <wp:extent cx="6032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-119380</wp:posOffset>
            </wp:positionV>
            <wp:extent cx="596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-102235</wp:posOffset>
            </wp:positionV>
            <wp:extent cx="596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-119380</wp:posOffset>
            </wp:positionV>
            <wp:extent cx="6032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-102235</wp:posOffset>
            </wp:positionV>
            <wp:extent cx="603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-119380</wp:posOffset>
            </wp:positionV>
            <wp:extent cx="6032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-102235</wp:posOffset>
            </wp:positionV>
            <wp:extent cx="6032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-119380</wp:posOffset>
            </wp:positionV>
            <wp:extent cx="603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-102235</wp:posOffset>
            </wp:positionV>
            <wp:extent cx="603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-119380</wp:posOffset>
            </wp:positionV>
            <wp:extent cx="6032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-102235</wp:posOffset>
            </wp:positionV>
            <wp:extent cx="6032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 w:lineRule="exact"/>
        <w:rPr>
          <w:sz w:val="20"/>
          <w:szCs w:val="20"/>
          <w:color w:val="auto"/>
        </w:rPr>
      </w:pPr>
    </w:p>
    <w:p>
      <w:pPr>
        <w:ind w:left="320" w:right="40" w:hanging="316"/>
        <w:spacing w:after="0" w:line="252" w:lineRule="auto"/>
        <w:tabs>
          <w:tab w:leader="none" w:pos="320" w:val="left"/>
        </w:tabs>
        <w:numPr>
          <w:ilvl w:val="0"/>
          <w:numId w:val="27"/>
        </w:numPr>
        <w:rPr>
          <w:rFonts w:ascii="Arial" w:cs="Arial" w:eastAsia="Arial" w:hAnsi="Arial"/>
          <w:sz w:val="8"/>
          <w:szCs w:val="8"/>
          <w:color w:val="auto"/>
        </w:rPr>
      </w:pPr>
      <w:r>
        <w:rPr>
          <w:rFonts w:ascii="Arial" w:cs="Arial" w:eastAsia="Arial" w:hAnsi="Arial"/>
          <w:sz w:val="14"/>
          <w:szCs w:val="14"/>
          <w:color w:val="auto"/>
        </w:rPr>
        <w:t>Derivative accounting requires net settlement income/expense on derivatives that do not qualify as hedges to be recorded in a separate income statement line item below net interest income. Under our Core Earnings presentation, these settlements are reclassified to the income statement line item of the economically hedged item. For our Core Earnings net interest income, this would primarily include reclassifying the net settlement amounts related to certain of our interest rate swaps to debt interest expense. The table below summarizes these net settlements on derivative and hedging activities and the associated reclassification on a Core Earnings basis.</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1520" w:type="dxa"/>
            <w:vAlign w:val="bottom"/>
            <w:gridSpan w:val="4"/>
            <w:shd w:val="clear" w:color="auto" w:fill="D9D9D9"/>
          </w:tcPr>
          <w:p>
            <w:pPr>
              <w:ind w:left="180"/>
              <w:spacing w:after="0"/>
              <w:rPr>
                <w:sz w:val="20"/>
                <w:szCs w:val="20"/>
                <w:color w:val="auto"/>
              </w:rPr>
            </w:pPr>
            <w:r>
              <w:rPr>
                <w:rFonts w:ascii="Arial" w:cs="Arial" w:eastAsia="Arial" w:hAnsi="Arial"/>
                <w:sz w:val="13"/>
                <w:szCs w:val="13"/>
                <w:b w:val="1"/>
                <w:bCs w:val="1"/>
                <w:color w:val="auto"/>
              </w:rPr>
              <w:t>QUARTERS ENDED</w:t>
            </w:r>
          </w:p>
        </w:tc>
        <w:tc>
          <w:tcPr>
            <w:tcW w:w="10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740" w:type="dxa"/>
            <w:vAlign w:val="bottom"/>
            <w:gridSpan w:val="3"/>
            <w:shd w:val="clear" w:color="auto" w:fill="D9D9D9"/>
          </w:tcPr>
          <w:p>
            <w:pPr>
              <w:jc w:val="right"/>
              <w:ind w:right="288"/>
              <w:spacing w:after="0"/>
              <w:rPr>
                <w:sz w:val="20"/>
                <w:szCs w:val="20"/>
                <w:color w:val="auto"/>
              </w:rPr>
            </w:pPr>
            <w:r>
              <w:rPr>
                <w:rFonts w:ascii="Arial" w:cs="Arial" w:eastAsia="Arial" w:hAnsi="Arial"/>
                <w:sz w:val="13"/>
                <w:szCs w:val="13"/>
                <w:b w:val="1"/>
                <w:bCs w:val="1"/>
                <w:color w:val="auto"/>
              </w:rPr>
              <w:t>YEARS ENDED</w:t>
            </w:r>
          </w:p>
        </w:tc>
        <w:tc>
          <w:tcPr>
            <w:tcW w:w="2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w:t>
            </w: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0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54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22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30, 2025</w:t>
            </w:r>
          </w:p>
        </w:tc>
        <w:tc>
          <w:tcPr>
            <w:tcW w:w="26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Arial" w:cs="Arial" w:eastAsia="Arial" w:hAnsi="Arial"/>
                <w:sz w:val="14"/>
                <w:szCs w:val="14"/>
                <w:b w:val="1"/>
                <w:bCs w:val="1"/>
                <w:color w:val="auto"/>
              </w:rPr>
              <w:t>2025</w:t>
            </w:r>
          </w:p>
        </w:tc>
        <w:tc>
          <w:tcPr>
            <w:tcW w:w="9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540" w:type="dxa"/>
            <w:vAlign w:val="bottom"/>
            <w:gridSpan w:val="2"/>
            <w:shd w:val="clear" w:color="auto" w:fill="CFF0FC"/>
          </w:tcPr>
          <w:p>
            <w:pPr>
              <w:ind w:left="20"/>
              <w:spacing w:after="0" w:line="147" w:lineRule="exact"/>
              <w:rPr>
                <w:sz w:val="20"/>
                <w:szCs w:val="20"/>
                <w:color w:val="auto"/>
              </w:rPr>
            </w:pPr>
            <w:r>
              <w:rPr>
                <w:rFonts w:ascii="Arial" w:cs="Arial" w:eastAsia="Arial" w:hAnsi="Arial"/>
                <w:sz w:val="14"/>
                <w:szCs w:val="14"/>
                <w:b w:val="1"/>
                <w:bCs w:val="1"/>
                <w:color w:val="auto"/>
              </w:rPr>
              <w:t>Reclassification of settlements on</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2"/>
            <w:shd w:val="clear" w:color="auto" w:fill="CFF0FC"/>
          </w:tcPr>
          <w:p>
            <w:pPr>
              <w:ind w:left="140"/>
              <w:spacing w:after="0"/>
              <w:rPr>
                <w:sz w:val="20"/>
                <w:szCs w:val="20"/>
                <w:color w:val="auto"/>
              </w:rPr>
            </w:pPr>
            <w:r>
              <w:rPr>
                <w:rFonts w:ascii="Arial" w:cs="Arial" w:eastAsia="Arial" w:hAnsi="Arial"/>
                <w:sz w:val="14"/>
                <w:szCs w:val="14"/>
                <w:b w:val="1"/>
                <w:bCs w:val="1"/>
                <w:color w:val="auto"/>
              </w:rPr>
              <w:t>derivative and hedging</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FF0FC"/>
          </w:tcPr>
          <w:p>
            <w:pPr>
              <w:ind w:left="140"/>
              <w:spacing w:after="0"/>
              <w:rPr>
                <w:sz w:val="20"/>
                <w:szCs w:val="20"/>
                <w:color w:val="auto"/>
              </w:rPr>
            </w:pPr>
            <w:r>
              <w:rPr>
                <w:rFonts w:ascii="Arial" w:cs="Arial" w:eastAsia="Arial" w:hAnsi="Arial"/>
                <w:sz w:val="14"/>
                <w:szCs w:val="14"/>
                <w:b w:val="1"/>
                <w:bCs w:val="1"/>
                <w:color w:val="auto"/>
              </w:rPr>
              <w:t>activities: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Net settlement income (expense) on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interest rate swaps reclassified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to net interest income</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4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94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tcBorders>
              <w:top w:val="single" w:sz="8" w:color="CFF0FC"/>
            </w:tcBorders>
            <w:gridSpan w:val="2"/>
            <w:shd w:val="clear" w:color="auto" w:fill="CFF0FC"/>
          </w:tcPr>
          <w:p>
            <w:pPr>
              <w:ind w:left="20"/>
              <w:spacing w:after="0" w:line="133" w:lineRule="exact"/>
              <w:rPr>
                <w:sz w:val="20"/>
                <w:szCs w:val="20"/>
                <w:color w:val="auto"/>
              </w:rPr>
            </w:pPr>
            <w:r>
              <w:rPr>
                <w:rFonts w:ascii="Arial" w:cs="Arial" w:eastAsia="Arial" w:hAnsi="Arial"/>
                <w:sz w:val="14"/>
                <w:szCs w:val="14"/>
                <w:color w:val="auto"/>
              </w:rPr>
              <w:t>Total reclassifications of settlement</w:t>
            </w:r>
          </w:p>
        </w:tc>
        <w:tc>
          <w:tcPr>
            <w:tcW w:w="2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income (expense) on derivative</w:t>
            </w:r>
          </w:p>
        </w:tc>
        <w:tc>
          <w:tcPr>
            <w:tcW w:w="2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4"/>
                <w:szCs w:val="14"/>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FF0FC"/>
            </w:tcBorders>
            <w:gridSpan w:val="2"/>
            <w:shd w:val="clear" w:color="auto" w:fill="CFF0FC"/>
          </w:tcPr>
          <w:p>
            <w:pPr>
              <w:ind w:left="140"/>
              <w:spacing w:after="0" w:line="125" w:lineRule="exact"/>
              <w:rPr>
                <w:sz w:val="20"/>
                <w:szCs w:val="20"/>
                <w:color w:val="auto"/>
              </w:rPr>
            </w:pPr>
            <w:r>
              <w:rPr>
                <w:rFonts w:ascii="Arial" w:cs="Arial" w:eastAsia="Arial" w:hAnsi="Arial"/>
                <w:sz w:val="14"/>
                <w:szCs w:val="14"/>
                <w:color w:val="auto"/>
              </w:rPr>
              <w:t>and hedging activities</w:t>
            </w: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-24765</wp:posOffset>
            </wp:positionV>
            <wp:extent cx="514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-7620</wp:posOffset>
            </wp:positionV>
            <wp:extent cx="514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-307975</wp:posOffset>
            </wp:positionV>
            <wp:extent cx="514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-24765</wp:posOffset>
            </wp:positionV>
            <wp:extent cx="5143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-7620</wp:posOffset>
            </wp:positionV>
            <wp:extent cx="5143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-307975</wp:posOffset>
            </wp:positionV>
            <wp:extent cx="5143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-24765</wp:posOffset>
            </wp:positionV>
            <wp:extent cx="5143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-7620</wp:posOffset>
            </wp:positionV>
            <wp:extent cx="514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-307975</wp:posOffset>
            </wp:positionV>
            <wp:extent cx="5143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-24765</wp:posOffset>
            </wp:positionV>
            <wp:extent cx="5143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-7620</wp:posOffset>
            </wp:positionV>
            <wp:extent cx="514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-307975</wp:posOffset>
            </wp:positionV>
            <wp:extent cx="514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-24765</wp:posOffset>
            </wp:positionV>
            <wp:extent cx="5143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-7620</wp:posOffset>
            </wp:positionV>
            <wp:extent cx="5143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-307975</wp:posOffset>
            </wp:positionV>
            <wp:extent cx="5143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ind w:left="200" w:hanging="196"/>
        <w:spacing w:after="0"/>
        <w:tabs>
          <w:tab w:leader="none" w:pos="200" w:val="left"/>
        </w:tabs>
        <w:numPr>
          <w:ilvl w:val="0"/>
          <w:numId w:val="28"/>
        </w:numPr>
        <w:rPr>
          <w:rFonts w:ascii="Arial" w:cs="Arial" w:eastAsia="Arial" w:hAnsi="Arial"/>
          <w:sz w:val="17"/>
          <w:szCs w:val="17"/>
          <w:color w:val="auto"/>
          <w:vertAlign w:val="superscript"/>
        </w:rPr>
      </w:pPr>
      <w:r>
        <w:rPr>
          <w:rFonts w:ascii="Arial" w:cs="Arial" w:eastAsia="Arial" w:hAnsi="Arial"/>
          <w:sz w:val="14"/>
          <w:szCs w:val="14"/>
          <w:color w:val="auto"/>
        </w:rPr>
        <w:t>“Mark-to-market (gains) on derivative and hedging activities, net” is comprised of the following:</w:t>
      </w:r>
    </w:p>
    <w:p>
      <w:pPr>
        <w:sectPr>
          <w:pgSz w:w="11900" w:h="16838" w:orient="portrait"/>
          <w:cols w:equalWidth="0" w:num="1">
            <w:col w:w="9720"/>
          </w:cols>
          <w:pgMar w:left="1080" w:top="1097" w:right="109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00"/>
        <w:spacing w:after="0"/>
        <w:rPr>
          <w:sz w:val="20"/>
          <w:szCs w:val="20"/>
          <w:color w:val="auto"/>
        </w:rPr>
      </w:pPr>
      <w:r>
        <w:rPr>
          <w:rFonts w:ascii="Arial" w:cs="Arial" w:eastAsia="Arial" w:hAnsi="Arial"/>
          <w:sz w:val="13"/>
          <w:szCs w:val="13"/>
          <w:b w:val="1"/>
          <w:bCs w:val="1"/>
          <w:u w:val="single" w:color="auto"/>
          <w:color w:val="auto"/>
        </w:rPr>
        <w:t>(Dollars in millions)</w:t>
      </w:r>
    </w:p>
    <w:p>
      <w:pPr>
        <w:spacing w:after="0" w:line="18" w:lineRule="exact"/>
        <w:rPr>
          <w:sz w:val="20"/>
          <w:szCs w:val="20"/>
          <w:color w:val="auto"/>
        </w:rPr>
      </w:pPr>
    </w:p>
    <w:p>
      <w:pPr>
        <w:ind w:left="500" w:right="680"/>
        <w:spacing w:after="0" w:line="221" w:lineRule="auto"/>
        <w:rPr>
          <w:sz w:val="20"/>
          <w:szCs w:val="20"/>
          <w:color w:val="auto"/>
        </w:rPr>
      </w:pPr>
      <w:r>
        <w:rPr>
          <w:rFonts w:ascii="Arial" w:cs="Arial" w:eastAsia="Arial" w:hAnsi="Arial"/>
          <w:sz w:val="14"/>
          <w:szCs w:val="14"/>
          <w:color w:val="auto"/>
        </w:rPr>
        <w:t xml:space="preserve">Fair value hedges Foreign currency hedges Other </w:t>
      </w:r>
      <w:r>
        <w:rPr>
          <w:rFonts w:ascii="Arial" w:cs="Arial" w:eastAsia="Arial" w:hAnsi="Arial"/>
          <w:sz w:val="19"/>
          <w:szCs w:val="19"/>
          <w:color w:val="auto"/>
          <w:vertAlign w:val="superscript"/>
        </w:rPr>
        <w:t>(a)</w:t>
      </w:r>
    </w:p>
    <w:p>
      <w:pPr>
        <w:spacing w:after="0" w:line="2" w:lineRule="exact"/>
        <w:rPr>
          <w:sz w:val="20"/>
          <w:szCs w:val="20"/>
          <w:color w:val="auto"/>
        </w:rPr>
      </w:pPr>
    </w:p>
    <w:p>
      <w:pPr>
        <w:ind w:left="580" w:hanging="79"/>
        <w:spacing w:after="0" w:line="252" w:lineRule="auto"/>
        <w:rPr>
          <w:sz w:val="20"/>
          <w:szCs w:val="20"/>
          <w:color w:val="auto"/>
        </w:rPr>
      </w:pPr>
      <w:r>
        <w:rPr>
          <w:rFonts w:ascii="Arial" w:cs="Arial" w:eastAsia="Arial" w:hAnsi="Arial"/>
          <w:sz w:val="14"/>
          <w:szCs w:val="14"/>
          <w:color w:val="auto"/>
        </w:rPr>
        <w:t>Total mark-to-market (gains) losses on derivative and hedging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69215</wp:posOffset>
            </wp:positionV>
            <wp:extent cx="44577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400" w:type="dxa"/>
            <w:vAlign w:val="bottom"/>
            <w:gridSpan w:val="4"/>
            <w:shd w:val="clear" w:color="auto" w:fill="D9D9D9"/>
          </w:tcPr>
          <w:p>
            <w:pPr>
              <w:jc w:val="right"/>
              <w:ind w:right="60"/>
              <w:spacing w:after="0"/>
              <w:rPr>
                <w:sz w:val="20"/>
                <w:szCs w:val="20"/>
                <w:color w:val="auto"/>
              </w:rPr>
            </w:pPr>
            <w:r>
              <w:rPr>
                <w:rFonts w:ascii="Arial" w:cs="Arial" w:eastAsia="Arial" w:hAnsi="Arial"/>
                <w:sz w:val="13"/>
                <w:szCs w:val="13"/>
                <w:b w:val="1"/>
                <w:bCs w:val="1"/>
                <w:color w:val="auto"/>
              </w:rPr>
              <w:t>QUARTERS ENDED</w:t>
            </w:r>
          </w:p>
        </w:tc>
        <w:tc>
          <w:tcPr>
            <w:tcW w:w="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1400" w:type="dxa"/>
            <w:vAlign w:val="bottom"/>
            <w:gridSpan w:val="3"/>
            <w:shd w:val="clear" w:color="auto" w:fill="D9D9D9"/>
          </w:tcPr>
          <w:p>
            <w:pPr>
              <w:ind w:left="420"/>
              <w:spacing w:after="0"/>
              <w:rPr>
                <w:sz w:val="20"/>
                <w:szCs w:val="20"/>
                <w:color w:val="auto"/>
              </w:rPr>
            </w:pPr>
            <w:r>
              <w:rPr>
                <w:rFonts w:ascii="Arial" w:cs="Arial" w:eastAsia="Arial" w:hAnsi="Arial"/>
                <w:sz w:val="13"/>
                <w:szCs w:val="13"/>
                <w:b w:val="1"/>
                <w:bCs w:val="1"/>
                <w:color w:val="auto"/>
              </w:rPr>
              <w:t>YEARS ENDED</w:t>
            </w:r>
          </w:p>
        </w:tc>
        <w:tc>
          <w:tcPr>
            <w:tcW w:w="6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0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4"/>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1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300" w:type="dxa"/>
            <w:vAlign w:val="bottom"/>
            <w:gridSpan w:val="3"/>
          </w:tcPr>
          <w:p>
            <w:pPr>
              <w:jc w:val="right"/>
              <w:ind w:right="340"/>
              <w:spacing w:after="0" w:line="153"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18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220" w:type="dxa"/>
            <w:vAlign w:val="bottom"/>
          </w:tcPr>
          <w:p>
            <w:pPr>
              <w:jc w:val="right"/>
              <w:ind w:right="68"/>
              <w:spacing w:after="0" w:line="14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32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w:t>
            </w: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(35)</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-1618615</wp:posOffset>
            </wp:positionH>
            <wp:positionV relativeFrom="paragraph">
              <wp:posOffset>-624840</wp:posOffset>
            </wp:positionV>
            <wp:extent cx="5554980" cy="10287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554980" cy="102870"/>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-419100</wp:posOffset>
            </wp:positionV>
            <wp:extent cx="5554980" cy="11112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554980" cy="11112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2760" w:space="280"/>
            <w:col w:w="6680"/>
          </w:cols>
          <w:pgMar w:left="1080" w:top="1097" w:right="1099" w:bottom="1440" w:gutter="0" w:footer="0" w:header="0"/>
          <w:type w:val="continuous"/>
        </w:sectPr>
      </w:pPr>
    </w:p>
    <w:p>
      <w:pPr>
        <w:ind w:left="580" w:right="420" w:hanging="122"/>
        <w:spacing w:after="0" w:line="263" w:lineRule="auto"/>
        <w:tabs>
          <w:tab w:leader="none" w:pos="585" w:val="left"/>
        </w:tabs>
        <w:numPr>
          <w:ilvl w:val="1"/>
          <w:numId w:val="29"/>
        </w:numPr>
        <w:rPr>
          <w:rFonts w:ascii="Arial" w:cs="Arial" w:eastAsia="Arial" w:hAnsi="Arial"/>
          <w:sz w:val="9"/>
          <w:szCs w:val="9"/>
          <w:color w:val="auto"/>
        </w:rPr>
      </w:pPr>
      <w:r>
        <w:rPr>
          <w:rFonts w:ascii="Arial" w:cs="Arial" w:eastAsia="Arial" w:hAnsi="Arial"/>
          <w:sz w:val="14"/>
          <w:szCs w:val="14"/>
          <w:color w:val="auto"/>
        </w:rPr>
        <w:t>Primarily derivatives that are used to economically hedge the origination of fixed rate Private Education Loans that don’t qualify for hedge accounting. We believe that these derivatives are effective economic hedges,and as such, are a critical element of our interest rate risk management strategy.</w:t>
      </w:r>
    </w:p>
    <w:p>
      <w:pPr>
        <w:spacing w:after="0" w:line="78" w:lineRule="exact"/>
        <w:rPr>
          <w:rFonts w:ascii="Arial" w:cs="Arial" w:eastAsia="Arial" w:hAnsi="Arial"/>
          <w:sz w:val="9"/>
          <w:szCs w:val="9"/>
          <w:color w:val="auto"/>
        </w:rPr>
      </w:pPr>
    </w:p>
    <w:p>
      <w:pPr>
        <w:ind w:left="220" w:right="40" w:hanging="216"/>
        <w:spacing w:after="0" w:line="238" w:lineRule="auto"/>
        <w:tabs>
          <w:tab w:leader="none" w:pos="187" w:val="left"/>
        </w:tabs>
        <w:numPr>
          <w:ilvl w:val="0"/>
          <w:numId w:val="30"/>
        </w:numPr>
        <w:rPr>
          <w:rFonts w:ascii="Arial" w:cs="Arial" w:eastAsia="Arial" w:hAnsi="Arial"/>
          <w:sz w:val="17"/>
          <w:szCs w:val="17"/>
          <w:color w:val="auto"/>
          <w:vertAlign w:val="superscript"/>
        </w:rPr>
      </w:pPr>
      <w:r>
        <w:rPr>
          <w:rFonts w:ascii="Arial" w:cs="Arial" w:eastAsia="Arial" w:hAnsi="Arial"/>
          <w:sz w:val="14"/>
          <w:szCs w:val="14"/>
          <w:color w:val="auto"/>
        </w:rPr>
        <w:t>Other derivative accounting adjustments consist of adjustments related to certain terminated derivatives that did not receive hedge accounting treatment under GAAP but were economic hedges under Core Earnings and, as a result, such gains or losses are amortized into Core Earnings over the life of the hedged item:</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7" w:right="10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i w:val="1"/>
          <w:iCs w:val="1"/>
          <w:color w:val="auto"/>
        </w:rPr>
        <w:t>Cumulative Impact of Derivative Accounting under GAAP compared to Core Earnings</w:t>
      </w:r>
    </w:p>
    <w:p>
      <w:pPr>
        <w:spacing w:after="0" w:line="11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December 31, 2025, derivative accounting has decreased GAAP equity by approximately $39 million as a result of cumulative net mark-to-market losses (after tax) recognized under GAAP, but not in Core Earnings. The following table rolls forward the cumulative impact to GAAP equity due to these after-tax mark-to-market net gains and losses related to derivative accounting.</w:t>
      </w:r>
    </w:p>
    <w:p>
      <w:pPr>
        <w:sectPr>
          <w:pgSz w:w="11900" w:h="16838" w:orient="portrait"/>
          <w:cols w:equalWidth="0" w:num="1">
            <w:col w:w="9720"/>
          </w:cols>
          <w:pgMar w:left="1080" w:top="131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(Dollars in millions)</w:t>
      </w:r>
    </w:p>
    <w:p>
      <w:pPr>
        <w:spacing w:after="0" w:line="18" w:lineRule="exact"/>
        <w:rPr>
          <w:sz w:val="20"/>
          <w:szCs w:val="20"/>
          <w:color w:val="auto"/>
        </w:rPr>
      </w:pPr>
    </w:p>
    <w:p>
      <w:pPr>
        <w:ind w:left="120" w:hanging="119"/>
        <w:spacing w:after="0" w:line="241" w:lineRule="auto"/>
        <w:rPr>
          <w:sz w:val="20"/>
          <w:szCs w:val="20"/>
          <w:color w:val="auto"/>
        </w:rPr>
      </w:pPr>
      <w:r>
        <w:rPr>
          <w:rFonts w:ascii="Arial" w:cs="Arial" w:eastAsia="Arial" w:hAnsi="Arial"/>
          <w:sz w:val="14"/>
          <w:szCs w:val="14"/>
          <w:color w:val="auto"/>
        </w:rPr>
        <w:t>Beginning impact of derivative accounting on GAAP equity</w:t>
      </w:r>
    </w:p>
    <w:p>
      <w:pPr>
        <w:spacing w:after="0" w:line="1" w:lineRule="exact"/>
        <w:rPr>
          <w:sz w:val="20"/>
          <w:szCs w:val="20"/>
          <w:color w:val="auto"/>
        </w:rPr>
      </w:pPr>
    </w:p>
    <w:p>
      <w:pPr>
        <w:ind w:left="120" w:right="120" w:hanging="119"/>
        <w:spacing w:after="0" w:line="204" w:lineRule="auto"/>
        <w:rPr>
          <w:sz w:val="20"/>
          <w:szCs w:val="20"/>
          <w:color w:val="auto"/>
        </w:rPr>
      </w:pPr>
      <w:r>
        <w:rPr>
          <w:rFonts w:ascii="Arial" w:cs="Arial" w:eastAsia="Arial" w:hAnsi="Arial"/>
          <w:sz w:val="14"/>
          <w:szCs w:val="14"/>
          <w:color w:val="auto"/>
        </w:rPr>
        <w:t>Net impact of net mark-to-market gains (losses) under derivative accounting</w:t>
      </w:r>
      <w:r>
        <w:rPr>
          <w:rFonts w:ascii="Arial" w:cs="Arial" w:eastAsia="Arial" w:hAnsi="Arial"/>
          <w:sz w:val="19"/>
          <w:szCs w:val="19"/>
          <w:color w:val="auto"/>
          <w:vertAlign w:val="superscript"/>
        </w:rPr>
        <w:t>(1)</w:t>
      </w:r>
    </w:p>
    <w:p>
      <w:pPr>
        <w:spacing w:after="0" w:line="1" w:lineRule="exact"/>
        <w:rPr>
          <w:sz w:val="20"/>
          <w:szCs w:val="20"/>
          <w:color w:val="auto"/>
        </w:rPr>
      </w:pPr>
    </w:p>
    <w:p>
      <w:pPr>
        <w:ind w:left="120" w:hanging="119"/>
        <w:spacing w:after="0" w:line="264" w:lineRule="auto"/>
        <w:rPr>
          <w:sz w:val="20"/>
          <w:szCs w:val="20"/>
          <w:color w:val="auto"/>
        </w:rPr>
      </w:pPr>
      <w:r>
        <w:rPr>
          <w:rFonts w:ascii="Arial" w:cs="Arial" w:eastAsia="Arial" w:hAnsi="Arial"/>
          <w:sz w:val="14"/>
          <w:szCs w:val="14"/>
          <w:color w:val="auto"/>
        </w:rPr>
        <w:t>Ending impact of derivative accounting on GAAP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372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520" w:type="dxa"/>
            <w:vAlign w:val="bottom"/>
            <w:gridSpan w:val="4"/>
            <w:shd w:val="clear" w:color="auto" w:fill="D9D9D9"/>
          </w:tcPr>
          <w:p>
            <w:pPr>
              <w:jc w:val="center"/>
              <w:ind w:right="140"/>
              <w:spacing w:after="0"/>
              <w:rPr>
                <w:sz w:val="20"/>
                <w:szCs w:val="20"/>
                <w:color w:val="auto"/>
              </w:rPr>
            </w:pPr>
            <w:r>
              <w:rPr>
                <w:rFonts w:ascii="Arial" w:cs="Arial" w:eastAsia="Arial" w:hAnsi="Arial"/>
                <w:sz w:val="13"/>
                <w:szCs w:val="13"/>
                <w:b w:val="1"/>
                <w:bCs w:val="1"/>
                <w:color w:val="auto"/>
              </w:rPr>
              <w:t>QUARTERS ENDED</w:t>
            </w:r>
          </w:p>
        </w:tc>
        <w:tc>
          <w:tcPr>
            <w:tcW w:w="24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1500" w:type="dxa"/>
            <w:vAlign w:val="bottom"/>
            <w:gridSpan w:val="3"/>
            <w:shd w:val="clear" w:color="auto" w:fill="D9D9D9"/>
          </w:tcPr>
          <w:p>
            <w:pPr>
              <w:jc w:val="right"/>
              <w:spacing w:after="0"/>
              <w:rPr>
                <w:sz w:val="20"/>
                <w:szCs w:val="20"/>
                <w:color w:val="auto"/>
              </w:rPr>
            </w:pPr>
            <w:r>
              <w:rPr>
                <w:rFonts w:ascii="Arial" w:cs="Arial" w:eastAsia="Arial" w:hAnsi="Arial"/>
                <w:sz w:val="13"/>
                <w:szCs w:val="13"/>
                <w:b w:val="1"/>
                <w:bCs w:val="1"/>
                <w:color w:val="auto"/>
              </w:rPr>
              <w:t>YEARS ENDED</w:t>
            </w:r>
          </w:p>
        </w:tc>
        <w:tc>
          <w:tcPr>
            <w:tcW w:w="7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53"/>
        </w:trPr>
        <w:tc>
          <w:tcPr>
            <w:tcW w:w="12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jc w:val="right"/>
              <w:ind w:right="18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340" w:type="dxa"/>
            <w:vAlign w:val="bottom"/>
            <w:gridSpan w:val="3"/>
          </w:tcPr>
          <w:p>
            <w:pPr>
              <w:jc w:val="right"/>
              <w:ind w:right="360"/>
              <w:spacing w:after="0" w:line="153"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336"/>
        </w:trPr>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(37)</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(37)</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24"/>
                <w:szCs w:val="2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r>
      <w:tr>
        <w:trPr>
          <w:trHeight w:val="292"/>
        </w:trPr>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(47)</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(37)</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24"/>
                <w:szCs w:val="24"/>
                <w:color w:val="auto"/>
              </w:rPr>
            </w:pP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(39)</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-616585</wp:posOffset>
            </wp:positionV>
            <wp:extent cx="6172200" cy="2057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172200" cy="20574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-205105</wp:posOffset>
            </wp:positionV>
            <wp:extent cx="6172200" cy="2057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172200" cy="20574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2660" w:space="420"/>
            <w:col w:w="6640"/>
          </w:cols>
          <w:pgMar w:left="1080" w:top="1315" w:right="1099" w:bottom="1440" w:gutter="0" w:footer="0" w:header="0"/>
          <w:type w:val="continuous"/>
        </w:sectPr>
      </w:pPr>
    </w:p>
    <w:p>
      <w:pPr>
        <w:ind w:left="320" w:hanging="316"/>
        <w:spacing w:after="0"/>
        <w:tabs>
          <w:tab w:leader="none" w:pos="320" w:val="left"/>
        </w:tabs>
        <w:numPr>
          <w:ilvl w:val="0"/>
          <w:numId w:val="31"/>
        </w:numPr>
        <w:rPr>
          <w:rFonts w:ascii="Arial" w:cs="Arial" w:eastAsia="Arial" w:hAnsi="Arial"/>
          <w:sz w:val="8"/>
          <w:szCs w:val="8"/>
          <w:color w:val="auto"/>
        </w:rPr>
      </w:pPr>
      <w:r>
        <w:rPr>
          <w:rFonts w:ascii="Arial" w:cs="Arial" w:eastAsia="Arial" w:hAnsi="Arial"/>
          <w:sz w:val="14"/>
          <w:szCs w:val="14"/>
          <w:color w:val="auto"/>
        </w:rPr>
        <w:t>Net impact of net mark-to-market gains (losses) under derivative accounting is composed of the following:</w:t>
      </w:r>
    </w:p>
    <w:p>
      <w:pPr>
        <w:sectPr>
          <w:pgSz w:w="11900" w:h="16838" w:orient="portrait"/>
          <w:cols w:equalWidth="0" w:num="1">
            <w:col w:w="9720"/>
          </w:cols>
          <w:pgMar w:left="1080" w:top="1315" w:right="109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13"/>
          <w:szCs w:val="13"/>
          <w:b w:val="1"/>
          <w:bCs w:val="1"/>
          <w:u w:val="single" w:color="auto"/>
          <w:color w:val="auto"/>
        </w:rPr>
        <w:t>(Dollars in millions)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pre-tax net impact of derivative</w:t>
      </w:r>
    </w:p>
    <w:p>
      <w:pPr>
        <w:spacing w:after="0" w:line="1" w:lineRule="exact"/>
        <w:rPr>
          <w:sz w:val="20"/>
          <w:szCs w:val="20"/>
          <w:color w:val="auto"/>
        </w:rPr>
      </w:pPr>
    </w:p>
    <w:p>
      <w:pPr>
        <w:ind w:left="620" w:right="400"/>
        <w:spacing w:after="0" w:line="204" w:lineRule="auto"/>
        <w:rPr>
          <w:sz w:val="20"/>
          <w:szCs w:val="20"/>
          <w:color w:val="auto"/>
        </w:rPr>
      </w:pPr>
      <w:r>
        <w:rPr>
          <w:rFonts w:ascii="Arial" w:cs="Arial" w:eastAsia="Arial" w:hAnsi="Arial"/>
          <w:sz w:val="14"/>
          <w:szCs w:val="14"/>
          <w:color w:val="auto"/>
        </w:rPr>
        <w:t>accounting recognized in net income</w:t>
      </w:r>
      <w:r>
        <w:rPr>
          <w:rFonts w:ascii="Arial" w:cs="Arial" w:eastAsia="Arial" w:hAnsi="Arial"/>
          <w:sz w:val="19"/>
          <w:szCs w:val="19"/>
          <w:color w:val="auto"/>
          <w:vertAlign w:val="superscript"/>
        </w:rPr>
        <w:t>(2)</w:t>
      </w:r>
    </w:p>
    <w:p>
      <w:pPr>
        <w:spacing w:after="0" w:line="1" w:lineRule="exact"/>
        <w:rPr>
          <w:sz w:val="20"/>
          <w:szCs w:val="20"/>
          <w:color w:val="auto"/>
        </w:rPr>
      </w:pPr>
    </w:p>
    <w:p>
      <w:pPr>
        <w:ind w:left="620" w:right="120" w:hanging="119"/>
        <w:spacing w:after="0" w:line="241" w:lineRule="auto"/>
        <w:rPr>
          <w:sz w:val="20"/>
          <w:szCs w:val="20"/>
          <w:color w:val="auto"/>
        </w:rPr>
      </w:pPr>
      <w:r>
        <w:rPr>
          <w:rFonts w:ascii="Arial" w:cs="Arial" w:eastAsia="Arial" w:hAnsi="Arial"/>
          <w:sz w:val="14"/>
          <w:szCs w:val="14"/>
          <w:color w:val="auto"/>
        </w:rPr>
        <w:t>Tax and other impacts of derivative accounting adjustments</w:t>
      </w:r>
    </w:p>
    <w:p>
      <w:pPr>
        <w:spacing w:after="0" w:line="1" w:lineRule="exact"/>
        <w:rPr>
          <w:sz w:val="20"/>
          <w:szCs w:val="20"/>
          <w:color w:val="auto"/>
        </w:rPr>
      </w:pPr>
    </w:p>
    <w:p>
      <w:pPr>
        <w:ind w:left="620" w:hanging="119"/>
        <w:spacing w:after="0" w:line="241" w:lineRule="auto"/>
        <w:rPr>
          <w:sz w:val="20"/>
          <w:szCs w:val="20"/>
          <w:color w:val="auto"/>
        </w:rPr>
      </w:pPr>
      <w:r>
        <w:rPr>
          <w:rFonts w:ascii="Arial" w:cs="Arial" w:eastAsia="Arial" w:hAnsi="Arial"/>
          <w:sz w:val="14"/>
          <w:szCs w:val="14"/>
          <w:color w:val="auto"/>
        </w:rPr>
        <w:t>Change in mark-to-market gains (losses) on derivatives, net of tax recognized in other comprehensive income</w:t>
      </w:r>
    </w:p>
    <w:p>
      <w:pPr>
        <w:spacing w:after="0" w:line="1" w:lineRule="exact"/>
        <w:rPr>
          <w:sz w:val="20"/>
          <w:szCs w:val="20"/>
          <w:color w:val="auto"/>
        </w:rPr>
      </w:pPr>
    </w:p>
    <w:p>
      <w:pPr>
        <w:ind w:left="620" w:right="240" w:hanging="119"/>
        <w:spacing w:after="0" w:line="252" w:lineRule="auto"/>
        <w:rPr>
          <w:sz w:val="20"/>
          <w:szCs w:val="20"/>
          <w:color w:val="auto"/>
        </w:rPr>
      </w:pPr>
      <w:r>
        <w:rPr>
          <w:rFonts w:ascii="Arial" w:cs="Arial" w:eastAsia="Arial" w:hAnsi="Arial"/>
          <w:sz w:val="14"/>
          <w:szCs w:val="14"/>
          <w:color w:val="auto"/>
        </w:rPr>
        <w:t>Net impact of net mark-to-market gains (losses) under derivative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78105</wp:posOffset>
            </wp:positionV>
            <wp:extent cx="7969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360" w:type="dxa"/>
            <w:vAlign w:val="bottom"/>
            <w:gridSpan w:val="4"/>
            <w:shd w:val="clear" w:color="auto" w:fill="D9D9D9"/>
          </w:tcPr>
          <w:p>
            <w:pPr>
              <w:jc w:val="right"/>
              <w:ind w:right="80"/>
              <w:spacing w:after="0"/>
              <w:rPr>
                <w:sz w:val="20"/>
                <w:szCs w:val="20"/>
                <w:color w:val="auto"/>
              </w:rPr>
            </w:pPr>
            <w:r>
              <w:rPr>
                <w:rFonts w:ascii="Arial" w:cs="Arial" w:eastAsia="Arial" w:hAnsi="Arial"/>
                <w:sz w:val="13"/>
                <w:szCs w:val="13"/>
                <w:b w:val="1"/>
                <w:bCs w:val="1"/>
                <w:color w:val="auto"/>
              </w:rPr>
              <w:t>QUARTERS ENDED</w:t>
            </w:r>
          </w:p>
        </w:tc>
        <w:tc>
          <w:tcPr>
            <w:tcW w:w="10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1780" w:type="dxa"/>
            <w:vAlign w:val="bottom"/>
            <w:gridSpan w:val="4"/>
            <w:shd w:val="clear" w:color="auto" w:fill="D9D9D9"/>
          </w:tcPr>
          <w:p>
            <w:pPr>
              <w:jc w:val="right"/>
              <w:ind w:right="308"/>
              <w:spacing w:after="0"/>
              <w:rPr>
                <w:sz w:val="20"/>
                <w:szCs w:val="20"/>
                <w:color w:val="auto"/>
              </w:rPr>
            </w:pPr>
            <w:r>
              <w:rPr>
                <w:rFonts w:ascii="Arial" w:cs="Arial" w:eastAsia="Arial" w:hAnsi="Arial"/>
                <w:sz w:val="13"/>
                <w:szCs w:val="13"/>
                <w:b w:val="1"/>
                <w:bCs w:val="1"/>
                <w:color w:val="auto"/>
              </w:rPr>
              <w:t>YEARS ENDED</w:t>
            </w:r>
          </w:p>
        </w:tc>
        <w:tc>
          <w:tcPr>
            <w:tcW w:w="2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r>
      <w:tr>
        <w:trPr>
          <w:trHeight w:val="153"/>
        </w:trPr>
        <w:tc>
          <w:tcPr>
            <w:tcW w:w="11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26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4"/>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200" w:type="dxa"/>
            <w:vAlign w:val="bottom"/>
            <w:gridSpan w:val="3"/>
          </w:tcPr>
          <w:p>
            <w:pPr>
              <w:jc w:val="right"/>
              <w:ind w:right="220"/>
              <w:spacing w:after="0" w:line="153"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c>
          <w:tcPr>
            <w:tcW w:w="11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498"/>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24"/>
                <w:szCs w:val="24"/>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(8)</w:t>
            </w:r>
          </w:p>
        </w:tc>
      </w:tr>
      <w:tr>
        <w:trPr>
          <w:trHeight w:val="616"/>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r>
      <w:tr>
        <w:trPr>
          <w:trHeight w:val="20"/>
        </w:trPr>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4"/>
                <w:szCs w:val="24"/>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4"/>
                <w:szCs w:val="24"/>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-1233805</wp:posOffset>
            </wp:positionV>
            <wp:extent cx="5554980" cy="3086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554980"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-719455</wp:posOffset>
            </wp:positionV>
            <wp:extent cx="5554980" cy="41148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554980" cy="41148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2840" w:space="300"/>
            <w:col w:w="6580"/>
          </w:cols>
          <w:pgMar w:left="1080" w:top="1315" w:right="1099" w:bottom="1440" w:gutter="0" w:footer="0" w:header="0"/>
          <w:type w:val="continuous"/>
        </w:sectPr>
      </w:pPr>
    </w:p>
    <w:p>
      <w:pPr>
        <w:spacing w:after="0" w:line="30" w:lineRule="exact"/>
        <w:rPr>
          <w:sz w:val="20"/>
          <w:szCs w:val="20"/>
          <w:color w:val="auto"/>
        </w:rPr>
      </w:pPr>
    </w:p>
    <w:p>
      <w:pPr>
        <w:ind w:left="780" w:hanging="322"/>
        <w:spacing w:after="0"/>
        <w:tabs>
          <w:tab w:leader="none" w:pos="780" w:val="left"/>
        </w:tabs>
        <w:numPr>
          <w:ilvl w:val="0"/>
          <w:numId w:val="32"/>
        </w:numPr>
        <w:rPr>
          <w:rFonts w:ascii="Arial" w:cs="Arial" w:eastAsia="Arial" w:hAnsi="Arial"/>
          <w:sz w:val="17"/>
          <w:szCs w:val="17"/>
          <w:color w:val="auto"/>
          <w:vertAlign w:val="superscript"/>
        </w:rPr>
      </w:pPr>
      <w:r>
        <w:rPr>
          <w:rFonts w:ascii="Arial" w:cs="Arial" w:eastAsia="Arial" w:hAnsi="Arial"/>
          <w:sz w:val="14"/>
          <w:szCs w:val="14"/>
          <w:color w:val="auto"/>
        </w:rPr>
        <w:t>See “Core Earnings derivative adjustments” table above.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Hedging Embedded Floor Income</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use pay-fixed swaps and fixed rate debt to economically hedge embedded Floor Income in our FFELP loans. Historically, we have used these instruments on a periodic basis and depending upon market conditions and pricing, we may enter into additional hedges in the future. Under GAAP, the pay-fixed swaps are accounted for as cash flow hedges. The table below shows the amount of Hedged Floor Income that will be recognized in Core Earnings in future periods based on these hedge strategies.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60" w:type="dxa"/>
            <w:vAlign w:val="bottom"/>
          </w:tcPr>
          <w:p>
            <w:pPr>
              <w:jc w:val="center"/>
              <w:ind w:left="147"/>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5"/>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3120" w:type="dxa"/>
            <w:vAlign w:val="bottom"/>
          </w:tcPr>
          <w:p>
            <w:pPr>
              <w:spacing w:after="0"/>
              <w:rPr>
                <w:sz w:val="14"/>
                <w:szCs w:val="14"/>
                <w:color w:val="auto"/>
              </w:rPr>
            </w:pPr>
          </w:p>
        </w:tc>
        <w:tc>
          <w:tcPr>
            <w:tcW w:w="126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83"/>
        </w:trPr>
        <w:tc>
          <w:tcPr>
            <w:tcW w:w="43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hedged Floor Income, net of tax</w:t>
            </w:r>
            <w:r>
              <w:rPr>
                <w:rFonts w:ascii="Arial" w:cs="Arial" w:eastAsia="Arial" w:hAnsi="Arial"/>
                <w:sz w:val="21"/>
                <w:szCs w:val="21"/>
                <w:color w:val="auto"/>
                <w:vertAlign w:val="superscript"/>
              </w:rPr>
              <w:t>(1)(2)</w:t>
            </w:r>
          </w:p>
        </w:tc>
        <w:tc>
          <w:tcPr>
            <w:tcW w:w="1260" w:type="dxa"/>
            <w:vAlign w:val="bottom"/>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w:t>
            </w:r>
          </w:p>
        </w:tc>
        <w:tc>
          <w:tcPr>
            <w:tcW w:w="5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w:t>
            </w:r>
          </w:p>
        </w:tc>
        <w:tc>
          <w:tcPr>
            <w:tcW w:w="5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3723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82" w:lineRule="exact"/>
        <w:rPr>
          <w:sz w:val="20"/>
          <w:szCs w:val="20"/>
          <w:color w:val="auto"/>
        </w:rPr>
      </w:pPr>
    </w:p>
    <w:p>
      <w:pPr>
        <w:ind w:left="320" w:hanging="316"/>
        <w:spacing w:after="0"/>
        <w:tabs>
          <w:tab w:leader="none" w:pos="320" w:val="left"/>
        </w:tabs>
        <w:numPr>
          <w:ilvl w:val="0"/>
          <w:numId w:val="33"/>
        </w:numPr>
        <w:rPr>
          <w:rFonts w:ascii="Arial" w:cs="Arial" w:eastAsia="Arial" w:hAnsi="Arial"/>
          <w:sz w:val="17"/>
          <w:szCs w:val="17"/>
          <w:color w:val="auto"/>
          <w:vertAlign w:val="superscript"/>
        </w:rPr>
      </w:pPr>
      <w:r>
        <w:rPr>
          <w:rFonts w:ascii="Arial" w:cs="Arial" w:eastAsia="Arial" w:hAnsi="Arial"/>
          <w:sz w:val="14"/>
          <w:szCs w:val="14"/>
          <w:color w:val="auto"/>
        </w:rPr>
        <w:t>$36 million, $41 million and $57 million on a pre-tax basis as of December 31, 2025, September 30, 2025, and December 31, 2024, respectively.</w:t>
      </w:r>
    </w:p>
    <w:p>
      <w:pPr>
        <w:spacing w:after="0" w:line="52" w:lineRule="exact"/>
        <w:rPr>
          <w:rFonts w:ascii="Arial" w:cs="Arial" w:eastAsia="Arial" w:hAnsi="Arial"/>
          <w:sz w:val="17"/>
          <w:szCs w:val="17"/>
          <w:color w:val="auto"/>
          <w:vertAlign w:val="superscript"/>
        </w:rPr>
      </w:pPr>
    </w:p>
    <w:p>
      <w:pPr>
        <w:ind w:left="320" w:right="1120" w:hanging="316"/>
        <w:spacing w:after="0" w:line="237" w:lineRule="auto"/>
        <w:tabs>
          <w:tab w:leader="none" w:pos="316" w:val="left"/>
        </w:tabs>
        <w:numPr>
          <w:ilvl w:val="0"/>
          <w:numId w:val="33"/>
        </w:numPr>
        <w:rPr>
          <w:rFonts w:ascii="Arial" w:cs="Arial" w:eastAsia="Arial" w:hAnsi="Arial"/>
          <w:sz w:val="17"/>
          <w:szCs w:val="17"/>
          <w:color w:val="auto"/>
          <w:vertAlign w:val="superscript"/>
        </w:rPr>
      </w:pPr>
      <w:r>
        <w:rPr>
          <w:rFonts w:ascii="Arial" w:cs="Arial" w:eastAsia="Arial" w:hAnsi="Arial"/>
          <w:sz w:val="14"/>
          <w:szCs w:val="14"/>
          <w:color w:val="auto"/>
        </w:rPr>
        <w:t>Of the $27 million as of December 31, 2025, approximately $14 million, $7 million and $6 million will be recognized as part of Core Earnings net income in 2026, 2027 and 2028, respectively.</w:t>
      </w:r>
    </w:p>
    <w:p>
      <w:pPr>
        <w:spacing w:after="0" w:line="62" w:lineRule="exact"/>
        <w:rPr>
          <w:sz w:val="20"/>
          <w:szCs w:val="20"/>
          <w:color w:val="auto"/>
        </w:rPr>
      </w:pPr>
    </w:p>
    <w:p>
      <w:pPr>
        <w:ind w:left="320" w:right="40" w:hanging="316"/>
        <w:spacing w:after="0" w:line="286" w:lineRule="auto"/>
        <w:tabs>
          <w:tab w:leader="none" w:pos="35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Acquired Intangible Assets: </w:t>
      </w:r>
      <w:r>
        <w:rPr>
          <w:rFonts w:ascii="Arial" w:cs="Arial" w:eastAsia="Arial" w:hAnsi="Arial"/>
          <w:sz w:val="16"/>
          <w:szCs w:val="16"/>
          <w:color w:val="auto"/>
        </w:rPr>
        <w:t>Our Core Earnings exclude goodwill and intangible asset impairment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of acquired intangible assets. The following table summarizes the goodwill and acquired intangible asset adjustments.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420" w:type="dxa"/>
            <w:vAlign w:val="bottom"/>
            <w:gridSpan w:val="4"/>
            <w:shd w:val="clear" w:color="auto" w:fill="D9D9D9"/>
          </w:tcPr>
          <w:p>
            <w:pPr>
              <w:jc w:val="center"/>
              <w:spacing w:after="0"/>
              <w:rPr>
                <w:sz w:val="20"/>
                <w:szCs w:val="20"/>
                <w:color w:val="auto"/>
              </w:rPr>
            </w:pPr>
            <w:r>
              <w:rPr>
                <w:rFonts w:ascii="Arial" w:cs="Arial" w:eastAsia="Arial" w:hAnsi="Arial"/>
                <w:sz w:val="13"/>
                <w:szCs w:val="13"/>
                <w:b w:val="1"/>
                <w:bCs w:val="1"/>
                <w:color w:val="auto"/>
              </w:rPr>
              <w:t>QUARTERS ENDED</w:t>
            </w:r>
          </w:p>
        </w:tc>
        <w:tc>
          <w:tcPr>
            <w:tcW w:w="60" w:type="dxa"/>
            <w:vAlign w:val="bottom"/>
            <w:shd w:val="clear" w:color="auto" w:fill="D9D9D9"/>
          </w:tcPr>
          <w:p>
            <w:pPr>
              <w:spacing w:after="0"/>
              <w:rPr>
                <w:sz w:val="14"/>
                <w:szCs w:val="14"/>
                <w:color w:val="auto"/>
              </w:rPr>
            </w:pPr>
          </w:p>
        </w:tc>
        <w:tc>
          <w:tcPr>
            <w:tcW w:w="10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shd w:val="clear" w:color="auto" w:fill="D9D9D9"/>
          </w:tcPr>
          <w:p>
            <w:pPr>
              <w:jc w:val="right"/>
              <w:spacing w:after="0"/>
              <w:rPr>
                <w:sz w:val="20"/>
                <w:szCs w:val="20"/>
                <w:color w:val="auto"/>
              </w:rPr>
            </w:pPr>
            <w:r>
              <w:rPr>
                <w:rFonts w:ascii="Arial" w:cs="Arial" w:eastAsia="Arial" w:hAnsi="Arial"/>
                <w:sz w:val="13"/>
                <w:szCs w:val="13"/>
                <w:b w:val="1"/>
                <w:bCs w:val="1"/>
                <w:color w:val="auto"/>
              </w:rPr>
              <w:t>YEARS ENDED</w:t>
            </w:r>
          </w:p>
        </w:tc>
        <w:tc>
          <w:tcPr>
            <w:tcW w:w="7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53"/>
        </w:trPr>
        <w:tc>
          <w:tcPr>
            <w:tcW w:w="1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4"/>
                <w:szCs w:val="14"/>
                <w:color w:val="auto"/>
              </w:rPr>
            </w:pPr>
          </w:p>
        </w:tc>
      </w:tr>
      <w:tr>
        <w:trPr>
          <w:trHeight w:val="168"/>
        </w:trPr>
        <w:tc>
          <w:tcPr>
            <w:tcW w:w="3020" w:type="dxa"/>
            <w:vAlign w:val="bottom"/>
            <w:gridSpan w:val="2"/>
            <w:shd w:val="clear" w:color="auto" w:fill="CFF0FC"/>
          </w:tcPr>
          <w:p>
            <w:pPr>
              <w:spacing w:after="0" w:line="168" w:lineRule="exact"/>
              <w:rPr>
                <w:sz w:val="20"/>
                <w:szCs w:val="20"/>
                <w:color w:val="auto"/>
              </w:rPr>
            </w:pPr>
            <w:r>
              <w:rPr>
                <w:rFonts w:ascii="Arial" w:cs="Arial" w:eastAsia="Arial" w:hAnsi="Arial"/>
                <w:sz w:val="16"/>
                <w:szCs w:val="16"/>
                <w:color w:val="auto"/>
              </w:rPr>
              <w:t>Core Earnings goodwill and acquired</w:t>
            </w: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30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intangible asset adjustments</w:t>
            </w:r>
          </w:p>
        </w:tc>
        <w:tc>
          <w:tcPr>
            <w:tcW w:w="60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5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3</w:t>
            </w:r>
          </w:p>
        </w:tc>
        <w:tc>
          <w:tcPr>
            <w:tcW w:w="56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15" w:right="109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Tangible Equity and Adjusted Tangible Equity Ratio</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Adjusted Tangible Equity measures the ratio of Navient’s Tangible Equity to its tangible assets. We adjust this ratio to exclude the assets and equity associated with our FFELP Loan portfolio because FFELP Loans are no longer originated and the FFELP Loan portfolio bears a 3% maximum loss exposure under the terms of the federal guaranty. Management believes that excluding this portfolio from the ratio enhances its usefulness to investors. Management uses this ratio, in addition to other metrics, for analysis and decision making related to capital allocation decisions. The Adjusted Tangible Equity Ratio is calculated 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48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2025</w:t>
            </w:r>
          </w:p>
        </w:tc>
        <w:tc>
          <w:tcPr>
            <w:tcW w:w="50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4"/>
                <w:szCs w:val="14"/>
                <w:color w:val="auto"/>
              </w:rPr>
            </w:pPr>
          </w:p>
        </w:tc>
      </w:tr>
      <w:tr>
        <w:trPr>
          <w:trHeight w:val="183"/>
        </w:trPr>
        <w:tc>
          <w:tcPr>
            <w:tcW w:w="3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Navient Corporation's stockholders' equity</w:t>
            </w:r>
          </w:p>
        </w:tc>
        <w:tc>
          <w:tcPr>
            <w:tcW w:w="1060" w:type="dxa"/>
            <w:vAlign w:val="bottom"/>
            <w:gridSpan w:val="2"/>
            <w:shd w:val="clear" w:color="auto" w:fill="CFF0FC"/>
          </w:tcPr>
          <w:p>
            <w:pPr>
              <w:ind w:left="60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2,399</w:t>
            </w:r>
          </w:p>
        </w:tc>
        <w:tc>
          <w:tcPr>
            <w:tcW w:w="48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21"/>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2,439</w:t>
            </w:r>
          </w:p>
        </w:tc>
        <w:tc>
          <w:tcPr>
            <w:tcW w:w="5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2,641</w:t>
            </w:r>
          </w:p>
        </w:tc>
        <w:tc>
          <w:tcPr>
            <w:tcW w:w="160" w:type="dxa"/>
            <w:vAlign w:val="bottom"/>
            <w:shd w:val="clear" w:color="auto" w:fill="CFF0FC"/>
          </w:tcPr>
          <w:p>
            <w:pPr>
              <w:spacing w:after="0"/>
              <w:rPr>
                <w:sz w:val="15"/>
                <w:szCs w:val="15"/>
                <w:color w:val="auto"/>
              </w:rPr>
            </w:pPr>
          </w:p>
        </w:tc>
      </w:t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Less: Goodwill and acquired intangible assets</w:t>
            </w:r>
          </w:p>
        </w:tc>
        <w:tc>
          <w:tcPr>
            <w:tcW w:w="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4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5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60" w:type="dxa"/>
            <w:vAlign w:val="bottom"/>
          </w:tcPr>
          <w:p>
            <w:pPr>
              <w:spacing w:after="0"/>
              <w:rPr>
                <w:sz w:val="16"/>
                <w:szCs w:val="16"/>
                <w:color w:val="auto"/>
              </w:rPr>
            </w:pPr>
          </w:p>
        </w:tc>
      </w:tr>
      <w:tr>
        <w:trPr>
          <w:trHeight w:val="183"/>
        </w:trPr>
        <w:tc>
          <w:tcPr>
            <w:tcW w:w="3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Tangible Equity</w:t>
            </w:r>
          </w:p>
        </w:tc>
        <w:tc>
          <w:tcPr>
            <w:tcW w:w="6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1,965</w:t>
            </w:r>
          </w:p>
        </w:tc>
        <w:tc>
          <w:tcPr>
            <w:tcW w:w="4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2,004</w:t>
            </w:r>
          </w:p>
        </w:tc>
        <w:tc>
          <w:tcPr>
            <w:tcW w:w="5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2,204</w:t>
            </w:r>
          </w:p>
        </w:tc>
        <w:tc>
          <w:tcPr>
            <w:tcW w:w="160" w:type="dxa"/>
            <w:vAlign w:val="bottom"/>
            <w:shd w:val="clear" w:color="auto" w:fill="CFF0FC"/>
          </w:tcPr>
          <w:p>
            <w:pPr>
              <w:spacing w:after="0"/>
              <w:rPr>
                <w:sz w:val="15"/>
                <w:szCs w:val="15"/>
                <w:color w:val="auto"/>
              </w:rPr>
            </w:pPr>
          </w:p>
        </w:tc>
      </w:t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Less: Equity held for FFELP Loans</w:t>
            </w:r>
          </w:p>
        </w:tc>
        <w:tc>
          <w:tcPr>
            <w:tcW w:w="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4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5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Pr>
          <w:p>
            <w:pPr>
              <w:spacing w:after="0"/>
              <w:rPr>
                <w:sz w:val="16"/>
                <w:szCs w:val="16"/>
                <w:color w:val="auto"/>
              </w:rPr>
            </w:pPr>
          </w:p>
        </w:tc>
      </w:tr>
      <w:tr>
        <w:trPr>
          <w:trHeight w:val="223"/>
        </w:trPr>
        <w:tc>
          <w:tcPr>
            <w:tcW w:w="3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Adjusted Tangible Equity</w:t>
            </w:r>
          </w:p>
        </w:tc>
        <w:tc>
          <w:tcPr>
            <w:tcW w:w="1060" w:type="dxa"/>
            <w:vAlign w:val="bottom"/>
            <w:gridSpan w:val="2"/>
            <w:shd w:val="clear" w:color="auto" w:fill="CFF0FC"/>
          </w:tcPr>
          <w:p>
            <w:pPr>
              <w:ind w:left="60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1,824</w:t>
            </w:r>
          </w:p>
        </w:tc>
        <w:tc>
          <w:tcPr>
            <w:tcW w:w="4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1"/>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1,859</w:t>
            </w:r>
          </w:p>
        </w:tc>
        <w:tc>
          <w:tcPr>
            <w:tcW w:w="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2,050</w:t>
            </w:r>
          </w:p>
        </w:tc>
        <w:tc>
          <w:tcPr>
            <w:tcW w:w="160" w:type="dxa"/>
            <w:vAlign w:val="bottom"/>
            <w:shd w:val="clear" w:color="auto" w:fill="CFF0FC"/>
          </w:tcPr>
          <w:p>
            <w:pPr>
              <w:spacing w:after="0"/>
              <w:rPr>
                <w:sz w:val="19"/>
                <w:szCs w:val="19"/>
                <w:color w:val="auto"/>
              </w:rPr>
            </w:pPr>
          </w:p>
        </w:tc>
      </w:tr>
      <w:tr>
        <w:trPr>
          <w:trHeight w:val="170"/>
        </w:trPr>
        <w:tc>
          <w:tcPr>
            <w:tcW w:w="3900" w:type="dxa"/>
            <w:vAlign w:val="bottom"/>
            <w:tcBorders>
              <w:top w:val="single" w:sz="8" w:color="CFF0FC"/>
            </w:tcBorders>
            <w:gridSpan w:val="2"/>
          </w:tcPr>
          <w:p>
            <w:pPr>
              <w:spacing w:after="0" w:line="170" w:lineRule="exact"/>
              <w:rPr>
                <w:sz w:val="20"/>
                <w:szCs w:val="20"/>
                <w:color w:val="auto"/>
              </w:rPr>
            </w:pPr>
            <w:r>
              <w:rPr>
                <w:rFonts w:ascii="Arial" w:cs="Arial" w:eastAsia="Arial" w:hAnsi="Arial"/>
                <w:sz w:val="16"/>
                <w:szCs w:val="16"/>
                <w:color w:val="auto"/>
              </w:rPr>
              <w:t>Divided by:</w:t>
            </w:r>
          </w:p>
        </w:tc>
        <w:tc>
          <w:tcPr>
            <w:tcW w:w="60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80" w:type="dxa"/>
            <w:vAlign w:val="bottom"/>
            <w:tcBorders>
              <w:top w:val="single" w:sz="8" w:color="CFF0FC"/>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0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r>
      <w:tr>
        <w:trPr>
          <w:trHeight w:val="189"/>
        </w:trPr>
        <w:tc>
          <w:tcPr>
            <w:tcW w:w="39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assets</w:t>
            </w:r>
          </w:p>
        </w:tc>
        <w:tc>
          <w:tcPr>
            <w:tcW w:w="106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48,681</w:t>
            </w:r>
          </w:p>
        </w:tc>
        <w:tc>
          <w:tcPr>
            <w:tcW w:w="48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49,306</w:t>
            </w:r>
          </w:p>
        </w:tc>
        <w:tc>
          <w:tcPr>
            <w:tcW w:w="5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51,789</w:t>
            </w:r>
          </w:p>
        </w:tc>
        <w:tc>
          <w:tcPr>
            <w:tcW w:w="160" w:type="dxa"/>
            <w:vAlign w:val="bottom"/>
            <w:shd w:val="clear" w:color="auto" w:fill="CFF0FC"/>
          </w:tcPr>
          <w:p>
            <w:pPr>
              <w:spacing w:after="0"/>
              <w:rPr>
                <w:sz w:val="16"/>
                <w:szCs w:val="16"/>
                <w:color w:val="auto"/>
              </w:rPr>
            </w:pPr>
          </w:p>
        </w:tc>
      </w:t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Less: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39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Goodwill and acquired intangible assets</w:t>
            </w:r>
          </w:p>
        </w:tc>
        <w:tc>
          <w:tcPr>
            <w:tcW w:w="6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4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5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160" w:type="dxa"/>
            <w:vAlign w:val="bottom"/>
            <w:shd w:val="clear" w:color="auto" w:fill="CFF0FC"/>
          </w:tcPr>
          <w:p>
            <w:pPr>
              <w:spacing w:after="0"/>
              <w:rPr>
                <w:sz w:val="16"/>
                <w:szCs w:val="16"/>
                <w:color w:val="auto"/>
              </w:rPr>
            </w:pPr>
          </w:p>
        </w:tc>
      </w:tr>
      <w:tr>
        <w:trPr>
          <w:trHeight w:val="189"/>
        </w:trPr>
        <w:tc>
          <w:tcPr>
            <w:tcW w:w="3900" w:type="dxa"/>
            <w:vAlign w:val="bottom"/>
            <w:gridSpan w:val="2"/>
          </w:tcPr>
          <w:p>
            <w:pPr>
              <w:ind w:left="180"/>
              <w:spacing w:after="0"/>
              <w:rPr>
                <w:sz w:val="20"/>
                <w:szCs w:val="20"/>
                <w:color w:val="auto"/>
              </w:rPr>
            </w:pPr>
            <w:r>
              <w:rPr>
                <w:rFonts w:ascii="Arial" w:cs="Arial" w:eastAsia="Arial" w:hAnsi="Arial"/>
                <w:sz w:val="16"/>
                <w:szCs w:val="16"/>
                <w:color w:val="auto"/>
              </w:rPr>
              <w:t>FFELP Loans</w:t>
            </w:r>
          </w:p>
        </w:tc>
        <w:tc>
          <w:tcPr>
            <w:tcW w:w="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28,141</w:t>
            </w:r>
          </w:p>
        </w:tc>
        <w:tc>
          <w:tcPr>
            <w:tcW w:w="4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28,952</w:t>
            </w:r>
          </w:p>
        </w:tc>
        <w:tc>
          <w:tcPr>
            <w:tcW w:w="5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30,852</w:t>
            </w:r>
          </w:p>
        </w:tc>
        <w:tc>
          <w:tcPr>
            <w:tcW w:w="160" w:type="dxa"/>
            <w:vAlign w:val="bottom"/>
          </w:tcPr>
          <w:p>
            <w:pPr>
              <w:spacing w:after="0"/>
              <w:rPr>
                <w:sz w:val="16"/>
                <w:szCs w:val="16"/>
                <w:color w:val="auto"/>
              </w:rPr>
            </w:pPr>
          </w:p>
        </w:tc>
      </w:tr>
      <w:tr>
        <w:trPr>
          <w:trHeight w:val="183"/>
        </w:trPr>
        <w:tc>
          <w:tcPr>
            <w:tcW w:w="3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Adjusted tangible assets</w:t>
            </w:r>
          </w:p>
        </w:tc>
        <w:tc>
          <w:tcPr>
            <w:tcW w:w="1060" w:type="dxa"/>
            <w:vAlign w:val="bottom"/>
            <w:gridSpan w:val="2"/>
            <w:shd w:val="clear" w:color="auto" w:fill="CFF0FC"/>
          </w:tcPr>
          <w:p>
            <w:pPr>
              <w:ind w:left="60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20,106</w:t>
            </w:r>
          </w:p>
        </w:tc>
        <w:tc>
          <w:tcPr>
            <w:tcW w:w="48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21"/>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19,919</w:t>
            </w:r>
          </w:p>
        </w:tc>
        <w:tc>
          <w:tcPr>
            <w:tcW w:w="5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20,500</w:t>
            </w:r>
          </w:p>
        </w:tc>
        <w:tc>
          <w:tcPr>
            <w:tcW w:w="160" w:type="dxa"/>
            <w:vAlign w:val="bottom"/>
            <w:shd w:val="clear" w:color="auto" w:fill="CFF0FC"/>
          </w:tcPr>
          <w:p>
            <w:pPr>
              <w:spacing w:after="0"/>
              <w:rPr>
                <w:sz w:val="15"/>
                <w:szCs w:val="15"/>
                <w:color w:val="auto"/>
              </w:rPr>
            </w:pPr>
          </w:p>
        </w:tc>
      </w:tr>
      <w:tr>
        <w:trPr>
          <w:trHeight w:val="20"/>
        </w:trPr>
        <w:tc>
          <w:tcPr>
            <w:tcW w:w="126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83"/>
        </w:trPr>
        <w:tc>
          <w:tcPr>
            <w:tcW w:w="3900" w:type="dxa"/>
            <w:vAlign w:val="bottom"/>
            <w:gridSpan w:val="2"/>
          </w:tcPr>
          <w:p>
            <w:pPr>
              <w:spacing w:after="0" w:line="183" w:lineRule="exact"/>
              <w:rPr>
                <w:sz w:val="20"/>
                <w:szCs w:val="20"/>
                <w:color w:val="auto"/>
              </w:rPr>
            </w:pPr>
            <w:r>
              <w:rPr>
                <w:rFonts w:ascii="Arial" w:cs="Arial" w:eastAsia="Arial" w:hAnsi="Arial"/>
                <w:sz w:val="16"/>
                <w:szCs w:val="16"/>
                <w:color w:val="auto"/>
              </w:rPr>
              <w:t>Adjusted Tangible Equity Ratio</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9.1%</w:t>
            </w:r>
          </w:p>
        </w:tc>
        <w:tc>
          <w:tcPr>
            <w:tcW w:w="500" w:type="dxa"/>
            <w:vAlign w:val="bottom"/>
          </w:tcPr>
          <w:p>
            <w:pPr>
              <w:spacing w:after="0"/>
              <w:rPr>
                <w:sz w:val="15"/>
                <w:szCs w:val="15"/>
                <w:color w:val="auto"/>
              </w:rPr>
            </w:pPr>
          </w:p>
        </w:tc>
        <w:tc>
          <w:tcPr>
            <w:tcW w:w="140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9.3%</w:t>
            </w:r>
          </w:p>
        </w:tc>
        <w:tc>
          <w:tcPr>
            <w:tcW w:w="460" w:type="dxa"/>
            <w:vAlign w:val="bottom"/>
          </w:tcPr>
          <w:p>
            <w:pPr>
              <w:spacing w:after="0"/>
              <w:rPr>
                <w:sz w:val="15"/>
                <w:szCs w:val="15"/>
                <w:color w:val="auto"/>
              </w:rPr>
            </w:pPr>
          </w:p>
        </w:tc>
        <w:tc>
          <w:tcPr>
            <w:tcW w:w="10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10.0%</w:t>
            </w:r>
          </w:p>
        </w:tc>
      </w:tr>
      <w:tr>
        <w:trPr>
          <w:trHeight w:val="20"/>
        </w:trPr>
        <w:tc>
          <w:tcPr>
            <w:tcW w:w="1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-908050</wp:posOffset>
            </wp:positionV>
            <wp:extent cx="1028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-890905</wp:posOffset>
            </wp:positionV>
            <wp:extent cx="10287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-908050</wp:posOffset>
            </wp:positionV>
            <wp:extent cx="1028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-890905</wp:posOffset>
            </wp:positionV>
            <wp:extent cx="1028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-908050</wp:posOffset>
            </wp:positionV>
            <wp:extent cx="10287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-890905</wp:posOffset>
            </wp:positionV>
            <wp:extent cx="10287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-153670</wp:posOffset>
            </wp:positionV>
            <wp:extent cx="1028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-153670</wp:posOffset>
            </wp:positionV>
            <wp:extent cx="1028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-153670</wp:posOffset>
            </wp:positionV>
            <wp:extent cx="10287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before Interest, Taxes, Depreciation and Amortization Expense (EBITDA)</w:t>
      </w:r>
    </w:p>
    <w:p>
      <w:pPr>
        <w:spacing w:after="0" w:line="10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This measures the operating performance of the Business Processing segment and is used by management and equity investors to monitor operating performance and determine the value of those businesses. EBITDA for the Business Processing segment is calculated as: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380" w:type="dxa"/>
            <w:vAlign w:val="bottom"/>
            <w:gridSpan w:val="4"/>
            <w:shd w:val="clear" w:color="auto" w:fill="D9D9D9"/>
          </w:tcPr>
          <w:p>
            <w:pPr>
              <w:ind w:left="20"/>
              <w:spacing w:after="0"/>
              <w:rPr>
                <w:sz w:val="20"/>
                <w:szCs w:val="20"/>
                <w:color w:val="auto"/>
              </w:rPr>
            </w:pPr>
            <w:r>
              <w:rPr>
                <w:rFonts w:ascii="Arial" w:cs="Arial" w:eastAsia="Arial" w:hAnsi="Arial"/>
                <w:sz w:val="13"/>
                <w:szCs w:val="13"/>
                <w:b w:val="1"/>
                <w:bCs w:val="1"/>
                <w:color w:val="auto"/>
              </w:rPr>
              <w:t>QUARTERS ENDED</w:t>
            </w:r>
          </w:p>
        </w:tc>
        <w:tc>
          <w:tcPr>
            <w:tcW w:w="10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20" w:type="dxa"/>
            <w:vAlign w:val="bottom"/>
            <w:gridSpan w:val="4"/>
            <w:shd w:val="clear" w:color="auto" w:fill="D9D9D9"/>
          </w:tcPr>
          <w:p>
            <w:pPr>
              <w:jc w:val="right"/>
              <w:spacing w:after="0"/>
              <w:rPr>
                <w:sz w:val="20"/>
                <w:szCs w:val="20"/>
                <w:color w:val="auto"/>
              </w:rPr>
            </w:pPr>
            <w:r>
              <w:rPr>
                <w:rFonts w:ascii="Arial" w:cs="Arial" w:eastAsia="Arial" w:hAnsi="Arial"/>
                <w:sz w:val="13"/>
                <w:szCs w:val="13"/>
                <w:b w:val="1"/>
                <w:bCs w:val="1"/>
                <w:color w:val="auto"/>
              </w:rPr>
              <w:t>YEARS ENDED</w:t>
            </w:r>
          </w:p>
        </w:tc>
        <w:tc>
          <w:tcPr>
            <w:tcW w:w="6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r>
      <w:tr>
        <w:trPr>
          <w:trHeight w:val="134"/>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1"/>
                <w:szCs w:val="11"/>
                <w:color w:val="auto"/>
              </w:rPr>
            </w:pPr>
          </w:p>
        </w:tc>
        <w:tc>
          <w:tcPr>
            <w:tcW w:w="126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1"/>
                <w:szCs w:val="11"/>
                <w:color w:val="auto"/>
              </w:rPr>
            </w:pPr>
          </w:p>
        </w:tc>
        <w:tc>
          <w:tcPr>
            <w:tcW w:w="1240" w:type="dxa"/>
            <w:vAlign w:val="bottom"/>
            <w:gridSpan w:val="3"/>
          </w:tcPr>
          <w:p>
            <w:pPr>
              <w:jc w:val="right"/>
              <w:ind w:right="300"/>
              <w:spacing w:after="0" w:line="134"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1"/>
                <w:szCs w:val="11"/>
                <w:color w:val="auto"/>
              </w:rPr>
            </w:pPr>
          </w:p>
        </w:tc>
        <w:tc>
          <w:tcPr>
            <w:tcW w:w="1200" w:type="dxa"/>
            <w:vAlign w:val="bottom"/>
            <w:gridSpan w:val="3"/>
          </w:tcPr>
          <w:p>
            <w:pPr>
              <w:jc w:val="right"/>
              <w:ind w:right="260"/>
              <w:spacing w:after="0" w:line="134" w:lineRule="exact"/>
              <w:rPr>
                <w:sz w:val="20"/>
                <w:szCs w:val="20"/>
                <w:color w:val="auto"/>
              </w:rPr>
            </w:pPr>
            <w:r>
              <w:rPr>
                <w:rFonts w:ascii="Arial" w:cs="Arial" w:eastAsia="Arial" w:hAnsi="Arial"/>
                <w:sz w:val="13"/>
                <w:szCs w:val="13"/>
                <w:b w:val="1"/>
                <w:bCs w:val="1"/>
                <w:color w:val="auto"/>
              </w:rPr>
              <w:t>December 31,</w:t>
            </w:r>
          </w:p>
        </w:tc>
      </w:tr>
      <w:tr>
        <w:trPr>
          <w:trHeight w:val="163"/>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1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2025</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w w:val="96"/>
              </w:rPr>
              <w:t>2024</w:t>
            </w:r>
          </w:p>
        </w:tc>
        <w:tc>
          <w:tcPr>
            <w:tcW w:w="160" w:type="dxa"/>
            <w:vAlign w:val="bottom"/>
          </w:tcPr>
          <w:p>
            <w:pPr>
              <w:spacing w:after="0"/>
              <w:rPr>
                <w:sz w:val="14"/>
                <w:szCs w:val="14"/>
                <w:color w:val="auto"/>
              </w:rPr>
            </w:pPr>
          </w:p>
        </w:tc>
      </w:tr>
      <w:tr>
        <w:trPr>
          <w:trHeight w:val="183"/>
        </w:trPr>
        <w:tc>
          <w:tcPr>
            <w:tcW w:w="318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Core Earnings pre-tax income</w:t>
            </w:r>
          </w:p>
        </w:tc>
        <w:tc>
          <w:tcPr>
            <w:tcW w:w="240" w:type="dxa"/>
            <w:vAlign w:val="bottom"/>
            <w:shd w:val="clear" w:color="auto" w:fill="CFF0FC"/>
          </w:tcPr>
          <w:p>
            <w:pPr>
              <w:jc w:val="right"/>
              <w:ind w:right="62"/>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66"/>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(25)</w:t>
            </w:r>
          </w:p>
        </w:tc>
        <w:tc>
          <w:tcPr>
            <w:tcW w:w="320" w:type="dxa"/>
            <w:vAlign w:val="bottom"/>
            <w:gridSpan w:val="2"/>
            <w:shd w:val="clear" w:color="auto" w:fill="CFF0FC"/>
          </w:tcPr>
          <w:p>
            <w:pPr>
              <w:jc w:val="right"/>
              <w:ind w:right="66"/>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86"/>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234</w:t>
            </w:r>
          </w:p>
        </w:tc>
        <w:tc>
          <w:tcPr>
            <w:tcW w:w="160" w:type="dxa"/>
            <w:vAlign w:val="bottom"/>
            <w:shd w:val="clear" w:color="auto" w:fill="CFF0FC"/>
          </w:tcPr>
          <w:p>
            <w:pPr>
              <w:spacing w:after="0"/>
              <w:rPr>
                <w:sz w:val="15"/>
                <w:szCs w:val="15"/>
                <w:color w:val="auto"/>
              </w:rPr>
            </w:pPr>
          </w:p>
        </w:tc>
      </w:tr>
      <w:tr>
        <w:trPr>
          <w:trHeight w:val="215"/>
        </w:trPr>
        <w:tc>
          <w:tcPr>
            <w:tcW w:w="3180" w:type="dxa"/>
            <w:vAlign w:val="bottom"/>
            <w:gridSpan w:val="3"/>
          </w:tcPr>
          <w:p>
            <w:pPr>
              <w:spacing w:after="0"/>
              <w:rPr>
                <w:sz w:val="20"/>
                <w:szCs w:val="20"/>
                <w:color w:val="auto"/>
              </w:rPr>
            </w:pPr>
            <w:r>
              <w:rPr>
                <w:rFonts w:ascii="Arial" w:cs="Arial" w:eastAsia="Arial" w:hAnsi="Arial"/>
                <w:sz w:val="16"/>
                <w:szCs w:val="16"/>
                <w:color w:val="auto"/>
              </w:rPr>
              <w:t>Plus: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49"/>
        </w:trPr>
        <w:tc>
          <w:tcPr>
            <w:tcW w:w="3180" w:type="dxa"/>
            <w:vAlign w:val="bottom"/>
            <w:gridSpan w:val="3"/>
            <w:shd w:val="clear" w:color="auto" w:fill="CFF0FC"/>
          </w:tcPr>
          <w:p>
            <w:pPr>
              <w:ind w:left="180"/>
              <w:spacing w:after="0" w:line="149"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216"/>
        </w:trPr>
        <w:tc>
          <w:tcPr>
            <w:tcW w:w="3180" w:type="dxa"/>
            <w:vAlign w:val="bottom"/>
            <w:tcBorders>
              <w:bottom w:val="single" w:sz="8" w:color="CFF0FC"/>
            </w:tcBorders>
            <w:gridSpan w:val="3"/>
            <w:shd w:val="clear" w:color="auto" w:fill="CFF0FC"/>
          </w:tcPr>
          <w:p>
            <w:pPr>
              <w:ind w:left="180"/>
              <w:spacing w:after="0" w:line="216" w:lineRule="exact"/>
              <w:rPr>
                <w:sz w:val="20"/>
                <w:szCs w:val="20"/>
                <w:color w:val="auto"/>
              </w:rPr>
            </w:pPr>
            <w:r>
              <w:rPr>
                <w:rFonts w:ascii="Arial" w:cs="Arial" w:eastAsia="Arial" w:hAnsi="Arial"/>
                <w:sz w:val="16"/>
                <w:szCs w:val="16"/>
                <w:color w:val="auto"/>
              </w:rPr>
              <w:t>expense</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6"/>
                <w:szCs w:val="16"/>
                <w:color w:val="auto"/>
                <w:w w:val="87"/>
              </w:rPr>
              <w:t>—</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183"/>
        </w:trPr>
        <w:tc>
          <w:tcPr>
            <w:tcW w:w="3180" w:type="dxa"/>
            <w:vAlign w:val="bottom"/>
            <w:gridSpan w:val="3"/>
          </w:tcPr>
          <w:p>
            <w:pPr>
              <w:spacing w:after="0" w:line="183" w:lineRule="exact"/>
              <w:rPr>
                <w:sz w:val="20"/>
                <w:szCs w:val="20"/>
                <w:color w:val="auto"/>
              </w:rPr>
            </w:pPr>
            <w:r>
              <w:rPr>
                <w:rFonts w:ascii="Arial" w:cs="Arial" w:eastAsia="Arial" w:hAnsi="Arial"/>
                <w:sz w:val="16"/>
                <w:szCs w:val="16"/>
                <w:color w:val="auto"/>
              </w:rPr>
              <w:t>EBITDA</w:t>
            </w:r>
          </w:p>
        </w:tc>
        <w:tc>
          <w:tcPr>
            <w:tcW w:w="240" w:type="dxa"/>
            <w:vAlign w:val="bottom"/>
          </w:tcPr>
          <w:p>
            <w:pPr>
              <w:jc w:val="right"/>
              <w:ind w:right="62"/>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line="183" w:lineRule="exact"/>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6"/>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tcPr>
          <w:p>
            <w:pPr>
              <w:ind w:left="64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(25)</w:t>
            </w:r>
          </w:p>
        </w:tc>
        <w:tc>
          <w:tcPr>
            <w:tcW w:w="320" w:type="dxa"/>
            <w:vAlign w:val="bottom"/>
            <w:gridSpan w:val="2"/>
          </w:tcPr>
          <w:p>
            <w:pPr>
              <w:jc w:val="right"/>
              <w:ind w:right="66"/>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Pr>
          <w:p>
            <w:pPr>
              <w:spacing w:after="0"/>
              <w:rPr>
                <w:sz w:val="15"/>
                <w:szCs w:val="15"/>
                <w:color w:val="auto"/>
              </w:rPr>
            </w:pPr>
          </w:p>
        </w:tc>
        <w:tc>
          <w:tcPr>
            <w:tcW w:w="420" w:type="dxa"/>
            <w:vAlign w:val="bottom"/>
            <w:gridSpan w:val="2"/>
          </w:tcPr>
          <w:p>
            <w:pPr>
              <w:jc w:val="right"/>
              <w:ind w:right="186"/>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237</w:t>
            </w:r>
          </w:p>
        </w:tc>
        <w:tc>
          <w:tcPr>
            <w:tcW w:w="16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Divided by:</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3180" w:type="dxa"/>
            <w:vAlign w:val="bottom"/>
            <w:gridSpan w:val="3"/>
          </w:tcPr>
          <w:p>
            <w:pPr>
              <w:ind w:left="1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Pr>
          <w:p>
            <w:pPr>
              <w:spacing w:after="0"/>
              <w:rPr>
                <w:sz w:val="17"/>
                <w:szCs w:val="17"/>
                <w:color w:val="auto"/>
              </w:rPr>
            </w:pPr>
          </w:p>
        </w:tc>
      </w:tr>
      <w:tr>
        <w:trPr>
          <w:trHeight w:val="223"/>
        </w:trPr>
        <w:tc>
          <w:tcPr>
            <w:tcW w:w="318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EBITDA margin</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(167)%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13%</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51%</w:t>
            </w:r>
          </w:p>
        </w:tc>
      </w:tr>
      <w:tr>
        <w:trPr>
          <w:trHeight w:val="115"/>
        </w:trPr>
        <w:tc>
          <w:tcPr>
            <w:tcW w:w="1160" w:type="dxa"/>
            <w:vAlign w:val="bottom"/>
            <w:tcBorders>
              <w:top w:val="single" w:sz="8" w:color="CFF0FC"/>
              <w:bottom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9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-668020</wp:posOffset>
            </wp:positionV>
            <wp:extent cx="1028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-668020</wp:posOffset>
            </wp:positionV>
            <wp:extent cx="10287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-668020</wp:posOffset>
            </wp:positionV>
            <wp:extent cx="13716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-668020</wp:posOffset>
            </wp:positionV>
            <wp:extent cx="1028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-668020</wp:posOffset>
            </wp:positionV>
            <wp:extent cx="1028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-119380</wp:posOffset>
            </wp:positionV>
            <wp:extent cx="10287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-102235</wp:posOffset>
            </wp:positionV>
            <wp:extent cx="1028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-119380</wp:posOffset>
            </wp:positionV>
            <wp:extent cx="10287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-102235</wp:posOffset>
            </wp:positionV>
            <wp:extent cx="1028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-119380</wp:posOffset>
            </wp:positionV>
            <wp:extent cx="13716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-102235</wp:posOffset>
            </wp:positionV>
            <wp:extent cx="1371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-119380</wp:posOffset>
            </wp:positionV>
            <wp:extent cx="10287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-102235</wp:posOffset>
            </wp:positionV>
            <wp:extent cx="10287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-119380</wp:posOffset>
            </wp:positionV>
            <wp:extent cx="10287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-102235</wp:posOffset>
            </wp:positionV>
            <wp:extent cx="10287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3" w:lineRule="exact"/>
        <w:rPr>
          <w:sz w:val="20"/>
          <w:szCs w:val="20"/>
          <w:color w:val="auto"/>
        </w:rPr>
      </w:pPr>
    </w:p>
    <w:p>
      <w:pPr>
        <w:ind w:left="200" w:hanging="196"/>
        <w:spacing w:after="0"/>
        <w:tabs>
          <w:tab w:leader="none" w:pos="200" w:val="left"/>
        </w:tabs>
        <w:numPr>
          <w:ilvl w:val="0"/>
          <w:numId w:val="35"/>
        </w:numPr>
        <w:rPr>
          <w:rFonts w:ascii="Arial" w:cs="Arial" w:eastAsia="Arial" w:hAnsi="Arial"/>
          <w:sz w:val="17"/>
          <w:szCs w:val="17"/>
          <w:color w:val="auto"/>
          <w:vertAlign w:val="superscript"/>
        </w:rPr>
      </w:pPr>
      <w:r>
        <w:rPr>
          <w:rFonts w:ascii="Arial" w:cs="Arial" w:eastAsia="Arial" w:hAnsi="Arial"/>
          <w:sz w:val="14"/>
          <w:szCs w:val="14"/>
          <w:color w:val="auto"/>
        </w:rPr>
        <w:t>There is no interest expense in this segment.</w:t>
      </w:r>
    </w:p>
    <w:p>
      <w:pPr>
        <w:spacing w:after="0" w:line="345"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4. Allowance for Loan Losses Excluding Expected Future Recoveries on Previously Fully Charged-off Loans</w:t>
      </w:r>
    </w:p>
    <w:p>
      <w:pPr>
        <w:spacing w:after="0" w:line="10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allowance for loan losses on the Private Education Loan portfolio used for the three credit metrics below excludes the expected future recoveries on previously fully charged-off loans to better reflect the current expected credit losses remaining in connection with the loans on balance sheet that have not charged off. That is, as of December 31, 2025, the $534 million Private Education Loan allowance for loan losses excluding expected future recoveries on previously fully charged-off loans represents the current expected credit losses that remain in connection with the $15,815 million Private Education Loan portfolio. The $170 million of expected future recoveries on previously fully charged-off loans, which is collected over an average 15-year period, mechanically is a reduction to the overall allowance for loan losses. However, it is not related to the $15,815 million Private Education Loan portfolio on our balance sheet and, as a result, management excludes this impact to the allowance to better evaluate and assess our overall credit loss coverage on the Private Education Loan portfolio. We believe this provides a more meaningful and holistic view of the available credit loss coverage on our non-charged-off Private Education Loan portfolio. We believe this information is useful to our investors, lenders and rating agencies.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 Metrics – Private Education Loans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440" w:type="dxa"/>
            <w:vAlign w:val="bottom"/>
            <w:gridSpan w:val="4"/>
            <w:shd w:val="clear" w:color="auto" w:fill="D9D9D9"/>
          </w:tcPr>
          <w:p>
            <w:pPr>
              <w:jc w:val="center"/>
              <w:ind w:right="140"/>
              <w:spacing w:after="0"/>
              <w:rPr>
                <w:sz w:val="20"/>
                <w:szCs w:val="20"/>
                <w:color w:val="auto"/>
              </w:rPr>
            </w:pPr>
            <w:r>
              <w:rPr>
                <w:rFonts w:ascii="Arial" w:cs="Arial" w:eastAsia="Arial" w:hAnsi="Arial"/>
                <w:sz w:val="13"/>
                <w:szCs w:val="13"/>
                <w:b w:val="1"/>
                <w:bCs w:val="1"/>
                <w:color w:val="auto"/>
              </w:rPr>
              <w:t>QUARTERS ENDED</w:t>
            </w:r>
          </w:p>
        </w:tc>
        <w:tc>
          <w:tcPr>
            <w:tcW w:w="6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2200" w:type="dxa"/>
            <w:vAlign w:val="bottom"/>
            <w:gridSpan w:val="6"/>
            <w:shd w:val="clear" w:color="auto" w:fill="D9D9D9"/>
          </w:tcPr>
          <w:p>
            <w:pPr>
              <w:jc w:val="right"/>
              <w:ind w:right="800"/>
              <w:spacing w:after="0"/>
              <w:rPr>
                <w:sz w:val="20"/>
                <w:szCs w:val="20"/>
                <w:color w:val="auto"/>
              </w:rPr>
            </w:pPr>
            <w:r>
              <w:rPr>
                <w:rFonts w:ascii="Arial" w:cs="Arial" w:eastAsia="Arial" w:hAnsi="Arial"/>
                <w:sz w:val="13"/>
                <w:szCs w:val="13"/>
                <w:b w:val="1"/>
                <w:bCs w:val="1"/>
                <w:color w:val="auto"/>
              </w:rPr>
              <w:t>YEARS ENDED</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3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180" w:type="dxa"/>
            <w:vAlign w:val="bottom"/>
            <w:gridSpan w:val="3"/>
          </w:tcPr>
          <w:p>
            <w:pPr>
              <w:jc w:val="right"/>
              <w:ind w:right="220"/>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22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c>
          <w:tcPr>
            <w:tcW w:w="11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Allowance at end of period (GAAP)</w:t>
            </w: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364</w:t>
            </w:r>
          </w:p>
        </w:tc>
        <w:tc>
          <w:tcPr>
            <w:tcW w:w="16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406</w:t>
            </w:r>
          </w:p>
        </w:tc>
        <w:tc>
          <w:tcPr>
            <w:tcW w:w="2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441</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364</w:t>
            </w:r>
          </w:p>
        </w:tc>
        <w:tc>
          <w:tcPr>
            <w:tcW w:w="1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ind w:left="60"/>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441</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20" w:type="dxa"/>
            <w:vAlign w:val="bottom"/>
            <w:gridSpan w:val="3"/>
          </w:tcPr>
          <w:p>
            <w:pPr>
              <w:spacing w:after="0" w:line="153" w:lineRule="exact"/>
              <w:rPr>
                <w:sz w:val="20"/>
                <w:szCs w:val="20"/>
                <w:color w:val="auto"/>
              </w:rPr>
            </w:pPr>
            <w:r>
              <w:rPr>
                <w:rFonts w:ascii="Arial" w:cs="Arial" w:eastAsia="Arial" w:hAnsi="Arial"/>
                <w:sz w:val="14"/>
                <w:szCs w:val="14"/>
                <w:color w:val="auto"/>
              </w:rPr>
              <w:t>Plus: expected future recoveries on previously</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gridSpan w:val="3"/>
          </w:tcPr>
          <w:p>
            <w:pPr>
              <w:spacing w:after="0"/>
              <w:rPr>
                <w:sz w:val="20"/>
                <w:szCs w:val="20"/>
                <w:color w:val="auto"/>
              </w:rPr>
            </w:pPr>
            <w:r>
              <w:rPr>
                <w:rFonts w:ascii="Arial" w:cs="Arial" w:eastAsia="Arial" w:hAnsi="Arial"/>
                <w:sz w:val="14"/>
                <w:szCs w:val="14"/>
                <w:color w:val="auto"/>
              </w:rPr>
              <w:t>fully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20" w:type="dxa"/>
            <w:vAlign w:val="bottom"/>
            <w:gridSpan w:val="3"/>
          </w:tcPr>
          <w:p>
            <w:pPr>
              <w:ind w:left="120"/>
              <w:spacing w:after="0" w:line="158" w:lineRule="exact"/>
              <w:rPr>
                <w:sz w:val="20"/>
                <w:szCs w:val="20"/>
                <w:color w:val="auto"/>
              </w:rPr>
            </w:pPr>
            <w:r>
              <w:rPr>
                <w:rFonts w:ascii="Arial" w:cs="Arial" w:eastAsia="Arial" w:hAnsi="Arial"/>
                <w:sz w:val="14"/>
                <w:szCs w:val="14"/>
                <w:color w:val="auto"/>
              </w:rPr>
              <w:t>charged-off loans</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20" w:type="dxa"/>
            <w:vAlign w:val="bottom"/>
            <w:gridSpan w:val="3"/>
            <w:shd w:val="clear" w:color="auto" w:fill="CFF0FC"/>
          </w:tcPr>
          <w:p>
            <w:pPr>
              <w:spacing w:after="0" w:line="147" w:lineRule="exact"/>
              <w:rPr>
                <w:sz w:val="20"/>
                <w:szCs w:val="20"/>
                <w:color w:val="auto"/>
              </w:rPr>
            </w:pPr>
            <w:r>
              <w:rPr>
                <w:rFonts w:ascii="Arial" w:cs="Arial" w:eastAsia="Arial" w:hAnsi="Arial"/>
                <w:sz w:val="14"/>
                <w:szCs w:val="14"/>
                <w:color w:val="auto"/>
              </w:rPr>
              <w:t>Allowance at end of period excluding expected</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future recoveries on previously fully charged-off</w:t>
            </w:r>
          </w:p>
        </w:tc>
        <w:tc>
          <w:tcPr>
            <w:tcW w:w="10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579</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620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620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20" w:type="dxa"/>
            <w:vAlign w:val="bottom"/>
            <w:tcBorders>
              <w:bottom w:val="single" w:sz="8" w:color="CFF0FC"/>
            </w:tcBorders>
            <w:gridSpan w:val="3"/>
            <w:shd w:val="clear" w:color="auto" w:fill="CFF0FC"/>
          </w:tcPr>
          <w:p>
            <w:pPr>
              <w:ind w:left="120"/>
              <w:spacing w:after="0" w:line="125" w:lineRule="exact"/>
              <w:rPr>
                <w:sz w:val="20"/>
                <w:szCs w:val="20"/>
                <w:color w:val="auto"/>
              </w:rPr>
            </w:pPr>
            <w:r>
              <w:rPr>
                <w:rFonts w:ascii="Arial" w:cs="Arial" w:eastAsia="Arial" w:hAnsi="Arial"/>
                <w:sz w:val="14"/>
                <w:szCs w:val="14"/>
                <w:color w:val="auto"/>
              </w:rPr>
              <w:t>loans (Non-GAAP Financial Measure)</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20" w:type="dxa"/>
            <w:vAlign w:val="bottom"/>
            <w:gridSpan w:val="3"/>
          </w:tcPr>
          <w:p>
            <w:pPr>
              <w:spacing w:after="0" w:line="143" w:lineRule="exact"/>
              <w:rPr>
                <w:sz w:val="20"/>
                <w:szCs w:val="20"/>
                <w:color w:val="auto"/>
              </w:rPr>
            </w:pPr>
            <w:r>
              <w:rPr>
                <w:rFonts w:ascii="Arial" w:cs="Arial" w:eastAsia="Arial" w:hAnsi="Arial"/>
                <w:sz w:val="14"/>
                <w:szCs w:val="14"/>
                <w:color w:val="auto"/>
              </w:rPr>
              <w:t>Ending total loans</w:t>
            </w:r>
          </w:p>
        </w:tc>
        <w:tc>
          <w:tcPr>
            <w:tcW w:w="300" w:type="dxa"/>
            <w:vAlign w:val="bottom"/>
            <w:gridSpan w:val="2"/>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15,815</w:t>
            </w:r>
          </w:p>
        </w:tc>
        <w:tc>
          <w:tcPr>
            <w:tcW w:w="160" w:type="dxa"/>
            <w:vAlign w:val="bottom"/>
          </w:tcPr>
          <w:p>
            <w:pPr>
              <w:spacing w:after="0"/>
              <w:rPr>
                <w:sz w:val="12"/>
                <w:szCs w:val="12"/>
                <w:color w:val="auto"/>
              </w:rPr>
            </w:pPr>
          </w:p>
        </w:tc>
        <w:tc>
          <w:tcPr>
            <w:tcW w:w="320" w:type="dxa"/>
            <w:vAlign w:val="bottom"/>
            <w:gridSpan w:val="2"/>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15,862</w:t>
            </w:r>
          </w:p>
        </w:tc>
        <w:tc>
          <w:tcPr>
            <w:tcW w:w="200" w:type="dxa"/>
            <w:vAlign w:val="bottom"/>
          </w:tcPr>
          <w:p>
            <w:pPr>
              <w:spacing w:after="0"/>
              <w:rPr>
                <w:sz w:val="12"/>
                <w:szCs w:val="12"/>
                <w:color w:val="auto"/>
              </w:rPr>
            </w:pPr>
          </w:p>
        </w:tc>
        <w:tc>
          <w:tcPr>
            <w:tcW w:w="260" w:type="dxa"/>
            <w:vAlign w:val="bottom"/>
            <w:gridSpan w:val="2"/>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16,157</w:t>
            </w:r>
          </w:p>
        </w:tc>
        <w:tc>
          <w:tcPr>
            <w:tcW w:w="140" w:type="dxa"/>
            <w:vAlign w:val="bottom"/>
          </w:tcPr>
          <w:p>
            <w:pPr>
              <w:spacing w:after="0"/>
              <w:rPr>
                <w:sz w:val="12"/>
                <w:szCs w:val="12"/>
                <w:color w:val="auto"/>
              </w:rPr>
            </w:pPr>
          </w:p>
        </w:tc>
        <w:tc>
          <w:tcPr>
            <w:tcW w:w="320" w:type="dxa"/>
            <w:vAlign w:val="bottom"/>
            <w:gridSpan w:val="2"/>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15,815</w:t>
            </w:r>
          </w:p>
        </w:tc>
        <w:tc>
          <w:tcPr>
            <w:tcW w:w="180" w:type="dxa"/>
            <w:vAlign w:val="bottom"/>
          </w:tcPr>
          <w:p>
            <w:pPr>
              <w:spacing w:after="0"/>
              <w:rPr>
                <w:sz w:val="12"/>
                <w:szCs w:val="12"/>
                <w:color w:val="auto"/>
              </w:rPr>
            </w:pPr>
          </w:p>
        </w:tc>
        <w:tc>
          <w:tcPr>
            <w:tcW w:w="260" w:type="dxa"/>
            <w:vAlign w:val="bottom"/>
            <w:gridSpan w:val="2"/>
          </w:tcPr>
          <w:p>
            <w:pPr>
              <w:ind w:left="60"/>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16,157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Ending loans in repayment</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15,184</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15,221</w:t>
            </w:r>
          </w:p>
        </w:tc>
        <w:tc>
          <w:tcPr>
            <w:tcW w:w="2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15,363</w:t>
            </w:r>
          </w:p>
        </w:tc>
        <w:tc>
          <w:tcPr>
            <w:tcW w:w="1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15,184</w:t>
            </w:r>
          </w:p>
        </w:tc>
        <w:tc>
          <w:tcPr>
            <w:tcW w:w="180" w:type="dxa"/>
            <w:vAlign w:val="bottom"/>
            <w:shd w:val="clear" w:color="auto" w:fill="CFF0FC"/>
          </w:tcPr>
          <w:p>
            <w:pPr>
              <w:spacing w:after="0"/>
              <w:rPr>
                <w:sz w:val="14"/>
                <w:szCs w:val="14"/>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15,363</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gridSpan w:val="3"/>
          </w:tcPr>
          <w:p>
            <w:pPr>
              <w:spacing w:after="0"/>
              <w:rPr>
                <w:sz w:val="20"/>
                <w:szCs w:val="20"/>
                <w:color w:val="auto"/>
              </w:rPr>
            </w:pPr>
            <w:r>
              <w:rPr>
                <w:rFonts w:ascii="Arial" w:cs="Arial" w:eastAsia="Arial" w:hAnsi="Arial"/>
                <w:sz w:val="14"/>
                <w:szCs w:val="14"/>
                <w:color w:val="auto"/>
              </w:rPr>
              <w:t>Net charge-offs</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160" w:type="dxa"/>
            <w:vAlign w:val="bottom"/>
          </w:tcPr>
          <w:p>
            <w:pPr>
              <w:spacing w:after="0"/>
              <w:rPr>
                <w:sz w:val="16"/>
                <w:szCs w:val="16"/>
                <w:color w:val="auto"/>
              </w:rPr>
            </w:pP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96</w:t>
            </w:r>
          </w:p>
        </w:tc>
        <w:tc>
          <w:tcPr>
            <w:tcW w:w="200" w:type="dxa"/>
            <w:vAlign w:val="bottom"/>
          </w:tcPr>
          <w:p>
            <w:pPr>
              <w:spacing w:after="0"/>
              <w:rPr>
                <w:sz w:val="16"/>
                <w:szCs w:val="16"/>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6"/>
                <w:szCs w:val="16"/>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335</w:t>
            </w:r>
          </w:p>
        </w:tc>
        <w:tc>
          <w:tcPr>
            <w:tcW w:w="18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Allowance coverage of charge-offs:</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3"/>
          </w:tcPr>
          <w:p>
            <w:pPr>
              <w:ind w:left="100"/>
              <w:spacing w:after="0"/>
              <w:rPr>
                <w:sz w:val="20"/>
                <w:szCs w:val="20"/>
                <w:color w:val="auto"/>
              </w:rPr>
            </w:pPr>
            <w:r>
              <w:rPr>
                <w:rFonts w:ascii="Arial" w:cs="Arial" w:eastAsia="Arial" w:hAnsi="Arial"/>
                <w:sz w:val="14"/>
                <w:szCs w:val="14"/>
                <w:color w:val="auto"/>
              </w:rPr>
              <w:t>GAAP</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Borders>
              <w:bottom w:val="single" w:sz="8" w:color="CFF0FC"/>
            </w:tcBorders>
            <w:gridSpan w:val="3"/>
            <w:shd w:val="clear" w:color="auto" w:fill="CFF0FC"/>
          </w:tcPr>
          <w:p>
            <w:pPr>
              <w:ind w:left="100"/>
              <w:spacing w:after="0" w:line="162" w:lineRule="exact"/>
              <w:rPr>
                <w:sz w:val="20"/>
                <w:szCs w:val="20"/>
                <w:color w:val="auto"/>
              </w:rPr>
            </w:pPr>
            <w:r>
              <w:rPr>
                <w:rFonts w:ascii="Arial" w:cs="Arial" w:eastAsia="Arial" w:hAnsi="Arial"/>
                <w:sz w:val="14"/>
                <w:szCs w:val="14"/>
                <w:color w:val="auto"/>
              </w:rPr>
              <w:t>Adjustment</w:t>
            </w:r>
            <w:r>
              <w:rPr>
                <w:rFonts w:ascii="Arial" w:cs="Arial" w:eastAsia="Arial" w:hAnsi="Arial"/>
                <w:sz w:val="18"/>
                <w:szCs w:val="18"/>
                <w:color w:val="auto"/>
                <w:vertAlign w:val="superscript"/>
              </w:rPr>
              <w:t>(1)</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gridSpan w:val="3"/>
          </w:tcPr>
          <w:p>
            <w:pPr>
              <w:ind w:left="10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(1)</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2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Allowance as a percentage of the ending total</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loan</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2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balance:</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3"/>
          </w:tcPr>
          <w:p>
            <w:pPr>
              <w:ind w:left="100"/>
              <w:spacing w:after="0"/>
              <w:rPr>
                <w:sz w:val="20"/>
                <w:szCs w:val="20"/>
                <w:color w:val="auto"/>
              </w:rPr>
            </w:pPr>
            <w:r>
              <w:rPr>
                <w:rFonts w:ascii="Arial" w:cs="Arial" w:eastAsia="Arial" w:hAnsi="Arial"/>
                <w:sz w:val="14"/>
                <w:szCs w:val="14"/>
                <w:color w:val="auto"/>
              </w:rPr>
              <w:t>GAAP</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3220" w:type="dxa"/>
            <w:vAlign w:val="bottom"/>
            <w:tcBorders>
              <w:bottom w:val="single" w:sz="8" w:color="CFF0FC"/>
            </w:tcBorders>
            <w:gridSpan w:val="3"/>
            <w:shd w:val="clear" w:color="auto" w:fill="CFF0FC"/>
          </w:tcPr>
          <w:p>
            <w:pPr>
              <w:ind w:left="100"/>
              <w:spacing w:after="0" w:line="162" w:lineRule="exact"/>
              <w:rPr>
                <w:sz w:val="20"/>
                <w:szCs w:val="20"/>
                <w:color w:val="auto"/>
              </w:rPr>
            </w:pPr>
            <w:r>
              <w:rPr>
                <w:rFonts w:ascii="Arial" w:cs="Arial" w:eastAsia="Arial" w:hAnsi="Arial"/>
                <w:sz w:val="14"/>
                <w:szCs w:val="14"/>
                <w:color w:val="auto"/>
              </w:rPr>
              <w:t>Adjustment</w:t>
            </w:r>
            <w:r>
              <w:rPr>
                <w:rFonts w:ascii="Arial" w:cs="Arial" w:eastAsia="Arial" w:hAnsi="Arial"/>
                <w:sz w:val="18"/>
                <w:szCs w:val="18"/>
                <w:color w:val="auto"/>
                <w:vertAlign w:val="superscript"/>
              </w:rPr>
              <w:t>(1)</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gridSpan w:val="3"/>
          </w:tcPr>
          <w:p>
            <w:pPr>
              <w:ind w:left="10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2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Allowance as a percentage of the ending loans in</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2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repayment: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3"/>
          </w:tcPr>
          <w:p>
            <w:pPr>
              <w:ind w:left="100"/>
              <w:spacing w:after="0"/>
              <w:rPr>
                <w:sz w:val="20"/>
                <w:szCs w:val="20"/>
                <w:color w:val="auto"/>
              </w:rPr>
            </w:pPr>
            <w:r>
              <w:rPr>
                <w:rFonts w:ascii="Arial" w:cs="Arial" w:eastAsia="Arial" w:hAnsi="Arial"/>
                <w:sz w:val="14"/>
                <w:szCs w:val="14"/>
                <w:color w:val="auto"/>
              </w:rPr>
              <w:t>GAAP</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3220" w:type="dxa"/>
            <w:vAlign w:val="bottom"/>
            <w:tcBorders>
              <w:bottom w:val="single" w:sz="8" w:color="CFF0FC"/>
            </w:tcBorders>
            <w:gridSpan w:val="3"/>
            <w:shd w:val="clear" w:color="auto" w:fill="CFF0FC"/>
          </w:tcPr>
          <w:p>
            <w:pPr>
              <w:ind w:left="100"/>
              <w:spacing w:after="0" w:line="162" w:lineRule="exact"/>
              <w:rPr>
                <w:sz w:val="20"/>
                <w:szCs w:val="20"/>
                <w:color w:val="auto"/>
              </w:rPr>
            </w:pPr>
            <w:r>
              <w:rPr>
                <w:rFonts w:ascii="Arial" w:cs="Arial" w:eastAsia="Arial" w:hAnsi="Arial"/>
                <w:sz w:val="14"/>
                <w:szCs w:val="14"/>
                <w:color w:val="auto"/>
              </w:rPr>
              <w:t>Adjustment</w:t>
            </w:r>
            <w:r>
              <w:rPr>
                <w:rFonts w:ascii="Arial" w:cs="Arial" w:eastAsia="Arial" w:hAnsi="Arial"/>
                <w:sz w:val="18"/>
                <w:szCs w:val="18"/>
                <w:color w:val="auto"/>
                <w:vertAlign w:val="superscript"/>
              </w:rPr>
              <w:t>(1)</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gridSpan w:val="3"/>
          </w:tcPr>
          <w:p>
            <w:pPr>
              <w:ind w:left="10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-2382520</wp:posOffset>
            </wp:positionV>
            <wp:extent cx="9461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-2365375</wp:posOffset>
            </wp:positionV>
            <wp:extent cx="9461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-2382520</wp:posOffset>
            </wp:positionV>
            <wp:extent cx="9461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-2365375</wp:posOffset>
            </wp:positionV>
            <wp:extent cx="9461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-2382520</wp:posOffset>
            </wp:positionV>
            <wp:extent cx="9398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-2365375</wp:posOffset>
            </wp:positionV>
            <wp:extent cx="939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-2382520</wp:posOffset>
            </wp:positionV>
            <wp:extent cx="939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-2365375</wp:posOffset>
            </wp:positionV>
            <wp:extent cx="939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-2382520</wp:posOffset>
            </wp:positionV>
            <wp:extent cx="9398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-2365375</wp:posOffset>
            </wp:positionV>
            <wp:extent cx="939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-1636395</wp:posOffset>
            </wp:positionV>
            <wp:extent cx="9461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-1636395</wp:posOffset>
            </wp:positionV>
            <wp:extent cx="9461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-1636395</wp:posOffset>
            </wp:positionV>
            <wp:extent cx="9398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-1636395</wp:posOffset>
            </wp:positionV>
            <wp:extent cx="9398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-1636395</wp:posOffset>
            </wp:positionV>
            <wp:extent cx="9398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-882015</wp:posOffset>
            </wp:positionV>
            <wp:extent cx="9461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-882015</wp:posOffset>
            </wp:positionV>
            <wp:extent cx="9461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-882015</wp:posOffset>
            </wp:positionV>
            <wp:extent cx="9398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-882015</wp:posOffset>
            </wp:positionV>
            <wp:extent cx="9398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-882015</wp:posOffset>
            </wp:positionV>
            <wp:extent cx="939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-230505</wp:posOffset>
            </wp:positionV>
            <wp:extent cx="9461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-230505</wp:posOffset>
            </wp:positionV>
            <wp:extent cx="9461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-230505</wp:posOffset>
            </wp:positionV>
            <wp:extent cx="939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-230505</wp:posOffset>
            </wp:positionV>
            <wp:extent cx="939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-230505</wp:posOffset>
            </wp:positionV>
            <wp:extent cx="939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3" w:lineRule="exact"/>
        <w:rPr>
          <w:sz w:val="20"/>
          <w:szCs w:val="20"/>
          <w:color w:val="auto"/>
        </w:rPr>
      </w:pPr>
    </w:p>
    <w:p>
      <w:pPr>
        <w:ind w:left="320" w:hanging="316"/>
        <w:spacing w:after="0"/>
        <w:tabs>
          <w:tab w:leader="none" w:pos="320" w:val="left"/>
        </w:tabs>
        <w:numPr>
          <w:ilvl w:val="0"/>
          <w:numId w:val="36"/>
        </w:numPr>
        <w:rPr>
          <w:rFonts w:ascii="Arial" w:cs="Arial" w:eastAsia="Arial" w:hAnsi="Arial"/>
          <w:sz w:val="17"/>
          <w:szCs w:val="17"/>
          <w:color w:val="auto"/>
          <w:vertAlign w:val="superscript"/>
        </w:rPr>
      </w:pPr>
      <w:r>
        <w:rPr>
          <w:rFonts w:ascii="Arial" w:cs="Arial" w:eastAsia="Arial" w:hAnsi="Arial"/>
          <w:sz w:val="14"/>
          <w:szCs w:val="14"/>
          <w:color w:val="auto"/>
        </w:rPr>
        <w:t>The allowance used for these credit metrics excludes the expected future recoveries on previously fully charged-off loans. See discussion above.</w:t>
      </w:r>
    </w:p>
    <w:p>
      <w:pPr>
        <w:spacing w:after="0" w:line="183"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lvl w:ilvl="1">
      <w:lvlJc w:val="left"/>
      <w:lvlText w:val="%2"/>
      <w:numFmt w:val="decimal"/>
      <w:start w:val="104"/>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o"/>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o"/>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lvl w:ilvl="1">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lvl w:ilvl="1">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4"/>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1)"/>
      <w:numFmt w:val="decimal"/>
      <w:start w:val="2"/>
    </w:lvl>
  </w:abstractNum>
  <w:abstractNum w:abstractNumId="24">
    <w:nsid w:val="1E7FF521"/>
    <w:multiLevelType w:val="hybridMultilevel"/>
    <w:lvl w:ilvl="0">
      <w:lvlJc w:val="left"/>
      <w:lvlText w:val="(%1)"/>
      <w:numFmt w:val="decimal"/>
      <w:start w:val="2"/>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2"/>
    </w:lvl>
  </w:abstractNum>
  <w:abstractNum w:abstractNumId="28">
    <w:nsid w:val="22221A70"/>
    <w:multiLevelType w:val="hybridMultilevel"/>
    <w:lvl w:ilvl="0">
      <w:lvlJc w:val="left"/>
      <w:lvlText w:val="%1"/>
      <w:numFmt w:val="decimal"/>
      <w:start w:val="1"/>
    </w:lvl>
    <w:lvl w:ilvl="1">
      <w:lvlJc w:val="left"/>
      <w:lvlText w:val="(%2)"/>
      <w:numFmt w:val="lowerLetter"/>
      <w:start w:val="1"/>
    </w:lvl>
  </w:abstractNum>
  <w:abstractNum w:abstractNumId="29">
    <w:nsid w:val="4516DDE9"/>
    <w:multiLevelType w:val="hybridMultilevel"/>
    <w:lvl w:ilvl="0">
      <w:lvlJc w:val="left"/>
      <w:lvlText w:val="(%1)"/>
      <w:numFmt w:val="decimal"/>
      <w:start w:val="3"/>
    </w:lvl>
    <w:lvl w:ilvl="1">
      <w:lvlJc w:val="left"/>
      <w:lvlText w:val="%2"/>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2"/>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2026-01-28T05:27:28Z</dcterms:created>
  <dcterms:modified xsi:type="dcterms:W3CDTF">2026-01-28T05:27:28Z</dcterms:modified>
</cp:coreProperties>
</file>