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avi-20260806.htm"/>
      <w:bookmarkStart w:id="1" w:name="ksnavi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Navient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001-36228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46-4054283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13865 Sunrise Valley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Herndon,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20171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302</w:t>
            </w:r>
            <w:r>
              <w:rPr>
                <w:rFonts w:ascii="Times New Roman" w:hAnsi="Times New Roman"/>
                <w:color w:val="000000"/>
                <w:sz w:val="20"/>
              </w:rPr>
              <w:t xml:space="preserve"> </w:t>
            </w:r>
            <w:r>
              <w:rPr>
                <w:rFonts w:ascii="Times New Roman" w:hAnsi="Times New Roman"/>
                <w:b/>
                <w:color w:val="000000"/>
                <w:sz w:val="20"/>
              </w:rPr>
              <w:t>283-8000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25" w:type="dxa"/>
        <w:jc w:val="left"/>
        <w:tblInd w:w="0" w:type="dxa"/>
        <w:tblLayout w:type="fixed"/>
        <w:tblCellMar>
          <w:top w:w="28" w:type="dxa"/>
          <w:left w:w="28" w:type="dxa"/>
          <w:bottom w:w="28" w:type="dxa"/>
          <w:right w:w="28" w:type="dxa"/>
        </w:tblCellMar>
      </w:tblPr>
      <w:tblGrid>
        <w:gridCol w:w="3361"/>
        <w:gridCol w:w="146"/>
        <w:gridCol w:w="946"/>
        <w:gridCol w:w="146"/>
        <w:gridCol w:w="382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NAVI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pBdr/>
        <w:bidi w:val="0"/>
        <w:ind w:left="0" w:right="0" w:hanging="1469"/>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2026, Navient Corporation (the “Company”) issued an informational press release announcing its financial results for the quarter ended June 30, 2026 were available on the “Investor” page of its website located at https://www.Navient.com/investors. Additionally, on August 6, 2026, the Company posted its financial results for the quarter ended June 30, 2026 to its above-referenced web location. A copy of each press release is furnished as Exhibit 99.1 and Exhibit 99.2 hereto. </w:t>
      </w:r>
    </w:p>
    <w:p>
      <w:pPr>
        <w:pStyle w:val="TextBody"/>
        <w:pBdr/>
        <w:bidi w:val="0"/>
        <w:spacing w:before="360" w:after="283"/>
        <w:ind w:left="0" w:right="0" w:hanging="1469"/>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pBdr/>
        <w:bidi w:val="0"/>
        <w:spacing w:before="120" w:after="283"/>
        <w:ind w:left="489" w:right="0" w:hanging="490"/>
        <w:jc w:val="left"/>
        <w:rPr>
          <w:rFonts w:ascii="Times New Roman" w:hAnsi="Times New Roman"/>
          <w:color w:val="000000"/>
          <w:sz w:val="20"/>
        </w:rPr>
      </w:pPr>
      <w:r>
        <w:rPr>
          <w:rFonts w:ascii="Times New Roman" w:hAnsi="Times New Roman"/>
          <w:color w:val="000000"/>
          <w:sz w:val="20"/>
        </w:rPr>
        <w:t xml:space="preserve">(d) Exhibits </w:t>
      </w:r>
    </w:p>
    <w:tbl>
      <w:tblPr>
        <w:tblW w:w="4718" w:type="dxa"/>
        <w:jc w:val="left"/>
        <w:tblInd w:w="0" w:type="dxa"/>
        <w:tblLayout w:type="fixed"/>
        <w:tblCellMar>
          <w:top w:w="28" w:type="dxa"/>
          <w:left w:w="28" w:type="dxa"/>
          <w:bottom w:w="28" w:type="dxa"/>
          <w:right w:w="28" w:type="dxa"/>
        </w:tblCellMar>
      </w:tblPr>
      <w:tblGrid>
        <w:gridCol w:w="694"/>
        <w:gridCol w:w="4024"/>
      </w:tblGrid>
      <w:tr>
        <w:trPr/>
        <w:tc>
          <w:tcPr>
            <w:tcW w:w="694" w:type="dxa"/>
            <w:tcBorders/>
            <w:shd w:fill="FFFFFF" w:val="clear"/>
            <w:vAlign w:val="center"/>
          </w:tcPr>
          <w:p>
            <w:pPr>
              <w:pStyle w:val="TableContents"/>
              <w:bidi w:val="0"/>
              <w:spacing w:before="0" w:after="283"/>
              <w:jc w:val="left"/>
              <w:rPr>
                <w:sz w:val="4"/>
                <w:szCs w:val="4"/>
              </w:rPr>
            </w:pPr>
            <w:r>
              <w:rPr>
                <w:sz w:val="4"/>
                <w:szCs w:val="4"/>
              </w:rPr>
            </w:r>
          </w:p>
        </w:tc>
        <w:tc>
          <w:tcPr>
            <w:tcW w:w="4024" w:type="dxa"/>
            <w:tcBorders/>
            <w:shd w:fill="FFFFFF" w:val="clear"/>
            <w:vAlign w:val="center"/>
          </w:tcPr>
          <w:p>
            <w:pPr>
              <w:pStyle w:val="TableContents"/>
              <w:bidi w:val="0"/>
              <w:spacing w:before="0" w:after="283"/>
              <w:jc w:val="left"/>
              <w:rPr>
                <w:sz w:val="4"/>
                <w:szCs w:val="4"/>
              </w:rPr>
            </w:pPr>
            <w:r>
              <w:rPr>
                <w:sz w:val="4"/>
                <w:szCs w:val="4"/>
              </w:rPr>
            </w:r>
          </w:p>
        </w:tc>
      </w:tr>
      <w:tr>
        <w:trPr/>
        <w:tc>
          <w:tcPr>
            <w:tcW w:w="694" w:type="dxa"/>
            <w:tcBorders/>
            <w:tcMar>
              <w:top w:w="0" w:type="dxa"/>
              <w:left w:w="0" w:type="dxa"/>
              <w:bottom w:w="0" w:type="dxa"/>
              <w:right w:w="0" w:type="dxa"/>
            </w:tcMar>
            <w:vAlign w:val="center"/>
          </w:tcPr>
          <w:p>
            <w:pPr>
              <w:pStyle w:val="TableContents"/>
              <w:bidi w:val="0"/>
              <w:spacing w:before="0" w:after="283"/>
              <w:jc w:val="left"/>
              <w:rPr/>
            </w:pPr>
            <w:r>
              <w:rPr/>
              <w:t> </w:t>
            </w:r>
          </w:p>
        </w:tc>
        <w:tc>
          <w:tcPr>
            <w:tcW w:w="40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Exhibit</w:t>
              <w:br/>
              <w:t>Number</w:t>
            </w:r>
          </w:p>
        </w:tc>
        <w:tc>
          <w:tcPr>
            <w:tcW w:w="40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94" w:type="dxa"/>
            <w:tcBorders/>
            <w:tcMar>
              <w:top w:w="0" w:type="dxa"/>
              <w:left w:w="0" w:type="dxa"/>
              <w:bottom w:w="0" w:type="dxa"/>
              <w:right w:w="0" w:type="dxa"/>
            </w:tcMar>
            <w:vAlign w:val="center"/>
          </w:tcPr>
          <w:p>
            <w:pPr>
              <w:pStyle w:val="TableContents"/>
              <w:bidi w:val="0"/>
              <w:spacing w:before="0" w:after="283"/>
              <w:jc w:val="left"/>
              <w:rPr/>
            </w:pPr>
            <w:r>
              <w:rPr/>
              <w:t> </w:t>
            </w:r>
          </w:p>
        </w:tc>
        <w:tc>
          <w:tcPr>
            <w:tcW w:w="40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99.1*</w:t>
            </w:r>
          </w:p>
        </w:tc>
        <w:tc>
          <w:tcPr>
            <w:tcW w:w="4024" w:type="dxa"/>
            <w:tcBorders/>
            <w:tcMar>
              <w:top w:w="0" w:type="dxa"/>
              <w:left w:w="0" w:type="dxa"/>
              <w:bottom w:w="0" w:type="dxa"/>
              <w:right w:w="0" w:type="dxa"/>
            </w:tcMar>
            <w:vAlign w:val="center"/>
          </w:tcPr>
          <w:p>
            <w:pPr>
              <w:pStyle w:val="TableContents"/>
              <w:bidi w:val="0"/>
              <w:spacing w:before="0" w:after="283"/>
              <w:ind w:left="108" w:right="0" w:firstLine="108"/>
              <w:jc w:val="left"/>
              <w:rPr/>
            </w:pPr>
            <w:hyperlink w:anchor="navi-ex99_1.htm">
              <w:r>
                <w:rPr>
                  <w:rStyle w:val="InternetLink"/>
                  <w:rFonts w:ascii="Times New Roman" w:hAnsi="Times New Roman"/>
                  <w:color w:val="0000FF"/>
                  <w:sz w:val="20"/>
                  <w:u w:val="single"/>
                </w:rPr>
                <w:t>Press Release, dated August 6, 2026</w:t>
              </w:r>
            </w:hyperlink>
            <w:r>
              <w:rPr>
                <w:rFonts w:ascii="Times New Roman" w:hAnsi="Times New Roman"/>
                <w:color w:val="000000"/>
                <w:sz w:val="20"/>
              </w:rPr>
              <w:t>.</w:t>
            </w:r>
          </w:p>
        </w:tc>
      </w:tr>
      <w:tr>
        <w:trPr/>
        <w:tc>
          <w:tcPr>
            <w:tcW w:w="694" w:type="dxa"/>
            <w:tcBorders/>
            <w:tcMar>
              <w:top w:w="0" w:type="dxa"/>
              <w:left w:w="0" w:type="dxa"/>
              <w:bottom w:w="0" w:type="dxa"/>
              <w:right w:w="0" w:type="dxa"/>
            </w:tcMar>
            <w:vAlign w:val="center"/>
          </w:tcPr>
          <w:p>
            <w:pPr>
              <w:pStyle w:val="TableContents"/>
              <w:bidi w:val="0"/>
              <w:spacing w:before="0" w:after="283"/>
              <w:jc w:val="left"/>
              <w:rPr/>
            </w:pPr>
            <w:r>
              <w:rPr/>
              <w:t> </w:t>
            </w:r>
          </w:p>
        </w:tc>
        <w:tc>
          <w:tcPr>
            <w:tcW w:w="40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99.2*</w:t>
            </w:r>
          </w:p>
        </w:tc>
        <w:tc>
          <w:tcPr>
            <w:tcW w:w="4024" w:type="dxa"/>
            <w:tcBorders/>
            <w:tcMar>
              <w:top w:w="0" w:type="dxa"/>
              <w:left w:w="0" w:type="dxa"/>
              <w:bottom w:w="0" w:type="dxa"/>
              <w:right w:w="0" w:type="dxa"/>
            </w:tcMar>
            <w:vAlign w:val="center"/>
          </w:tcPr>
          <w:p>
            <w:pPr>
              <w:pStyle w:val="TableContents"/>
              <w:bidi w:val="0"/>
              <w:spacing w:before="0" w:after="283"/>
              <w:ind w:left="108" w:right="0" w:firstLine="108"/>
              <w:jc w:val="left"/>
              <w:rPr/>
            </w:pPr>
            <w:hyperlink w:anchor="navi-ex99_2.htm">
              <w:r>
                <w:rPr>
                  <w:rStyle w:val="InternetLink"/>
                  <w:rFonts w:ascii="Times New Roman" w:hAnsi="Times New Roman"/>
                  <w:color w:val="0000FF"/>
                  <w:sz w:val="20"/>
                  <w:u w:val="single"/>
                </w:rPr>
                <w:t>Financial Press Release, dated August 6, 2026</w:t>
              </w:r>
            </w:hyperlink>
            <w:r>
              <w:rPr>
                <w:rFonts w:ascii="Times New Roman" w:hAnsi="Times New Roman"/>
                <w:color w:val="000000"/>
                <w:sz w:val="20"/>
              </w:rPr>
              <w:t>.</w:t>
            </w:r>
          </w:p>
        </w:tc>
      </w:tr>
    </w:tbl>
    <w:tbl>
      <w:tblPr>
        <w:tblW w:w="7262" w:type="dxa"/>
        <w:jc w:val="left"/>
        <w:tblInd w:w="0" w:type="dxa"/>
        <w:tblLayout w:type="fixed"/>
        <w:tblCellMar>
          <w:top w:w="28" w:type="dxa"/>
          <w:left w:w="28" w:type="dxa"/>
          <w:bottom w:w="28" w:type="dxa"/>
          <w:right w:w="28" w:type="dxa"/>
        </w:tblCellMar>
      </w:tblPr>
      <w:tblGrid>
        <w:gridCol w:w="496"/>
        <w:gridCol w:w="6766"/>
      </w:tblGrid>
      <w:tr>
        <w:trPr/>
        <w:tc>
          <w:tcPr>
            <w:tcW w:w="496"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ind w:left="0" w:right="0" w:hanging="51"/>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hanging="51"/>
              <w:jc w:val="left"/>
              <w:rPr>
                <w:color w:val="212529"/>
              </w:rPr>
            </w:pPr>
            <w:r>
              <w:rPr>
                <w:color w:val="212529"/>
              </w:rPr>
              <w:t> </w:t>
            </w:r>
            <w:r>
              <w:rPr>
                <w:rFonts w:ascii="Times New Roman" w:hAnsi="Times New Roman"/>
                <w:color w:val="212529"/>
                <w:sz w:val="20"/>
              </w:rPr>
              <w:t>104</w:t>
            </w:r>
          </w:p>
        </w:tc>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within the Inline XBRL document).</w:t>
            </w:r>
          </w:p>
        </w:tc>
      </w:tr>
    </w:tbl>
    <w:p>
      <w:pPr>
        <w:pStyle w:val="TextBody"/>
        <w:pBdr/>
        <w:bidi w:val="0"/>
        <w:ind w:left="0" w:right="0" w:hanging="245"/>
        <w:jc w:val="left"/>
        <w:rPr>
          <w:rFonts w:ascii="Times New Roman" w:hAnsi="Times New Roman"/>
          <w:color w:val="000000"/>
          <w:sz w:val="20"/>
        </w:rPr>
      </w:pPr>
      <w:r>
        <w:rPr>
          <w:rFonts w:ascii="Times New Roman" w:hAnsi="Times New Roman"/>
          <w:color w:val="000000"/>
          <w:sz w:val="20"/>
        </w:rPr>
        <w:t xml:space="preserve">* Furnished herewith.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4574" w:type="dxa"/>
        <w:jc w:val="left"/>
        <w:tblInd w:w="0" w:type="dxa"/>
        <w:tblLayout w:type="fixed"/>
        <w:tblCellMar>
          <w:top w:w="28" w:type="dxa"/>
          <w:left w:w="28" w:type="dxa"/>
          <w:bottom w:w="28" w:type="dxa"/>
          <w:right w:w="28" w:type="dxa"/>
        </w:tblCellMar>
      </w:tblPr>
      <w:tblGrid>
        <w:gridCol w:w="1846"/>
        <w:gridCol w:w="146"/>
        <w:gridCol w:w="451"/>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NAVIENT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1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 STEVE HAUBER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Steve Hauber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bl>
    <w:p>
      <w:pPr>
        <w:pStyle w:val="TextBody"/>
        <w:bidi w:val="0"/>
        <w:spacing w:before="36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navi-ex99_1.htm"/>
      <w:bookmarkStart w:id="3" w:name="ksnaviex99_1"/>
      <w:bookmarkEnd w:id="2"/>
      <w:bookmarkEnd w:id="3"/>
      <w:r>
        <w:rPr>
          <w:rFonts w:ascii="Arial" w:hAnsi="Arial"/>
          <w:b/>
          <w:color w:val="000000"/>
          <w:sz w:val="20"/>
        </w:rPr>
        <w:t>Exhibit 99.1</w:t>
      </w:r>
      <w:r>
        <w:br w:type="page"/>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sz w:val="20"/>
        </w:rPr>
        <w:drawing>
          <wp:inline distT="0" distB="0" distL="0" distR="0">
            <wp:extent cx="19812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323850"/>
                    </a:xfrm>
                    <a:prstGeom prst="rect">
                      <a:avLst/>
                    </a:prstGeom>
                  </pic:spPr>
                </pic:pic>
              </a:graphicData>
            </a:graphic>
          </wp:inline>
        </w:drawing>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470A68"/>
          <w:sz w:val="32"/>
        </w:rPr>
      </w:pPr>
      <w:r>
        <w:rPr>
          <w:rFonts w:ascii="Arial" w:hAnsi="Arial"/>
          <w:color w:val="470A68"/>
          <w:sz w:val="32"/>
        </w:rPr>
        <w:t>NEWS RELEASE</w:t>
      </w:r>
    </w:p>
    <w:p>
      <w:pPr>
        <w:pStyle w:val="TextBody"/>
        <w:bidi w:val="0"/>
        <w:spacing w:before="100" w:after="283"/>
        <w:jc w:val="left"/>
        <w:rPr>
          <w:rFonts w:ascii="Arial" w:hAnsi="Arial"/>
          <w:color w:val="470A68"/>
          <w:sz w:val="20"/>
        </w:rPr>
      </w:pPr>
      <w:r>
        <w:rPr>
          <w:rFonts w:ascii="Arial" w:hAnsi="Arial"/>
          <w:color w:val="470A68"/>
          <w:sz w:val="20"/>
        </w:rPr>
        <w:t>For immediate release</w:t>
      </w:r>
    </w:p>
    <w:p>
      <w:pPr>
        <w:pStyle w:val="TextBody"/>
        <w:bidi w:val="0"/>
        <w:jc w:val="center"/>
        <w:rPr>
          <w:rFonts w:ascii="Times New Roman" w:hAnsi="Times New Roman"/>
          <w:sz w:val="20"/>
        </w:rPr>
      </w:pPr>
      <w:r>
        <w:rPr>
          <w:rFonts w:ascii="Arial" w:hAnsi="Arial"/>
          <w:b/>
          <w:i/>
          <w:color w:val="000000"/>
          <w:sz w:val="24"/>
        </w:rPr>
        <w:t>Navient posts second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HERNDON, Va., August 6, 2026</w:t>
      </w:r>
      <w:r>
        <w:rPr>
          <w:rFonts w:ascii="Times New Roman" w:hAnsi="Times New Roman"/>
          <w:color w:val="000000"/>
          <w:sz w:val="20"/>
        </w:rPr>
        <w:t xml:space="preserve">— </w:t>
      </w:r>
      <w:r>
        <w:rPr>
          <w:rFonts w:ascii="Arial" w:hAnsi="Arial"/>
          <w:color w:val="000000"/>
          <w:sz w:val="22"/>
        </w:rPr>
        <w:t>Navient (Nasdaq: NAVI) today posted its 2026 second quarter financial results. Complete financial results are available on the company’s website at</w:t>
      </w:r>
      <w:r>
        <w:rPr>
          <w:rFonts w:ascii="Times New Roman" w:hAnsi="Times New Roman"/>
          <w:color w:val="000000"/>
          <w:sz w:val="20"/>
        </w:rPr>
        <w:t xml:space="preserve"> </w:t>
      </w:r>
      <w:r>
        <w:rPr>
          <w:rFonts w:ascii="Arial" w:hAnsi="Arial"/>
          <w:color w:val="0000FF"/>
          <w:sz w:val="22"/>
          <w:u w:val="single"/>
        </w:rPr>
        <w:t xml:space="preserve">Navient.com/investors. </w:t>
      </w:r>
      <w:r>
        <w:rPr>
          <w:rFonts w:ascii="Arial" w:hAnsi="Arial"/>
          <w:color w:val="000000"/>
          <w:sz w:val="22"/>
        </w:rPr>
        <w:t xml:space="preserve">The materials will also be available on a Form 8-K on the SEC’s website at </w:t>
      </w:r>
      <w:r>
        <w:rPr>
          <w:rFonts w:ascii="Arial" w:hAnsi="Arial"/>
          <w:color w:val="0000FF"/>
          <w:sz w:val="22"/>
          <w:u w:val="single"/>
        </w:rPr>
        <w:t>www.sec.gov</w:t>
      </w:r>
      <w:r>
        <w:rPr>
          <w:rFonts w:ascii="Arial" w:hAnsi="Arial"/>
          <w:color w:val="000000"/>
          <w:sz w:val="22"/>
        </w:rPr>
        <w: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Navient will hold a live audio webcast today, August 6, 2026, at 5 p.m. ET, hosted by Edward Bramson, CEO and chair of the board, and Steve Hauber, CFO.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The webcast will be available on </w:t>
      </w:r>
      <w:r>
        <w:rPr>
          <w:rFonts w:ascii="Arial" w:hAnsi="Arial"/>
          <w:color w:val="0000FF"/>
          <w:sz w:val="22"/>
          <w:u w:val="single"/>
        </w:rPr>
        <w:t>Navient.com/investors</w:t>
      </w:r>
      <w:r>
        <w:rPr>
          <w:rFonts w:ascii="Arial" w:hAnsi="Arial"/>
          <w:color w:val="000000"/>
          <w:sz w:val="22"/>
        </w:rPr>
        <w:t>. Supplemental financial information and presentation slides used during the call will be available no later than the start time. A replay of the webcast will be available shortly after the event's conclusion.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 * *</w:t>
      </w:r>
    </w:p>
    <w:p>
      <w:pPr>
        <w:pStyle w:val="TextBody"/>
        <w:bidi w:val="0"/>
        <w:jc w:val="center"/>
        <w:rPr/>
      </w:pPr>
      <w:r>
        <w:rPr/>
        <w:t> </w:t>
      </w:r>
    </w:p>
    <w:p>
      <w:pPr>
        <w:pStyle w:val="TextBody"/>
        <w:bidi w:val="0"/>
        <w:jc w:val="left"/>
        <w:rPr>
          <w:rFonts w:ascii="Arial" w:hAnsi="Arial"/>
          <w:b/>
          <w:color w:val="000000"/>
          <w:sz w:val="20"/>
        </w:rPr>
      </w:pPr>
      <w:r>
        <w:rPr>
          <w:rFonts w:ascii="Arial" w:hAnsi="Arial"/>
          <w:b/>
          <w:color w:val="000000"/>
          <w:sz w:val="20"/>
        </w:rPr>
        <w:t>About Navient</w:t>
      </w:r>
    </w:p>
    <w:p>
      <w:pPr>
        <w:pStyle w:val="TextBody"/>
        <w:bidi w:val="0"/>
        <w:jc w:val="left"/>
        <w:rPr>
          <w:rFonts w:ascii="Times New Roman" w:hAnsi="Times New Roman"/>
          <w:sz w:val="20"/>
        </w:rPr>
      </w:pPr>
      <w:r>
        <w:rPr>
          <w:rFonts w:ascii="Arial" w:hAnsi="Arial"/>
          <w:color w:val="000000"/>
          <w:sz w:val="20"/>
        </w:rPr>
        <w:t xml:space="preserve">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w:t>
      </w:r>
      <w:r>
        <w:rPr>
          <w:rFonts w:ascii="Arial" w:hAnsi="Arial"/>
          <w:color w:val="0000FF"/>
          <w:sz w:val="20"/>
          <w:u w:val="single"/>
        </w:rPr>
        <w:t>Navient.com</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rFonts w:ascii="Times New Roman" w:hAnsi="Times New Roman"/>
          <w:sz w:val="20"/>
        </w:rPr>
      </w:pPr>
      <w:r>
        <w:rPr>
          <w:rFonts w:ascii="Arial" w:hAnsi="Arial"/>
          <w:color w:val="000000"/>
          <w:sz w:val="20"/>
        </w:rPr>
        <w:t xml:space="preserve">Media: Cate Fitzgerald, 703-831-6347, </w:t>
      </w:r>
      <w:r>
        <w:rPr>
          <w:rFonts w:ascii="Arial" w:hAnsi="Arial"/>
          <w:color w:val="0000FF"/>
          <w:sz w:val="20"/>
          <w:u w:val="single"/>
        </w:rPr>
        <w:t>catherine.fitzgerald@navient.com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Investors: Micah Andrews, 571-415-5413, </w:t>
      </w:r>
      <w:r>
        <w:rPr>
          <w:rFonts w:ascii="Arial" w:hAnsi="Arial"/>
          <w:color w:val="0000FF"/>
          <w:sz w:val="20"/>
          <w:u w:val="single"/>
        </w:rPr>
        <w:t>micah.andrews@navient.com</w:t>
      </w:r>
      <w:r>
        <w:rPr>
          <w:rFonts w:ascii="Times New Roman" w:hAnsi="Times New Roman"/>
          <w:color w:val="000000"/>
          <w:sz w:val="20"/>
        </w:rPr>
        <w:t xml:space="preserve"> </w:t>
      </w:r>
    </w:p>
    <w:p>
      <w:pPr>
        <w:pStyle w:val="TextBody"/>
        <w:bidi w:val="0"/>
        <w:ind w:left="0" w:right="0" w:firstLine="900"/>
        <w:jc w:val="left"/>
        <w:rPr>
          <w:rFonts w:ascii="Times New Roman" w:hAnsi="Times New Roman"/>
          <w:sz w:val="20"/>
        </w:rPr>
      </w:pPr>
      <w:r>
        <w:rPr>
          <w:rFonts w:ascii="Arial" w:hAnsi="Arial"/>
          <w:color w:val="000000"/>
          <w:sz w:val="20"/>
        </w:rPr>
        <w:t xml:space="preserve">Roger Yankoupe, 571-592-8569, </w:t>
      </w:r>
      <w:r>
        <w:rPr>
          <w:rFonts w:ascii="Arial" w:hAnsi="Arial"/>
          <w:color w:val="0000FF"/>
          <w:sz w:val="20"/>
          <w:u w:val="single"/>
        </w:rPr>
        <w:t>roger.yankoupe@navient.com</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navi-ex99_2.htm"/>
      <w:bookmarkStart w:id="5" w:name="ksnaviex99_2"/>
      <w:bookmarkEnd w:id="4"/>
      <w:bookmarkEnd w:id="5"/>
      <w:r>
        <w:rPr/>
        <w:t> </w:t>
      </w:r>
      <w:r>
        <w:br w:type="page"/>
      </w:r>
    </w:p>
    <w:p>
      <w:pPr>
        <w:pStyle w:val="TextBody"/>
        <w:bidi w:val="0"/>
        <w:jc w:val="right"/>
        <w:rPr/>
      </w:pPr>
      <w:r>
        <w:rPr/>
        <w:t> </w:t>
      </w:r>
    </w:p>
    <w:p>
      <w:pPr>
        <w:pStyle w:val="TextBody"/>
        <w:bidi w:val="0"/>
        <w:jc w:val="right"/>
        <w:rPr>
          <w:rFonts w:ascii="Arial" w:hAnsi="Arial"/>
          <w:b/>
          <w:color w:val="000000"/>
          <w:sz w:val="20"/>
        </w:rPr>
      </w:pPr>
      <w:r>
        <w:rPr>
          <w:rFonts w:ascii="Arial" w:hAnsi="Arial"/>
          <w:b/>
          <w:color w:val="000000"/>
          <w:sz w:val="20"/>
        </w:rPr>
        <w:t>Exhibit 99.2</w:t>
      </w:r>
    </w:p>
    <w:tbl>
      <w:tblPr>
        <w:tblW w:w="10946" w:type="dxa"/>
        <w:jc w:val="left"/>
        <w:tblInd w:w="0" w:type="dxa"/>
        <w:tblLayout w:type="fixed"/>
        <w:tblCellMar>
          <w:top w:w="28" w:type="dxa"/>
          <w:left w:w="28" w:type="dxa"/>
          <w:bottom w:w="28" w:type="dxa"/>
          <w:right w:w="28" w:type="dxa"/>
        </w:tblCellMar>
      </w:tblPr>
      <w:tblGrid>
        <w:gridCol w:w="6356"/>
        <w:gridCol w:w="4590"/>
      </w:tblGrid>
      <w:tr>
        <w:trPr/>
        <w:tc>
          <w:tcPr>
            <w:tcW w:w="6356" w:type="dxa"/>
            <w:tcBorders/>
            <w:vAlign w:val="center"/>
          </w:tcPr>
          <w:p>
            <w:pPr>
              <w:pStyle w:val="TableContents"/>
              <w:bidi w:val="0"/>
              <w:spacing w:before="0" w:after="283"/>
              <w:jc w:val="left"/>
              <w:rPr>
                <w:sz w:val="4"/>
                <w:szCs w:val="4"/>
              </w:rPr>
            </w:pPr>
            <w:r>
              <w:rPr>
                <w:sz w:val="4"/>
                <w:szCs w:val="4"/>
              </w:rPr>
            </w:r>
          </w:p>
        </w:tc>
        <w:tc>
          <w:tcPr>
            <w:tcW w:w="4590" w:type="dxa"/>
            <w:tcBorders/>
            <w:vAlign w:val="center"/>
          </w:tcPr>
          <w:p>
            <w:pPr>
              <w:pStyle w:val="TableContents"/>
              <w:bidi w:val="0"/>
              <w:spacing w:before="0" w:after="283"/>
              <w:jc w:val="left"/>
              <w:rPr>
                <w:sz w:val="4"/>
                <w:szCs w:val="4"/>
              </w:rPr>
            </w:pPr>
            <w:r>
              <w:rPr>
                <w:sz w:val="4"/>
                <w:szCs w:val="4"/>
              </w:rPr>
            </w:r>
          </w:p>
        </w:tc>
      </w:tr>
      <w:tr>
        <w:trPr/>
        <w:tc>
          <w:tcPr>
            <w:tcW w:w="63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812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323850"/>
                          </a:xfrm>
                          <a:prstGeom prst="rect">
                            <a:avLst/>
                          </a:prstGeom>
                        </pic:spPr>
                      </pic:pic>
                    </a:graphicData>
                  </a:graphic>
                </wp:inline>
              </w:drawing>
            </w:r>
          </w:p>
        </w:tc>
        <w:tc>
          <w:tcPr>
            <w:tcW w:w="4590" w:type="dxa"/>
            <w:tcBorders/>
            <w:tcMar>
              <w:top w:w="0" w:type="dxa"/>
              <w:left w:w="0" w:type="dxa"/>
              <w:bottom w:w="0" w:type="dxa"/>
              <w:right w:w="0" w:type="dxa"/>
            </w:tcMar>
            <w:vAlign w:val="center"/>
          </w:tcPr>
          <w:p>
            <w:pPr>
              <w:pStyle w:val="TableContents"/>
              <w:bidi w:val="0"/>
              <w:jc w:val="right"/>
              <w:rPr>
                <w:rFonts w:ascii="Arial" w:hAnsi="Arial"/>
                <w:b/>
                <w:color w:val="482366"/>
                <w:sz w:val="22"/>
              </w:rPr>
            </w:pPr>
            <w:r>
              <w:rPr>
                <w:rFonts w:ascii="Arial" w:hAnsi="Arial"/>
                <w:b/>
                <w:color w:val="482366"/>
                <w:sz w:val="22"/>
              </w:rPr>
              <w:t>NAVIENT REPORTS SECOND-QUARTER</w:t>
            </w:r>
          </w:p>
          <w:p>
            <w:pPr>
              <w:pStyle w:val="TableContents"/>
              <w:bidi w:val="0"/>
              <w:spacing w:before="0" w:after="20"/>
              <w:jc w:val="right"/>
              <w:rPr>
                <w:rFonts w:ascii="Arial" w:hAnsi="Arial"/>
                <w:b/>
                <w:color w:val="482366"/>
                <w:sz w:val="22"/>
              </w:rPr>
            </w:pPr>
            <w:r>
              <w:rPr>
                <w:rFonts w:ascii="Arial" w:hAnsi="Arial"/>
                <w:b/>
                <w:color w:val="482366"/>
                <w:sz w:val="22"/>
              </w:rPr>
              <w:t>2026 FINANCIAL RESULTS</w:t>
            </w:r>
          </w:p>
        </w:tc>
      </w:tr>
      <w:tr>
        <w:trPr/>
        <w:tc>
          <w:tcPr>
            <w:tcW w:w="10946" w:type="dxa"/>
            <w:gridSpan w:val="2"/>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6858000" cy="4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47625"/>
                          </a:xfrm>
                          <a:prstGeom prst="rect">
                            <a:avLst/>
                          </a:prstGeom>
                        </pic:spPr>
                      </pic:pic>
                    </a:graphicData>
                  </a:graphic>
                </wp:inline>
              </w:drawing>
            </w:r>
          </w:p>
        </w:tc>
      </w:tr>
    </w:tbl>
    <w:p>
      <w:pPr>
        <w:pStyle w:val="TextBody"/>
        <w:bidi w:val="0"/>
        <w:spacing w:before="240" w:after="283"/>
        <w:jc w:val="left"/>
        <w:rPr>
          <w:rFonts w:ascii="Times New Roman" w:hAnsi="Times New Roman"/>
          <w:sz w:val="20"/>
        </w:rPr>
      </w:pPr>
      <w:r>
        <w:rPr>
          <w:rFonts w:ascii="Arial" w:hAnsi="Arial"/>
          <w:b/>
          <w:color w:val="000000"/>
          <w:sz w:val="20"/>
        </w:rPr>
        <w:t>HERNDON, Va., August 6, 2026</w:t>
      </w:r>
      <w:r>
        <w:rPr>
          <w:rFonts w:ascii="Times New Roman" w:hAnsi="Times New Roman"/>
          <w:color w:val="000000"/>
          <w:sz w:val="20"/>
        </w:rPr>
        <w:t xml:space="preserve"> — </w:t>
      </w:r>
      <w:r>
        <w:rPr>
          <w:rFonts w:ascii="Arial" w:hAnsi="Arial"/>
          <w:color w:val="000000"/>
          <w:sz w:val="20"/>
        </w:rPr>
        <w:t>Navient (Nasdaq: NAVI) today released its second-quarter 2026 financial results.</w:t>
      </w:r>
      <w:r>
        <w:rPr>
          <w:rFonts w:ascii="Times New Roman" w:hAnsi="Times New Roman"/>
          <w:color w:val="000000"/>
          <w:sz w:val="20"/>
        </w:rPr>
        <w:t xml:space="preserve"> </w:t>
      </w:r>
    </w:p>
    <w:tbl>
      <w:tblPr>
        <w:tblW w:w="8327" w:type="dxa"/>
        <w:jc w:val="left"/>
        <w:tblInd w:w="0" w:type="dxa"/>
        <w:tblLayout w:type="fixed"/>
        <w:tblCellMar>
          <w:top w:w="28" w:type="dxa"/>
          <w:left w:w="28" w:type="dxa"/>
          <w:bottom w:w="28" w:type="dxa"/>
          <w:right w:w="28" w:type="dxa"/>
        </w:tblCellMar>
      </w:tblPr>
      <w:tblGrid>
        <w:gridCol w:w="1876"/>
        <w:gridCol w:w="6451"/>
      </w:tblGrid>
      <w:tr>
        <w:trPr/>
        <w:tc>
          <w:tcPr>
            <w:tcW w:w="187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D9CFE3" w:val="clear"/>
            <w:tcMar>
              <w:top w:w="0" w:type="dxa"/>
              <w:left w:w="0" w:type="dxa"/>
              <w:bottom w:w="0" w:type="dxa"/>
              <w:right w:w="0" w:type="dxa"/>
            </w:tcMar>
            <w:vAlign w:val="center"/>
          </w:tcPr>
          <w:p>
            <w:pPr>
              <w:pStyle w:val="TableContents"/>
              <w:bidi w:val="0"/>
              <w:jc w:val="left"/>
              <w:rPr/>
            </w:pPr>
            <w:r>
              <w:rPr>
                <w:color w:val="000000"/>
              </w:rPr>
              <w:t> </w:t>
            </w:r>
            <w:r>
              <w:rPr>
                <w:rFonts w:ascii="Arial" w:hAnsi="Arial"/>
                <w:b/>
                <w:color w:val="000000"/>
                <w:sz w:val="20"/>
              </w:rPr>
              <w:t>OVERALL</w:t>
            </w:r>
            <w:r>
              <w:rPr>
                <w:rFonts w:ascii="Times New Roman" w:hAnsi="Times New Roman"/>
                <w:color w:val="000000"/>
                <w:sz w:val="20"/>
              </w:rPr>
              <w:t xml:space="preserve"> </w:t>
            </w:r>
          </w:p>
          <w:p>
            <w:pPr>
              <w:pStyle w:val="TableContents"/>
              <w:bidi w:val="0"/>
              <w:spacing w:before="0" w:after="20"/>
              <w:ind w:left="0" w:right="0" w:firstLine="720"/>
              <w:jc w:val="left"/>
              <w:rPr>
                <w:color w:val="000000"/>
              </w:rPr>
            </w:pPr>
            <w:r>
              <w:rPr>
                <w:color w:val="000000"/>
              </w:rPr>
              <w:t>  </w:t>
            </w:r>
            <w:r>
              <w:rPr>
                <w:rFonts w:ascii="Arial" w:hAnsi="Arial"/>
                <w:b/>
                <w:color w:val="000000"/>
                <w:sz w:val="20"/>
              </w:rPr>
              <w:t>RESULTS</w:t>
            </w:r>
          </w:p>
        </w:tc>
        <w:tc>
          <w:tcPr>
            <w:tcW w:w="6451" w:type="dxa"/>
            <w:tcBorders/>
            <w:shd w:fill="D9CFE3" w:val="clear"/>
            <w:tcMar>
              <w:top w:w="0" w:type="dxa"/>
              <w:left w:w="0" w:type="dxa"/>
              <w:bottom w:w="0" w:type="dxa"/>
              <w:right w:w="0" w:type="dxa"/>
            </w:tcMar>
            <w:vAlign w:val="center"/>
          </w:tcPr>
          <w:p>
            <w:pPr>
              <w:pStyle w:val="TableContents"/>
              <w:bidi w:val="0"/>
              <w:spacing w:before="0" w:after="0"/>
              <w:ind w:left="360" w:right="274" w:firstLine="72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 xml:space="preserve">GAAP net income of $25 million ($0.26 diluted earnings per share). </w:t>
            </w:r>
          </w:p>
          <w:p>
            <w:pPr>
              <w:pStyle w:val="TableContents"/>
              <w:bidi w:val="0"/>
              <w:spacing w:before="120" w:after="120"/>
              <w:ind w:left="360" w:right="274" w:firstLine="720"/>
              <w:jc w:val="left"/>
              <w:rPr>
                <w:color w:val="000000"/>
              </w:rPr>
            </w:pPr>
            <w:r>
              <w:rPr>
                <w:color w:val="000000"/>
              </w:rPr>
              <w:t>•</w:t>
            </w:r>
          </w:p>
          <w:p>
            <w:pPr>
              <w:pStyle w:val="TableContents"/>
              <w:bidi w:val="0"/>
              <w:spacing w:before="120" w:after="120"/>
              <w:jc w:val="left"/>
              <w:rPr/>
            </w:pPr>
            <w:r>
              <w:rPr>
                <w:rFonts w:ascii="Arial" w:hAnsi="Arial"/>
                <w:color w:val="000000"/>
                <w:sz w:val="18"/>
              </w:rPr>
              <w:t>Core Earnings</w:t>
            </w:r>
            <w:r>
              <w:rPr>
                <w:rFonts w:ascii="Arial" w:hAnsi="Arial"/>
                <w:color w:val="000000"/>
                <w:sz w:val="12"/>
              </w:rPr>
              <w:t>(1)</w:t>
            </w:r>
            <w:r>
              <w:rPr>
                <w:color w:val="000000"/>
              </w:rPr>
              <w:t xml:space="preserve"> </w:t>
            </w:r>
            <w:r>
              <w:rPr>
                <w:rFonts w:ascii="Arial" w:hAnsi="Arial"/>
                <w:color w:val="000000"/>
                <w:sz w:val="18"/>
              </w:rPr>
              <w:t>net income of $27 million ($0.29 diluted earnings per share).</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9"/>
        </w:rPr>
        <w:t>CEO COMMENTARY</w:t>
      </w:r>
      <w:r>
        <w:rPr>
          <w:rFonts w:ascii="Times New Roman" w:hAnsi="Times New Roman"/>
          <w:color w:val="000000"/>
          <w:sz w:val="20"/>
        </w:rPr>
        <w:t xml:space="preserve"> – </w:t>
      </w:r>
      <w:r>
        <w:rPr>
          <w:rFonts w:ascii="Arial" w:hAnsi="Arial"/>
          <w:color w:val="000000"/>
          <w:sz w:val="18"/>
        </w:rPr>
        <w:t>"Navient is moving forward in a position of strength, with the benefits of our strategic transformation evident in our second-quarter results," said Edward Bramson, Navient’s CEO and chair of the board. "Originations grew more than 60% and operating expenses declined 18% from a year ago, reflecting the progress we made to strengthen the company and sharpen our focus."</w:t>
      </w:r>
    </w:p>
    <w:p>
      <w:pPr>
        <w:pStyle w:val="TextBody"/>
        <w:bidi w:val="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470A68" w:val="clear"/>
            <w:tcMar>
              <w:top w:w="0" w:type="dxa"/>
              <w:left w:w="0" w:type="dxa"/>
              <w:bottom w:w="0" w:type="dxa"/>
              <w:right w:w="0" w:type="dxa"/>
            </w:tcMar>
            <w:vAlign w:val="center"/>
          </w:tcPr>
          <w:p>
            <w:pPr>
              <w:pStyle w:val="TableContents"/>
              <w:bidi w:val="0"/>
              <w:spacing w:before="0" w:after="283"/>
              <w:jc w:val="left"/>
              <w:rPr/>
            </w:pPr>
            <w:r>
              <w:rPr>
                <w:color w:val="FFFFFF"/>
              </w:rPr>
              <w:t> </w:t>
            </w:r>
            <w:r>
              <w:rPr>
                <w:rFonts w:ascii="Arial" w:hAnsi="Arial"/>
                <w:b/>
                <w:color w:val="FFFFFF"/>
                <w:sz w:val="19"/>
              </w:rPr>
              <w:t>SECOND-QUARTER HIGHLIGHTS</w:t>
            </w:r>
            <w:r>
              <w:rPr>
                <w:rFonts w:ascii="Times New Roman" w:hAnsi="Times New Roman"/>
                <w:color w:val="FFFFFF"/>
                <w:sz w:val="19"/>
              </w:rPr>
              <w:t xml:space="preserve"> </w:t>
            </w:r>
          </w:p>
        </w:tc>
      </w:tr>
    </w:tbl>
    <w:tbl>
      <w:tblPr>
        <w:tblW w:w="9437" w:type="dxa"/>
        <w:jc w:val="left"/>
        <w:tblInd w:w="0" w:type="dxa"/>
        <w:tblLayout w:type="fixed"/>
        <w:tblCellMar>
          <w:top w:w="28" w:type="dxa"/>
          <w:left w:w="28" w:type="dxa"/>
          <w:bottom w:w="28" w:type="dxa"/>
          <w:right w:w="28" w:type="dxa"/>
        </w:tblCellMar>
      </w:tblPr>
      <w:tblGrid>
        <w:gridCol w:w="2416"/>
        <w:gridCol w:w="7021"/>
      </w:tblGrid>
      <w:tr>
        <w:trPr/>
        <w:tc>
          <w:tcPr>
            <w:tcW w:w="241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E7E6E6" w:val="clear"/>
            <w:tcMar>
              <w:top w:w="0" w:type="dxa"/>
              <w:left w:w="0" w:type="dxa"/>
              <w:bottom w:w="0" w:type="dxa"/>
              <w:right w:w="0" w:type="dxa"/>
            </w:tcMar>
            <w:vAlign w:val="center"/>
          </w:tcPr>
          <w:p>
            <w:pPr>
              <w:pStyle w:val="TableContents"/>
              <w:bidi w:val="0"/>
              <w:ind w:left="120" w:right="0" w:hanging="0"/>
              <w:jc w:val="left"/>
              <w:rPr>
                <w:rFonts w:ascii="Arial" w:hAnsi="Arial"/>
                <w:b/>
                <w:color w:val="000000"/>
                <w:sz w:val="19"/>
              </w:rPr>
            </w:pPr>
            <w:r>
              <w:rPr>
                <w:rFonts w:ascii="Arial" w:hAnsi="Arial"/>
                <w:b/>
                <w:color w:val="000000"/>
                <w:sz w:val="19"/>
              </w:rPr>
              <w:t>CONSUMER LENDING</w:t>
              <w:br/>
              <w:t>SEGMENT</w:t>
            </w:r>
          </w:p>
          <w:p>
            <w:pPr>
              <w:pStyle w:val="TableContents"/>
              <w:bidi w:val="0"/>
              <w:spacing w:before="0" w:after="283"/>
              <w:jc w:val="left"/>
              <w:rPr/>
            </w:pPr>
            <w:r>
              <w:rPr/>
              <w:t> </w:t>
            </w:r>
          </w:p>
        </w:tc>
        <w:tc>
          <w:tcPr>
            <w:tcW w:w="7021" w:type="dxa"/>
            <w:tcBorders/>
            <w:shd w:fill="E7E6E6" w:val="clear"/>
            <w:tcMar>
              <w:top w:w="0" w:type="dxa"/>
              <w:left w:w="0" w:type="dxa"/>
              <w:bottom w:w="0" w:type="dxa"/>
              <w:right w:w="0" w:type="dxa"/>
            </w:tcMar>
            <w:vAlign w:val="center"/>
          </w:tcPr>
          <w:p>
            <w:pPr>
              <w:pStyle w:val="TableContents"/>
              <w:bidi w:val="0"/>
              <w:spacing w:before="0" w:after="120"/>
              <w:ind w:left="360" w:right="0" w:hanging="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 xml:space="preserve">Net income of $27 million. </w:t>
            </w:r>
          </w:p>
          <w:p>
            <w:pPr>
              <w:pStyle w:val="TableContents"/>
              <w:bidi w:val="0"/>
              <w:spacing w:before="0" w:after="120"/>
              <w:ind w:left="360" w:right="0" w:hanging="0"/>
              <w:jc w:val="left"/>
              <w:rPr>
                <w:color w:val="000000"/>
              </w:rPr>
            </w:pPr>
            <w:r>
              <w:rPr>
                <w:color w:val="000000"/>
              </w:rPr>
              <w:t>•</w:t>
            </w:r>
          </w:p>
          <w:p>
            <w:pPr>
              <w:pStyle w:val="TableContents"/>
              <w:bidi w:val="0"/>
              <w:spacing w:before="0" w:after="120"/>
              <w:jc w:val="left"/>
              <w:rPr>
                <w:rFonts w:ascii="Arial" w:hAnsi="Arial"/>
                <w:color w:val="000000"/>
                <w:sz w:val="18"/>
              </w:rPr>
            </w:pPr>
            <w:r>
              <w:rPr>
                <w:rFonts w:ascii="Arial" w:hAnsi="Arial"/>
                <w:color w:val="000000"/>
                <w:sz w:val="18"/>
              </w:rPr>
              <w:t>Net interest margin of 2.26%.</w:t>
            </w:r>
          </w:p>
          <w:p>
            <w:pPr>
              <w:pStyle w:val="TableContents"/>
              <w:bidi w:val="0"/>
              <w:spacing w:before="0" w:after="40"/>
              <w:ind w:left="360" w:right="0" w:hanging="0"/>
              <w:jc w:val="left"/>
              <w:rPr>
                <w:color w:val="000000"/>
              </w:rPr>
            </w:pPr>
            <w:r>
              <w:rPr>
                <w:color w:val="000000"/>
              </w:rPr>
              <w:t>•</w:t>
            </w:r>
          </w:p>
          <w:p>
            <w:pPr>
              <w:pStyle w:val="TableContents"/>
              <w:bidi w:val="0"/>
              <w:spacing w:before="0" w:after="40"/>
              <w:jc w:val="left"/>
              <w:rPr>
                <w:rFonts w:ascii="Arial" w:hAnsi="Arial"/>
                <w:color w:val="000000"/>
                <w:sz w:val="18"/>
              </w:rPr>
            </w:pPr>
            <w:r>
              <w:rPr>
                <w:rFonts w:ascii="Arial" w:hAnsi="Arial"/>
                <w:color w:val="000000"/>
                <w:sz w:val="18"/>
              </w:rPr>
              <w:t>Originated $815 million of Private Education Loans, a 63% increase from a year ago.</w:t>
            </w:r>
          </w:p>
          <w:p>
            <w:pPr>
              <w:pStyle w:val="TableContents"/>
              <w:bidi w:val="0"/>
              <w:jc w:val="left"/>
              <w:rPr/>
            </w:pPr>
            <w:r>
              <w:rPr/>
              <w:t> </w:t>
            </w:r>
          </w:p>
          <w:p>
            <w:pPr>
              <w:pStyle w:val="TableContents"/>
              <w:pBdr/>
              <w:bidi w:val="0"/>
              <w:spacing w:before="0" w:after="283"/>
              <w:ind w:left="0" w:right="0" w:firstLine="120"/>
              <w:jc w:val="left"/>
              <w:rPr/>
            </w:pPr>
            <w:r>
              <w:rPr/>
              <w:t> </w:t>
            </w:r>
          </w:p>
        </w:tc>
      </w:tr>
      <w:tr>
        <w:trPr/>
        <w:tc>
          <w:tcPr>
            <w:tcW w:w="2416" w:type="dxa"/>
            <w:tcBorders/>
            <w:tcMar>
              <w:top w:w="0" w:type="dxa"/>
              <w:left w:w="0" w:type="dxa"/>
              <w:bottom w:w="0" w:type="dxa"/>
              <w:right w:w="0" w:type="dxa"/>
            </w:tcMar>
            <w:vAlign w:val="center"/>
          </w:tcPr>
          <w:p>
            <w:pPr>
              <w:pStyle w:val="TableContents"/>
              <w:bidi w:val="0"/>
              <w:ind w:left="120" w:right="0" w:firstLine="120"/>
              <w:jc w:val="left"/>
              <w:rPr>
                <w:rFonts w:ascii="Arial" w:hAnsi="Arial"/>
                <w:b/>
                <w:color w:val="000000"/>
                <w:sz w:val="19"/>
              </w:rPr>
            </w:pPr>
            <w:r>
              <w:rPr>
                <w:rFonts w:ascii="Arial" w:hAnsi="Arial"/>
                <w:b/>
                <w:color w:val="000000"/>
                <w:sz w:val="19"/>
              </w:rPr>
              <w:t>FEDERAL</w:t>
              <w:br/>
              <w:t>EDUCATION</w:t>
              <w:br/>
              <w:t>LOANS SEGMENT</w:t>
            </w:r>
          </w:p>
          <w:p>
            <w:pPr>
              <w:pStyle w:val="TableContents"/>
              <w:bidi w:val="0"/>
              <w:spacing w:before="0" w:after="283"/>
              <w:ind w:left="0" w:right="0" w:firstLine="720"/>
              <w:jc w:val="left"/>
              <w:rPr/>
            </w:pPr>
            <w:r>
              <w:rPr/>
              <w:t> </w:t>
            </w:r>
          </w:p>
        </w:tc>
        <w:tc>
          <w:tcPr>
            <w:tcW w:w="7021" w:type="dxa"/>
            <w:tcBorders/>
            <w:tcMar>
              <w:top w:w="0" w:type="dxa"/>
              <w:left w:w="0" w:type="dxa"/>
              <w:bottom w:w="0" w:type="dxa"/>
              <w:right w:w="0" w:type="dxa"/>
            </w:tcMar>
            <w:vAlign w:val="center"/>
          </w:tcPr>
          <w:p>
            <w:pPr>
              <w:pStyle w:val="TableContents"/>
              <w:bidi w:val="0"/>
              <w:spacing w:before="0" w:after="40"/>
              <w:ind w:left="360" w:right="0" w:firstLine="720"/>
              <w:jc w:val="left"/>
              <w:rPr>
                <w:color w:val="000000"/>
              </w:rPr>
            </w:pPr>
            <w:r>
              <w:rPr>
                <w:color w:val="000000"/>
              </w:rPr>
              <w:t>•</w:t>
            </w:r>
          </w:p>
          <w:p>
            <w:pPr>
              <w:pStyle w:val="TableContents"/>
              <w:bidi w:val="0"/>
              <w:spacing w:before="0" w:after="40"/>
              <w:jc w:val="left"/>
              <w:rPr>
                <w:rFonts w:ascii="Arial" w:hAnsi="Arial"/>
                <w:color w:val="000000"/>
                <w:sz w:val="18"/>
              </w:rPr>
            </w:pPr>
            <w:r>
              <w:rPr>
                <w:rFonts w:ascii="Arial" w:hAnsi="Arial"/>
                <w:color w:val="000000"/>
                <w:sz w:val="18"/>
              </w:rPr>
              <w:t>Net income of $26 million.</w:t>
            </w:r>
          </w:p>
          <w:p>
            <w:pPr>
              <w:pStyle w:val="TableContents"/>
              <w:bidi w:val="0"/>
              <w:spacing w:before="80" w:after="120"/>
              <w:ind w:left="360" w:right="0" w:firstLine="720"/>
              <w:jc w:val="left"/>
              <w:rPr>
                <w:color w:val="000000"/>
              </w:rPr>
            </w:pPr>
            <w:r>
              <w:rPr>
                <w:color w:val="000000"/>
              </w:rPr>
              <w:t>•</w:t>
            </w:r>
          </w:p>
          <w:p>
            <w:pPr>
              <w:pStyle w:val="TableContents"/>
              <w:bidi w:val="0"/>
              <w:spacing w:before="80" w:after="120"/>
              <w:jc w:val="left"/>
              <w:rPr>
                <w:rFonts w:ascii="Arial" w:hAnsi="Arial"/>
                <w:color w:val="000000"/>
                <w:sz w:val="18"/>
              </w:rPr>
            </w:pPr>
            <w:r>
              <w:rPr>
                <w:rFonts w:ascii="Arial" w:hAnsi="Arial"/>
                <w:color w:val="000000"/>
                <w:sz w:val="18"/>
              </w:rPr>
              <w:t>Net interest margin of 0.68%.</w:t>
            </w:r>
          </w:p>
          <w:p>
            <w:pPr>
              <w:pStyle w:val="TableContents"/>
              <w:bidi w:val="0"/>
              <w:spacing w:before="0" w:after="283"/>
              <w:ind w:left="0" w:right="0" w:firstLine="720"/>
              <w:jc w:val="left"/>
              <w:rPr/>
            </w:pPr>
            <w:r>
              <w:rPr/>
              <w:t> </w:t>
            </w:r>
          </w:p>
        </w:tc>
      </w:tr>
      <w:tr>
        <w:trPr/>
        <w:tc>
          <w:tcPr>
            <w:tcW w:w="2416" w:type="dxa"/>
            <w:tcBorders/>
            <w:shd w:fill="E5E5E5" w:val="clear"/>
            <w:tcMar>
              <w:top w:w="0" w:type="dxa"/>
              <w:left w:w="0" w:type="dxa"/>
              <w:bottom w:w="0" w:type="dxa"/>
              <w:right w:w="0" w:type="dxa"/>
            </w:tcMar>
            <w:vAlign w:val="center"/>
          </w:tcPr>
          <w:p>
            <w:pPr>
              <w:pStyle w:val="TableContents"/>
              <w:bidi w:val="0"/>
              <w:ind w:left="120" w:right="0" w:hanging="0"/>
              <w:jc w:val="left"/>
              <w:rPr/>
            </w:pPr>
            <w:r>
              <w:rPr/>
              <w:t> </w:t>
            </w:r>
          </w:p>
          <w:p>
            <w:pPr>
              <w:pStyle w:val="TableContents"/>
              <w:bidi w:val="0"/>
              <w:spacing w:before="0" w:after="283"/>
              <w:ind w:left="120" w:right="0" w:hanging="0"/>
              <w:jc w:val="left"/>
              <w:rPr>
                <w:rFonts w:ascii="Arial" w:hAnsi="Arial"/>
                <w:b/>
                <w:color w:val="000000"/>
                <w:sz w:val="19"/>
              </w:rPr>
            </w:pPr>
            <w:r>
              <w:rPr>
                <w:rFonts w:ascii="Arial" w:hAnsi="Arial"/>
                <w:b/>
                <w:color w:val="000000"/>
                <w:sz w:val="19"/>
              </w:rPr>
              <w:t>CAPITAL &amp; FUNDING</w:t>
            </w:r>
          </w:p>
        </w:tc>
        <w:tc>
          <w:tcPr>
            <w:tcW w:w="7021" w:type="dxa"/>
            <w:tcBorders/>
            <w:shd w:fill="E5E5E5" w:val="clear"/>
            <w:tcMar>
              <w:top w:w="0" w:type="dxa"/>
              <w:left w:w="0" w:type="dxa"/>
              <w:bottom w:w="0" w:type="dxa"/>
              <w:right w:w="0" w:type="dxa"/>
            </w:tcMar>
            <w:vAlign w:val="center"/>
          </w:tcPr>
          <w:p>
            <w:pPr>
              <w:pStyle w:val="TableContents"/>
              <w:bidi w:val="0"/>
              <w:spacing w:before="0" w:after="40"/>
              <w:ind w:left="360" w:right="0" w:hanging="0"/>
              <w:jc w:val="left"/>
              <w:rPr>
                <w:color w:val="000000"/>
              </w:rPr>
            </w:pPr>
            <w:r>
              <w:rPr>
                <w:color w:val="000000"/>
              </w:rPr>
              <w:t>•</w:t>
            </w:r>
          </w:p>
          <w:p>
            <w:pPr>
              <w:pStyle w:val="TableContents"/>
              <w:bidi w:val="0"/>
              <w:spacing w:before="0" w:after="40"/>
              <w:jc w:val="left"/>
              <w:rPr/>
            </w:pPr>
            <w:r>
              <w:rPr>
                <w:rFonts w:ascii="Arial" w:hAnsi="Arial"/>
                <w:color w:val="000000"/>
                <w:sz w:val="18"/>
              </w:rPr>
              <w:t>GAAP equity-to-asset ratio of 5.1% and adjusted tangible equity ratio</w:t>
            </w:r>
            <w:r>
              <w:rPr>
                <w:rFonts w:ascii="Arial" w:hAnsi="Arial"/>
                <w:color w:val="000000"/>
                <w:sz w:val="12"/>
              </w:rPr>
              <w:t>(1)</w:t>
            </w:r>
            <w:r>
              <w:rPr>
                <w:color w:val="000000"/>
              </w:rPr>
              <w:t xml:space="preserve"> </w:t>
            </w:r>
            <w:r>
              <w:rPr>
                <w:rFonts w:ascii="Arial" w:hAnsi="Arial"/>
                <w:color w:val="000000"/>
                <w:sz w:val="18"/>
              </w:rPr>
              <w:t>of 9.0</w:t>
            </w:r>
            <w:r>
              <w:rPr>
                <w:rFonts w:ascii="Arial" w:hAnsi="Arial"/>
                <w:color w:val="000000"/>
                <w:sz w:val="20"/>
              </w:rPr>
              <w:t>%.</w:t>
            </w:r>
          </w:p>
          <w:p>
            <w:pPr>
              <w:pStyle w:val="TableContents"/>
              <w:bidi w:val="0"/>
              <w:spacing w:before="80" w:after="120"/>
              <w:ind w:left="360" w:right="0" w:hanging="0"/>
              <w:jc w:val="left"/>
              <w:rPr>
                <w:color w:val="000000"/>
              </w:rPr>
            </w:pPr>
            <w:r>
              <w:rPr>
                <w:color w:val="000000"/>
              </w:rPr>
              <w:t>•</w:t>
            </w:r>
          </w:p>
          <w:p>
            <w:pPr>
              <w:pStyle w:val="TableContents"/>
              <w:bidi w:val="0"/>
              <w:spacing w:before="80" w:after="120"/>
              <w:jc w:val="left"/>
              <w:rPr>
                <w:rFonts w:ascii="Arial" w:hAnsi="Arial"/>
                <w:color w:val="000000"/>
                <w:sz w:val="18"/>
              </w:rPr>
            </w:pPr>
            <w:r>
              <w:rPr>
                <w:rFonts w:ascii="Arial" w:hAnsi="Arial"/>
                <w:color w:val="000000"/>
                <w:sz w:val="18"/>
              </w:rPr>
              <w:t xml:space="preserve">Repurchased $2 million of common shares. </w:t>
            </w:r>
          </w:p>
          <w:p>
            <w:pPr>
              <w:pStyle w:val="TableContents"/>
              <w:bidi w:val="0"/>
              <w:spacing w:before="0" w:after="120"/>
              <w:ind w:left="360" w:right="0" w:hanging="0"/>
              <w:jc w:val="left"/>
              <w:rPr>
                <w:color w:val="000000"/>
              </w:rPr>
            </w:pPr>
            <w:r>
              <w:rPr>
                <w:color w:val="000000"/>
              </w:rPr>
              <w:t>•</w:t>
            </w:r>
          </w:p>
          <w:p>
            <w:pPr>
              <w:pStyle w:val="TableContents"/>
              <w:bidi w:val="0"/>
              <w:spacing w:before="0" w:after="120"/>
              <w:jc w:val="left"/>
              <w:rPr/>
            </w:pPr>
            <w:r>
              <w:rPr>
                <w:rFonts w:ascii="Arial" w:hAnsi="Arial"/>
                <w:color w:val="000000"/>
                <w:sz w:val="18"/>
              </w:rPr>
              <w:t>Paid $15 million in common stock dividends</w:t>
            </w:r>
            <w:r>
              <w:rPr>
                <w:rFonts w:ascii="Arial" w:hAnsi="Arial"/>
                <w:color w:val="000000"/>
                <w:sz w:val="20"/>
              </w:rPr>
              <w:t>.</w:t>
            </w:r>
          </w:p>
          <w:p>
            <w:pPr>
              <w:pStyle w:val="TableContents"/>
              <w:bidi w:val="0"/>
              <w:spacing w:before="0" w:after="40"/>
              <w:ind w:left="360" w:right="0" w:hanging="0"/>
              <w:jc w:val="left"/>
              <w:rPr>
                <w:color w:val="000000"/>
              </w:rPr>
            </w:pPr>
            <w:r>
              <w:rPr>
                <w:color w:val="000000"/>
              </w:rPr>
              <w:t>•</w:t>
            </w:r>
          </w:p>
          <w:p>
            <w:pPr>
              <w:pStyle w:val="TableContents"/>
              <w:bidi w:val="0"/>
              <w:spacing w:before="0" w:after="40"/>
              <w:jc w:val="left"/>
              <w:rPr/>
            </w:pPr>
            <w:r>
              <w:rPr>
                <w:rFonts w:ascii="Arial" w:hAnsi="Arial"/>
                <w:color w:val="000000"/>
                <w:sz w:val="18"/>
              </w:rPr>
              <w:t>Issued $500 million of unsecured debt and $1.3 billion of asset-backed securities</w:t>
            </w:r>
            <w:r>
              <w:rPr>
                <w:rFonts w:ascii="Arial" w:hAnsi="Arial"/>
                <w:color w:val="000000"/>
                <w:sz w:val="20"/>
              </w:rPr>
              <w:t>.</w:t>
            </w:r>
          </w:p>
        </w:tc>
      </w:tr>
      <w:tr>
        <w:trPr/>
        <w:tc>
          <w:tcPr>
            <w:tcW w:w="2416" w:type="dxa"/>
            <w:tcBorders/>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000000"/>
                <w:sz w:val="19"/>
              </w:rPr>
            </w:pPr>
            <w:r>
              <w:rPr>
                <w:rFonts w:ascii="Arial" w:hAnsi="Arial"/>
                <w:b/>
                <w:color w:val="000000"/>
                <w:sz w:val="19"/>
              </w:rPr>
              <w:t>OPERATING EXPENSES</w:t>
            </w:r>
          </w:p>
        </w:tc>
        <w:tc>
          <w:tcPr>
            <w:tcW w:w="7021" w:type="dxa"/>
            <w:tcBorders/>
            <w:tcMar>
              <w:top w:w="0" w:type="dxa"/>
              <w:left w:w="0" w:type="dxa"/>
              <w:bottom w:w="0" w:type="dxa"/>
              <w:right w:w="0" w:type="dxa"/>
            </w:tcMar>
            <w:vAlign w:val="center"/>
          </w:tcPr>
          <w:p>
            <w:pPr>
              <w:pStyle w:val="TableContents"/>
              <w:bidi w:val="0"/>
              <w:spacing w:before="0" w:after="40"/>
              <w:ind w:left="360" w:right="0" w:hanging="0"/>
              <w:jc w:val="left"/>
              <w:rPr>
                <w:color w:val="000000"/>
              </w:rPr>
            </w:pPr>
            <w:r>
              <w:rPr>
                <w:color w:val="000000"/>
              </w:rPr>
              <w:t>•</w:t>
            </w:r>
          </w:p>
          <w:p>
            <w:pPr>
              <w:pStyle w:val="TableContents"/>
              <w:bidi w:val="0"/>
              <w:spacing w:before="0" w:after="40"/>
              <w:jc w:val="left"/>
              <w:rPr>
                <w:rFonts w:ascii="Arial" w:hAnsi="Arial"/>
                <w:color w:val="000000"/>
                <w:sz w:val="18"/>
              </w:rPr>
            </w:pPr>
            <w:r>
              <w:rPr>
                <w:rFonts w:ascii="Arial" w:hAnsi="Arial"/>
                <w:color w:val="000000"/>
                <w:sz w:val="18"/>
              </w:rPr>
              <w:t>Incurred operating expenses of $82 million.</w:t>
            </w:r>
          </w:p>
        </w:tc>
      </w:tr>
    </w:tbl>
    <w:p>
      <w:pPr>
        <w:pStyle w:val="TextBody"/>
        <w:bidi w:val="0"/>
        <w:spacing w:before="120" w:after="283"/>
        <w:ind w:left="270" w:right="0" w:hanging="0"/>
        <w:jc w:val="left"/>
        <w:rPr/>
      </w:pPr>
      <w:r>
        <w:rPr/>
        <w:t> </w:t>
      </w:r>
    </w:p>
    <w:p>
      <w:pPr>
        <w:pStyle w:val="TextBody"/>
        <w:pBdr/>
        <w:bidi w:val="0"/>
        <w:spacing w:before="120" w:after="283"/>
        <w:ind w:left="0" w:right="0" w:hanging="245"/>
        <w:jc w:val="left"/>
        <w:rPr>
          <w:rFonts w:ascii="Times New Roman" w:hAnsi="Times New Roman"/>
          <w:sz w:val="20"/>
        </w:rPr>
      </w:pPr>
      <w:r>
        <w:rPr>
          <w:rFonts w:ascii="Arial" w:hAnsi="Arial"/>
          <w:color w:val="000000"/>
          <w:sz w:val="11"/>
        </w:rPr>
        <w:t xml:space="preserve">(1) </w:t>
      </w:r>
      <w:r>
        <w:rPr>
          <w:rFonts w:ascii="Arial" w:hAnsi="Arial"/>
          <w:color w:val="000000"/>
          <w:sz w:val="16"/>
        </w:rPr>
        <w:t>Item is a non-GAAP financial measure. For a description and reconciliation, see “Non-GAAP Financial Measures” on pages 17 – 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470A68" w:val="clear"/>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FFFFFF"/>
                <w:sz w:val="20"/>
              </w:rPr>
            </w:pPr>
            <w:r>
              <w:rPr>
                <w:rFonts w:ascii="Arial" w:hAnsi="Arial"/>
                <w:b/>
                <w:color w:val="FFFFFF"/>
                <w:sz w:val="20"/>
              </w:rPr>
              <w:t>SEGMENT RESULTS — CORE EARNINGS</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05" w:type="dxa"/>
            <w:tcBorders/>
            <w:shd w:fill="0A767A" w:val="clear"/>
            <w:tcMar>
              <w:top w:w="0" w:type="dxa"/>
              <w:left w:w="0" w:type="dxa"/>
              <w:bottom w:w="0" w:type="dxa"/>
              <w:right w:w="0" w:type="dxa"/>
            </w:tcMar>
            <w:vAlign w:val="center"/>
          </w:tcPr>
          <w:p>
            <w:pPr>
              <w:pStyle w:val="TableContents"/>
              <w:bidi w:val="0"/>
              <w:spacing w:before="60" w:after="60"/>
              <w:ind w:left="0" w:right="0" w:firstLine="115"/>
              <w:jc w:val="left"/>
              <w:rPr>
                <w:rFonts w:ascii="Times New Roman" w:hAnsi="Times New Roman"/>
                <w:sz w:val="20"/>
              </w:rPr>
            </w:pPr>
            <w:r>
              <w:rPr>
                <w:rFonts w:ascii="Arial" w:hAnsi="Arial"/>
                <w:b/>
                <w:color w:val="FFFFFF"/>
                <w:sz w:val="20"/>
              </w:rPr>
              <w:t>CONSUMER LENDING</w:t>
            </w:r>
            <w:r>
              <w:rPr>
                <w:rFonts w:ascii="Times New Roman" w:hAnsi="Times New Roman"/>
                <w:color w:val="FFFFFF"/>
                <w:sz w:val="20"/>
              </w:rPr>
              <w:t xml:space="preserve"> </w:t>
            </w:r>
          </w:p>
        </w:tc>
      </w:tr>
      <w:tr>
        <w:trPr/>
        <w:tc>
          <w:tcPr>
            <w:tcW w:w="10205" w:type="dxa"/>
            <w:tcBorders/>
            <w:shd w:fill="CDE4E5" w:val="clear"/>
            <w:tcMar>
              <w:top w:w="0" w:type="dxa"/>
              <w:left w:w="0" w:type="dxa"/>
              <w:bottom w:w="0" w:type="dxa"/>
              <w:right w:w="0" w:type="dxa"/>
            </w:tcMar>
            <w:vAlign w:val="center"/>
          </w:tcPr>
          <w:p>
            <w:pPr>
              <w:pStyle w:val="TableContents"/>
              <w:bidi w:val="0"/>
              <w:spacing w:before="60" w:after="60"/>
              <w:ind w:left="115" w:right="0" w:firstLine="115"/>
              <w:jc w:val="left"/>
              <w:rPr>
                <w:rFonts w:ascii="Times New Roman" w:hAnsi="Times New Roman"/>
                <w:sz w:val="18"/>
              </w:rPr>
            </w:pPr>
            <w:r>
              <w:rPr>
                <w:rFonts w:ascii="Arial" w:hAnsi="Arial"/>
                <w:color w:val="000000"/>
                <w:sz w:val="18"/>
              </w:rPr>
              <w:t>In this segment, Navient owns and manages a portfolio of Private Education Loans. Through our Earnest brand, we also refinance and originate Private Education Loans.</w:t>
            </w:r>
            <w:r>
              <w:rPr>
                <w:rFonts w:ascii="Times New Roman" w:hAnsi="Times New Roman"/>
                <w:color w:val="000000"/>
                <w:sz w:val="18"/>
              </w:rPr>
              <w:t xml:space="preserve"> </w:t>
            </w:r>
          </w:p>
        </w:tc>
      </w:tr>
    </w:tbl>
    <w:p>
      <w:pPr>
        <w:pStyle w:val="TextBody"/>
        <w:bidi w:val="0"/>
        <w:spacing w:before="200" w:after="283"/>
        <w:jc w:val="left"/>
        <w:rPr>
          <w:rFonts w:ascii="Times New Roman" w:hAnsi="Times New Roman"/>
          <w:sz w:val="20"/>
        </w:rPr>
      </w:pPr>
      <w:r>
        <w:rPr>
          <w:rFonts w:ascii="Arial" w:hAnsi="Arial"/>
          <w:b/>
          <w:color w:val="000000"/>
          <w:sz w:val="18"/>
        </w:rPr>
        <w:t>FINANCIAL RESULTS AND KEY PERFORMANCE METRICS</w:t>
      </w:r>
      <w:r>
        <w:rPr>
          <w:rFonts w:ascii="Times New Roman" w:hAnsi="Times New Roman"/>
          <w:color w:val="000000"/>
          <w:sz w:val="20"/>
        </w:rPr>
        <w:t xml:space="preserve"> </w:t>
      </w:r>
    </w:p>
    <w:p>
      <w:pPr>
        <w:pStyle w:val="TextBody"/>
        <w:bidi w:val="0"/>
        <w:jc w:val="left"/>
        <w:rPr/>
      </w:pPr>
      <w:r>
        <w:rPr/>
        <w:t> </w:t>
      </w:r>
    </w:p>
    <w:tbl>
      <w:tblPr>
        <w:tblW w:w="7748" w:type="dxa"/>
        <w:jc w:val="left"/>
        <w:tblInd w:w="0" w:type="dxa"/>
        <w:tblLayout w:type="fixed"/>
        <w:tblCellMar>
          <w:top w:w="28" w:type="dxa"/>
          <w:left w:w="28" w:type="dxa"/>
          <w:bottom w:w="28" w:type="dxa"/>
          <w:right w:w="28" w:type="dxa"/>
        </w:tblCellMar>
      </w:tblPr>
      <w:tblGrid>
        <w:gridCol w:w="4006"/>
        <w:gridCol w:w="146"/>
        <w:gridCol w:w="196"/>
        <w:gridCol w:w="601"/>
        <w:gridCol w:w="256"/>
        <w:gridCol w:w="146"/>
        <w:gridCol w:w="196"/>
        <w:gridCol w:w="601"/>
        <w:gridCol w:w="256"/>
        <w:gridCol w:w="146"/>
        <w:gridCol w:w="196"/>
        <w:gridCol w:w="601"/>
        <w:gridCol w:w="40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2Q26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1Q26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2Q25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Pre-tax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Private Education Loans (including Refinance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Private Education Loan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Provision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Net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Arial" w:hAnsi="Arial"/>
                <w:color w:val="000000"/>
                <w:sz w:val="16"/>
              </w:rPr>
              <w:t xml:space="preserve">Net charge-off rate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Arial" w:hAnsi="Arial"/>
                <w:color w:val="000000"/>
                <w:sz w:val="16"/>
              </w:rPr>
              <w:t xml:space="preserve">Greater than 30-days delinquency rate </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Arial" w:hAnsi="Arial"/>
                <w:color w:val="000000"/>
                <w:sz w:val="16"/>
              </w:rPr>
              <w:t xml:space="preserve">Greater than 90-days delinquency rate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000000"/>
              </w:rPr>
              <w:t>   </w:t>
            </w:r>
            <w:r>
              <w:rPr>
                <w:rFonts w:ascii="Arial" w:hAnsi="Arial"/>
                <w:color w:val="000000"/>
                <w:sz w:val="16"/>
              </w:rPr>
              <w:t xml:space="preserve">Forbearance rate </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Average Private 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15,992</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Ending Private Education Loans,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15,530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Private Education Refinance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Net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Greater than 90-day delinquency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Average Private Education Refinance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8,531</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Ending Private Education Refinance Loans,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8,469</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Arial" w:hAnsi="Arial"/>
                <w:color w:val="000000"/>
                <w:sz w:val="16"/>
              </w:rPr>
              <w:t>Private Education Refinance Loan originations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1037" w:right="0" w:hanging="0"/>
        <w:jc w:val="left"/>
        <w:rPr>
          <w:rFonts w:ascii="Times New Roman" w:hAnsi="Times New Roman"/>
          <w:sz w:val="20"/>
        </w:rPr>
      </w:pPr>
      <w:r>
        <w:rPr>
          <w:rFonts w:ascii="Arial" w:hAnsi="Arial"/>
          <w:color w:val="000000"/>
          <w:sz w:val="9"/>
        </w:rPr>
        <w:t>(1)</w:t>
      </w:r>
      <w:r>
        <w:rPr>
          <w:rFonts w:ascii="Times New Roman" w:hAnsi="Times New Roman"/>
          <w:color w:val="000000"/>
          <w:sz w:val="20"/>
        </w:rPr>
        <w:t xml:space="preserve"> </w:t>
      </w:r>
      <w:r>
        <w:rPr>
          <w:rFonts w:ascii="Arial" w:hAnsi="Arial"/>
          <w:color w:val="000000"/>
          <w:sz w:val="16"/>
        </w:rPr>
        <w:t>Second-quarter 2026 excludes $528 million of loans, and the corresponding delinquencies, forbearances and charge-offs, that were</w:t>
      </w:r>
    </w:p>
    <w:p>
      <w:pPr>
        <w:pStyle w:val="TextBody"/>
        <w:bidi w:val="0"/>
        <w:ind w:left="1037" w:right="0" w:hanging="0"/>
        <w:jc w:val="left"/>
        <w:rPr>
          <w:rFonts w:ascii="Arial" w:hAnsi="Arial"/>
          <w:color w:val="000000"/>
          <w:sz w:val="16"/>
        </w:rPr>
      </w:pPr>
      <w:r>
        <w:rPr>
          <w:rFonts w:ascii="Arial" w:hAnsi="Arial"/>
          <w:color w:val="000000"/>
          <w:sz w:val="16"/>
        </w:rPr>
        <w:t>classified as held for sale as of June 30,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DISCUSSION OF RESULTS — 2Q26 vs. 2Q25</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Originated $815 million of Private Education Loans, a 63% increase compared to $500 million.</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Refinance Loan originations were $735 million compared to $443 million.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In-school loan originations were $80 million compared to $57 million.</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18"/>
        </w:rPr>
      </w:pPr>
      <w:r>
        <w:rPr>
          <w:rFonts w:ascii="Arial" w:hAnsi="Arial"/>
          <w:color w:val="000000"/>
          <w:sz w:val="18"/>
        </w:rPr>
        <w:t xml:space="preserve">Net income was $27 million compared to $26 million.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18"/>
        </w:rPr>
      </w:pPr>
      <w:r>
        <w:rPr>
          <w:rFonts w:ascii="Arial" w:hAnsi="Arial"/>
          <w:color w:val="000000"/>
          <w:sz w:val="18"/>
        </w:rPr>
        <w:t>Net interest income decreased $2 million, primarily due to the changing product mix with Refinance Loans increasing as a percentage of the portfolio. The Refinance Loan portfolio earns a lower net interest margin compared to the non-refinance portfolio, due to lower expected credit losses, which reduces the overall net interest margin.</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18"/>
        </w:rPr>
      </w:pPr>
      <w:r>
        <w:rPr>
          <w:rFonts w:ascii="Arial" w:hAnsi="Arial"/>
          <w:color w:val="000000"/>
          <w:sz w:val="18"/>
        </w:rPr>
        <w:t xml:space="preserve">Provision for loan losses decreased $11 million. The provision for loan losses of $18 million in the current quarter included $14 million associated with loan originations and $23 million related to a general reserve build primarily as a result of portfolio performance trends. While credit performance improved on a sequential basis during the quarter, delinquency and default levels in the Private Education Loan portfolio remain elevated. This was partially offset by a $19 million decrease as a result of classifying $528 million of loans as held for sale as of June 30, 2026. When loans are classified as held for sale the corresponding allowance for loan losses is reversed and such loans are carried at the lower of fair value or cost basis. These loans are carried at their cost basis as of June 30, 2026. The provision for loan losses of $29 million in the year-ago quarter included $7 million associated with loan originations and $22 million related to a general reserve build primarily as a result of an increase in delinquency balances as well as a weakening in the forecasted macroeconomic metrics used to estimate expected losses.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Net charge-offs were $71 million, down $9 million compared to $80 million in the year-ago quarter.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Private Education Loan delinquencies greater than 90 days: $349 million, down $110 million from $459 million.</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Private Education Loan forbearances: $271 million, up $21 million from $250 million.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18"/>
        </w:rPr>
      </w:pPr>
      <w:r>
        <w:rPr>
          <w:rFonts w:ascii="Arial" w:hAnsi="Arial"/>
          <w:color w:val="000000"/>
          <w:sz w:val="18"/>
        </w:rPr>
        <w:t xml:space="preserve">Expenses increased $6 million primarily reflecting marketing and other expenses associated with the growth of our consumer lending businesses.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41" w:type="dxa"/>
        <w:jc w:val="left"/>
        <w:tblInd w:w="0" w:type="dxa"/>
        <w:tblLayout w:type="fixed"/>
        <w:tblCellMar>
          <w:top w:w="28" w:type="dxa"/>
          <w:left w:w="28" w:type="dxa"/>
          <w:bottom w:w="28" w:type="dxa"/>
          <w:right w:w="28" w:type="dxa"/>
        </w:tblCellMar>
      </w:tblPr>
      <w:tblGrid>
        <w:gridCol w:w="8341"/>
      </w:tblGrid>
      <w:tr>
        <w:trPr/>
        <w:tc>
          <w:tcPr>
            <w:tcW w:w="8341" w:type="dxa"/>
            <w:tcBorders/>
            <w:vAlign w:val="center"/>
          </w:tcPr>
          <w:p>
            <w:pPr>
              <w:pStyle w:val="TableContents"/>
              <w:bidi w:val="0"/>
              <w:spacing w:before="0" w:after="283"/>
              <w:jc w:val="left"/>
              <w:rPr>
                <w:sz w:val="4"/>
                <w:szCs w:val="4"/>
              </w:rPr>
            </w:pPr>
            <w:r>
              <w:rPr>
                <w:sz w:val="4"/>
                <w:szCs w:val="4"/>
              </w:rPr>
            </w:r>
          </w:p>
        </w:tc>
      </w:tr>
      <w:tr>
        <w:trPr/>
        <w:tc>
          <w:tcPr>
            <w:tcW w:w="8341" w:type="dxa"/>
            <w:tcBorders/>
            <w:shd w:fill="77226C" w:val="clear"/>
            <w:tcMar>
              <w:top w:w="0" w:type="dxa"/>
              <w:left w:w="0" w:type="dxa"/>
              <w:bottom w:w="0" w:type="dxa"/>
              <w:right w:w="0" w:type="dxa"/>
            </w:tcMar>
            <w:vAlign w:val="center"/>
          </w:tcPr>
          <w:p>
            <w:pPr>
              <w:pStyle w:val="TableContents"/>
              <w:bidi w:val="0"/>
              <w:spacing w:before="0" w:after="283"/>
              <w:ind w:left="120" w:right="0" w:hanging="0"/>
              <w:jc w:val="left"/>
              <w:rPr>
                <w:color w:val="FFFFFF"/>
              </w:rPr>
            </w:pPr>
            <w:r>
              <w:rPr>
                <w:color w:val="FFFFFF"/>
              </w:rPr>
              <w:t> </w:t>
            </w:r>
            <w:r>
              <w:rPr>
                <w:rFonts w:ascii="Arial" w:hAnsi="Arial"/>
                <w:b/>
                <w:color w:val="FFFFFF"/>
                <w:sz w:val="20"/>
              </w:rPr>
              <w:t>FEDERAL EDUCATION LOANS</w:t>
            </w:r>
          </w:p>
        </w:tc>
      </w:tr>
      <w:tr>
        <w:trPr/>
        <w:tc>
          <w:tcPr>
            <w:tcW w:w="8341" w:type="dxa"/>
            <w:tcBorders/>
            <w:shd w:fill="DDC9DA" w:val="clear"/>
            <w:tcMar>
              <w:top w:w="0" w:type="dxa"/>
              <w:left w:w="0" w:type="dxa"/>
              <w:bottom w:w="0" w:type="dxa"/>
              <w:right w:w="0" w:type="dxa"/>
            </w:tcMar>
            <w:vAlign w:val="center"/>
          </w:tcPr>
          <w:p>
            <w:pPr>
              <w:pStyle w:val="TableContents"/>
              <w:bidi w:val="0"/>
              <w:spacing w:before="0" w:after="283"/>
              <w:ind w:left="240" w:right="0" w:hanging="0"/>
              <w:jc w:val="left"/>
              <w:rPr>
                <w:rFonts w:ascii="Arial" w:hAnsi="Arial"/>
                <w:color w:val="000000"/>
                <w:sz w:val="18"/>
              </w:rPr>
            </w:pPr>
            <w:r>
              <w:rPr>
                <w:rFonts w:ascii="Arial" w:hAnsi="Arial"/>
                <w:color w:val="000000"/>
                <w:sz w:val="18"/>
              </w:rPr>
              <w:t>In this segment, Navient owns and manages a portfolio of FFELP federally guaranteed student loans.</w:t>
            </w:r>
          </w:p>
        </w:tc>
      </w:tr>
    </w:tbl>
    <w:p>
      <w:pPr>
        <w:pStyle w:val="TextBody"/>
        <w:bidi w:val="0"/>
        <w:jc w:val="left"/>
        <w:rPr/>
      </w:pPr>
      <w:r>
        <w:rPr/>
        <w:t> </w:t>
      </w:r>
    </w:p>
    <w:p>
      <w:pPr>
        <w:pStyle w:val="TextBody"/>
        <w:bidi w:val="0"/>
        <w:spacing w:before="240" w:after="240"/>
        <w:jc w:val="left"/>
        <w:rPr>
          <w:rFonts w:ascii="Times New Roman" w:hAnsi="Times New Roman"/>
          <w:sz w:val="20"/>
        </w:rPr>
      </w:pPr>
      <w:r>
        <w:rPr>
          <w:rFonts w:ascii="Arial" w:hAnsi="Arial"/>
          <w:b/>
          <w:color w:val="000000"/>
          <w:sz w:val="18"/>
        </w:rPr>
        <w:t>FINANCIAL RESULTS AND KEY PERFORMANCE METRICS</w:t>
      </w:r>
      <w:r>
        <w:rPr>
          <w:rFonts w:ascii="Times New Roman" w:hAnsi="Times New Roman"/>
          <w:color w:val="000000"/>
          <w:sz w:val="20"/>
        </w:rPr>
        <w:t xml:space="preserve"> </w:t>
      </w:r>
    </w:p>
    <w:tbl>
      <w:tblPr>
        <w:tblW w:w="7573" w:type="dxa"/>
        <w:jc w:val="left"/>
        <w:tblInd w:w="0" w:type="dxa"/>
        <w:tblLayout w:type="fixed"/>
        <w:tblCellMar>
          <w:top w:w="28" w:type="dxa"/>
          <w:left w:w="28" w:type="dxa"/>
          <w:bottom w:w="28" w:type="dxa"/>
          <w:right w:w="28" w:type="dxa"/>
        </w:tblCellMar>
      </w:tblPr>
      <w:tblGrid>
        <w:gridCol w:w="3616"/>
        <w:gridCol w:w="146"/>
        <w:gridCol w:w="211"/>
        <w:gridCol w:w="676"/>
        <w:gridCol w:w="271"/>
        <w:gridCol w:w="146"/>
        <w:gridCol w:w="211"/>
        <w:gridCol w:w="676"/>
        <w:gridCol w:w="271"/>
        <w:gridCol w:w="146"/>
        <w:gridCol w:w="211"/>
        <w:gridCol w:w="676"/>
        <w:gridCol w:w="31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2Q26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1Q26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2Q25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revenue</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1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7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7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16" w:type="dxa"/>
            <w:tcBorders>
              <w:bottom w:val="single" w:sz="4" w:space="0" w:color="000000"/>
            </w:tcBorders>
            <w:shd w:fill="CFF2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Pre-tax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271"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71"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316" w:type="dxa"/>
            <w:tcBorders>
              <w:bottom w:val="double" w:sz="6" w:space="0" w:color="000000"/>
            </w:tcBorders>
            <w:shd w:fill="CFF2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net interest margin</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FFELP Loan spread</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Provision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charge-offs</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charge-off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Greater than 30-days delinquency rate</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Greater than 90-days delinquency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Forbearance rate</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Average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2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Ending FFELP Loans, net</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26,575</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27,237</w:t>
            </w:r>
          </w:p>
        </w:tc>
        <w:tc>
          <w:tcPr>
            <w:tcW w:w="271"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2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29,618</w:t>
            </w:r>
          </w:p>
        </w:tc>
        <w:tc>
          <w:tcPr>
            <w:tcW w:w="316" w:type="dxa"/>
            <w:tcBorders/>
            <w:shd w:fill="CFF2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DISCUSSION OF RESULTS — 2Q26 vs. 2Q25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Net income was $26 million compared to $30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Net interest income decreased $7 million primarily due to the paydown of the loan portfolio. </w:t>
      </w:r>
    </w:p>
    <w:p>
      <w:pPr>
        <w:pStyle w:val="TextBody"/>
        <w:bidi w:val="0"/>
        <w:spacing w:before="60" w:after="283"/>
        <w:jc w:val="left"/>
        <w:rPr>
          <w:color w:val="000000"/>
        </w:rPr>
      </w:pPr>
      <w:r>
        <w:rPr>
          <w:color w:val="000000"/>
        </w:rPr>
        <w:t>•</w:t>
      </w:r>
    </w:p>
    <w:p>
      <w:pPr>
        <w:pStyle w:val="TextBody"/>
        <w:bidi w:val="0"/>
        <w:spacing w:before="60" w:after="283"/>
        <w:jc w:val="left"/>
        <w:rPr>
          <w:rFonts w:ascii="Arial" w:hAnsi="Arial"/>
          <w:color w:val="000000"/>
          <w:sz w:val="18"/>
        </w:rPr>
      </w:pPr>
      <w:r>
        <w:rPr>
          <w:rFonts w:ascii="Arial" w:hAnsi="Arial"/>
          <w:color w:val="000000"/>
          <w:sz w:val="18"/>
        </w:rPr>
        <w:t xml:space="preserve">Provision for loan losses remained unchanged at $8 million. The provision for loan losses of $8 million in the current period was primarily the result of increased charge-offs due to prior disaster forbearance volume, as well as the continued extension of the portfolio. The $8 million of provision for loan losses in the year-ago quarter was primarily the result of an increase in delinquency balances.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Net charge-offs were $10 million compared to $8 million.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Delinquencies greater than 90 days were $1.8 billion compared to $2.5 billion. </w:t>
      </w:r>
    </w:p>
    <w:p>
      <w:pPr>
        <w:pStyle w:val="TextBody"/>
        <w:bidi w:val="0"/>
        <w:spacing w:before="60" w:after="283"/>
        <w:ind w:left="1008"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Arial" w:hAnsi="Arial"/>
          <w:color w:val="000000"/>
          <w:sz w:val="18"/>
        </w:rPr>
      </w:pPr>
      <w:r>
        <w:rPr>
          <w:rFonts w:ascii="Arial" w:hAnsi="Arial"/>
          <w:color w:val="000000"/>
          <w:sz w:val="18"/>
        </w:rPr>
        <w:t xml:space="preserve">Forbearances were $3.3 billion compared to $3.7 billion.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Expenses were $2 million lower primarily as a result of the outsourcing of the loan servicing of our portfolio to a third party in 2024. This created a variable cost structure resulting in a reduction in expenses as the portfolio paid down.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right"/>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Definitions for capitalized terms in this release can be found in Navient’s Annual Report on Form 10-K for the year ended December 31, 2025 (filed with the SEC on February 26,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Navient will hold a live audio webcast today, August 6, 2026, at 5 p.m. ET, hosted by Edward Bramson, CEO and chair of the board, and Steve Hauber, CFO.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webcast will be available on Navient.com/investors. Supplemental financial information and presentation slides used during the call will be available no later than the start time. A replay of the webcast will be available shortly after the event’s conclusion.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18"/>
        </w:rPr>
        <w:t xml:space="preserve">This news release contains “forward-looking statements,” within the meaning of the federal securities law, about our business and prospectus and other information that is based on management’s current expectations as of the date of this release. </w:t>
      </w:r>
      <w:r>
        <w:rPr>
          <w:rFonts w:ascii="Arial" w:hAnsi="Arial"/>
          <w:color w:val="000000"/>
          <w:sz w:val="18"/>
        </w:rPr>
        <w:t>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release and involve many risks and uncertainties that could cause our actual results to differ materially from those expressed or implied in our forward-looking statements. For Navient, these factors include, among other things: general economic conditions, including the potential impact of artificial intelligence, inflation and interest rates on Navient and its clients and customers and on the creditworthiness of third parties; increased defaults on education loans held by us; 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 a reduction in our credit ratings; changes to applicable laws, rules, regulations and government policies, as well as changing regulatory and governmental oversight; changes in the general interest rate environment, including the availability of any relevant money-market index rate or the relationship between the relevant money-market index rate and the rate at which our assets are priced; the interest rate characteristics of our assets do not always match those of our funding arrangements; adverse market conditions or an inability to effectively manage our liquidity risk or access liquidity could negatively impact us; the cost and availability of funding in the capital markets; our ability to earn Floor Income and our ability to enter into hedges relative to that Floor Income are dependent on the future interest rate environment and therefore are variable; our use of derivatives exposes us to credit and market risk; our ability to continually and effectively align our cost structure with our business operations; a failure or breach of our operating systems, infrastructure or information technology systems; failure by any third party providing us material services or products or a breach or violation of law by one of these third parties; acquisitions, new products, strategic initiatives and investments or divestitures that we pursue; shareholder activism; reputational risk and social factors; and the other factors that are described in the “Risk Factors” section of Navient’s Annual Report on Form 10-K for the year ended December 31, 2025, and in our other reports filed with the Securities and Exchange Commission. 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 * *</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18"/>
        </w:rPr>
        <w:t>About Navient</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Navient.com.</w:t>
      </w:r>
    </w:p>
    <w:p>
      <w:pPr>
        <w:pStyle w:val="TextBody"/>
        <w:bidi w:val="0"/>
        <w:spacing w:before="360" w:after="283"/>
        <w:jc w:val="left"/>
        <w:rPr>
          <w:rFonts w:ascii="Times New Roman" w:hAnsi="Times New Roman"/>
          <w:sz w:val="20"/>
        </w:rPr>
      </w:pPr>
      <w:r>
        <w:rPr>
          <w:rFonts w:ascii="Arial" w:hAnsi="Arial"/>
          <w:b/>
          <w:color w:val="000000"/>
          <w:sz w:val="18"/>
        </w:rPr>
        <w:t>Contact:</w:t>
      </w:r>
      <w:r>
        <w:rPr>
          <w:rFonts w:ascii="Times New Roman" w:hAnsi="Times New Roman"/>
          <w:color w:val="000000"/>
          <w:sz w:val="20"/>
        </w:rPr>
        <w:t xml:space="preserve"> </w:t>
      </w:r>
    </w:p>
    <w:tbl>
      <w:tblPr>
        <w:tblW w:w="6662" w:type="dxa"/>
        <w:jc w:val="left"/>
        <w:tblInd w:w="0" w:type="dxa"/>
        <w:tblLayout w:type="fixed"/>
        <w:tblCellMar>
          <w:top w:w="28" w:type="dxa"/>
          <w:left w:w="28" w:type="dxa"/>
          <w:bottom w:w="28" w:type="dxa"/>
          <w:right w:w="28" w:type="dxa"/>
        </w:tblCellMar>
      </w:tblPr>
      <w:tblGrid>
        <w:gridCol w:w="1186"/>
        <w:gridCol w:w="5476"/>
      </w:tblGrid>
      <w:tr>
        <w:trPr/>
        <w:tc>
          <w:tcPr>
            <w:tcW w:w="1186"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6"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118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Arial" w:hAnsi="Arial"/>
                <w:color w:val="000000"/>
                <w:sz w:val="18"/>
              </w:rPr>
            </w:pPr>
            <w:r>
              <w:rPr>
                <w:rFonts w:ascii="Arial" w:hAnsi="Arial"/>
                <w:color w:val="000000"/>
                <w:sz w:val="18"/>
              </w:rPr>
              <w:t>Media:</w:t>
            </w:r>
          </w:p>
        </w:tc>
        <w:tc>
          <w:tcPr>
            <w:tcW w:w="547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Cate Fitzgerald, 703-831-6347, catherine.fitzgerald@navient.com</w:t>
            </w:r>
          </w:p>
        </w:tc>
      </w:tr>
      <w:tr>
        <w:trPr/>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tcBorders/>
            <w:tcMar>
              <w:top w:w="0" w:type="dxa"/>
              <w:left w:w="0" w:type="dxa"/>
              <w:bottom w:w="0" w:type="dxa"/>
              <w:right w:w="0" w:type="dxa"/>
            </w:tcMar>
            <w:vAlign w:val="center"/>
          </w:tcPr>
          <w:p>
            <w:pPr>
              <w:pStyle w:val="TableContents"/>
              <w:bidi w:val="0"/>
              <w:spacing w:before="0" w:after="283"/>
              <w:ind w:left="0" w:right="0" w:firstLine="288"/>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pBdr/>
              <w:bidi w:val="0"/>
              <w:spacing w:before="0" w:after="283"/>
              <w:ind w:left="0" w:right="0" w:firstLine="240"/>
              <w:jc w:val="left"/>
              <w:rPr>
                <w:rFonts w:ascii="Times New Roman" w:hAnsi="Times New Roman"/>
                <w:sz w:val="18"/>
              </w:rPr>
            </w:pPr>
            <w:r>
              <w:rPr>
                <w:rFonts w:ascii="Arial" w:hAnsi="Arial"/>
                <w:color w:val="000000"/>
                <w:sz w:val="18"/>
              </w:rPr>
              <w:t>Investors:</w:t>
            </w:r>
            <w:r>
              <w:rPr>
                <w:rFonts w:ascii="Times New Roman" w:hAnsi="Times New Roman"/>
                <w:color w:val="000000"/>
                <w:sz w:val="18"/>
              </w:rPr>
              <w:t xml:space="preserve"> </w:t>
            </w:r>
          </w:p>
        </w:tc>
        <w:tc>
          <w:tcPr>
            <w:tcW w:w="5476" w:type="dxa"/>
            <w:tcBorders/>
            <w:tcMar>
              <w:top w:w="0" w:type="dxa"/>
              <w:left w:w="0" w:type="dxa"/>
              <w:bottom w:w="0" w:type="dxa"/>
              <w:right w:w="0" w:type="dxa"/>
            </w:tcMar>
            <w:vAlign w:val="center"/>
          </w:tcPr>
          <w:p>
            <w:pPr>
              <w:pStyle w:val="TableContents"/>
              <w:pBdr/>
              <w:bidi w:val="0"/>
              <w:ind w:left="0" w:right="0" w:hanging="240"/>
              <w:jc w:val="left"/>
              <w:rPr>
                <w:rFonts w:ascii="Times New Roman" w:hAnsi="Times New Roman"/>
                <w:sz w:val="18"/>
              </w:rPr>
            </w:pPr>
            <w:r>
              <w:rPr>
                <w:rFonts w:ascii="Arial" w:hAnsi="Arial"/>
                <w:color w:val="000000"/>
                <w:sz w:val="18"/>
              </w:rPr>
              <w:t>Micah Andrews, 571-415-5413, micah.andrews@navient.com</w:t>
            </w:r>
            <w:r>
              <w:rPr>
                <w:rFonts w:ascii="Times New Roman" w:hAnsi="Times New Roman"/>
                <w:color w:val="000000"/>
                <w:sz w:val="18"/>
              </w:rPr>
              <w:t xml:space="preserve"> </w:t>
            </w:r>
          </w:p>
          <w:p>
            <w:pPr>
              <w:pStyle w:val="TableContents"/>
              <w:pBdr/>
              <w:bidi w:val="0"/>
              <w:spacing w:before="0" w:after="283"/>
              <w:ind w:left="0" w:right="0" w:hanging="240"/>
              <w:jc w:val="left"/>
              <w:rPr>
                <w:rFonts w:ascii="Arial" w:hAnsi="Arial"/>
                <w:color w:val="000000"/>
                <w:sz w:val="18"/>
              </w:rPr>
            </w:pPr>
            <w:r>
              <w:rPr>
                <w:rFonts w:ascii="Arial" w:hAnsi="Arial"/>
                <w:color w:val="000000"/>
                <w:sz w:val="18"/>
              </w:rPr>
              <w:t>Roger Yankoupe, 571-592-8569, roger.yankoupe@navient.com</w:t>
            </w:r>
          </w:p>
        </w:tc>
      </w:tr>
    </w:tbl>
    <w:p>
      <w:pPr>
        <w:pStyle w:val="TextBody"/>
        <w:bidi w:val="0"/>
        <w:spacing w:before="240" w:after="283"/>
        <w:jc w:val="center"/>
        <w:rPr>
          <w:rFonts w:ascii="Times New Roman" w:hAnsi="Times New Roman"/>
          <w:sz w:val="20"/>
        </w:rPr>
      </w:pPr>
      <w:r>
        <w:rPr>
          <w:rFonts w:ascii="Arial" w:hAnsi="Arial"/>
          <w:color w:val="000000"/>
          <w:sz w:val="20"/>
        </w:rPr>
        <w:t># # #</w:t>
      </w:r>
      <w:r>
        <w:rPr>
          <w:rFonts w:ascii="Times New Roman" w:hAnsi="Times New Roman"/>
          <w:color w:val="000000"/>
          <w:sz w:val="20"/>
        </w:rPr>
        <w:t xml:space="preserve"> </w:t>
      </w:r>
    </w:p>
    <w:p>
      <w:pPr>
        <w:pStyle w:val="TextBody"/>
        <w:bidi w:val="0"/>
        <w:jc w:val="center"/>
        <w:rPr/>
      </w:pPr>
      <w:r>
        <w:rPr/>
        <w:drawing>
          <wp:inline distT="0" distB="0" distL="0" distR="0">
            <wp:extent cx="1981200"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81200" cy="323850"/>
                    </a:xfrm>
                    <a:prstGeom prst="rect">
                      <a:avLst/>
                    </a:prstGeom>
                  </pic:spPr>
                </pic:pic>
              </a:graphicData>
            </a:graphic>
          </wp:inline>
        </w:drawing>
      </w:r>
    </w:p>
    <w:p>
      <w:pPr>
        <w:pStyle w:val="TextBody"/>
        <w:pBdr/>
        <w:bidi w:val="0"/>
        <w:spacing w:before="120" w:after="283"/>
        <w:ind w:left="0" w:right="0" w:hanging="367"/>
        <w:jc w:val="left"/>
        <w:rPr/>
      </w:pPr>
      <w:r>
        <w:rPr/>
        <w:t> </w:t>
      </w:r>
    </w:p>
    <w:p>
      <w:pPr>
        <w:pStyle w:val="TextBody"/>
        <w:bidi w:val="0"/>
        <w:jc w:val="right"/>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sz w:val="4"/>
                <w:szCs w:val="4"/>
              </w:rPr>
            </w:pPr>
            <w:r>
              <w:rPr>
                <w:sz w:val="4"/>
                <w:szCs w:val="4"/>
              </w:rPr>
            </w:r>
          </w:p>
        </w:tc>
      </w:tr>
      <w:tr>
        <w:trPr/>
        <w:tc>
          <w:tcPr>
            <w:tcW w:w="6301" w:type="dxa"/>
            <w:tcBorders/>
            <w:shd w:fill="470A68"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FFFFFF"/>
              </w:rPr>
            </w:pPr>
            <w:r>
              <w:rPr>
                <w:color w:val="FFFFFF"/>
              </w:rPr>
              <w:t> </w:t>
            </w:r>
            <w:r>
              <w:rPr>
                <w:rFonts w:ascii="Arial" w:hAnsi="Arial"/>
                <w:b/>
                <w:color w:val="FFFFFF"/>
                <w:sz w:val="20"/>
              </w:rPr>
              <w:t>SELECTED HISTORICAL FINANCIAL INFORMATION AND RATIOS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8"/>
        <w:gridCol w:w="146"/>
        <w:gridCol w:w="239"/>
        <w:gridCol w:w="734"/>
        <w:gridCol w:w="256"/>
        <w:gridCol w:w="146"/>
        <w:gridCol w:w="259"/>
        <w:gridCol w:w="797"/>
        <w:gridCol w:w="256"/>
        <w:gridCol w:w="146"/>
        <w:gridCol w:w="239"/>
        <w:gridCol w:w="734"/>
        <w:gridCol w:w="256"/>
        <w:gridCol w:w="146"/>
        <w:gridCol w:w="239"/>
        <w:gridCol w:w="734"/>
        <w:gridCol w:w="256"/>
        <w:gridCol w:w="146"/>
        <w:gridCol w:w="239"/>
        <w:gridCol w:w="734"/>
        <w:gridCol w:w="305"/>
      </w:tblGrid>
      <w:tr>
        <w:trPr/>
        <w:tc>
          <w:tcPr>
            <w:tcW w:w="3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6"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QUARTERS ENDED</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30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u w:val="single"/>
              </w:rPr>
            </w:pPr>
            <w:r>
              <w:rPr>
                <w:rFonts w:ascii="Arial" w:hAnsi="Arial"/>
                <w:b/>
                <w:color w:val="000000"/>
                <w:sz w:val="14"/>
                <w:u w:val="single"/>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Weighted average shares used to compute </w:t>
              <w:br/>
              <w:t>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Return 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7"/>
              </w:rPr>
              <w:t>Core Earnings Basis</w:t>
            </w:r>
            <w:r>
              <w:rPr>
                <w:rFonts w:ascii="Arial" w:hAnsi="Arial"/>
                <w:b/>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7"/>
              </w:rPr>
              <w:t>Net income</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7"/>
              </w:rPr>
              <w:t>Diluted earnings per common share</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Weighted average shares used to compute </w:t>
              <w:br/>
              <w:t>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Net interest margin, Consumer Lending </w:t>
              <w:br/>
              <w:t>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2.54</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interest margin, Federal Education Loans</w:t>
              <w:br/>
              <w:t>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Return on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Education Loan Portfolios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Ending Private Education Loans,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15,530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15,530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Ending FFELP Loans,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26,575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27,237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29,618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26,575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29,618</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Ending total education loans,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42,249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42,886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45,148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42,249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45,148</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Average Private Education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16,075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Average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27,045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27,898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30,327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27,469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30,619</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Average total education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43,030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43,856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46,319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43,440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46,694</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245"/>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Item is a non-GAAP financial measure. For a description and reconciliation, see “Non-GAAP Financial Measures” on pages 17 – 27.</w:t>
      </w:r>
      <w:r>
        <w:rPr>
          <w:rFonts w:ascii="Times New Roman" w:hAnsi="Times New Roman"/>
          <w:color w:val="000000"/>
          <w:sz w:val="20"/>
        </w:rPr>
        <w:t xml:space="preserve"> </w:t>
      </w:r>
    </w:p>
    <w:p>
      <w:pPr>
        <w:pStyle w:val="TextBody"/>
        <w:pBdr/>
        <w:bidi w:val="0"/>
        <w:ind w:left="122" w:right="0" w:hanging="245"/>
        <w:jc w:val="left"/>
        <w:rPr/>
      </w:pPr>
      <w:r>
        <w:rPr/>
        <w:t> </w:t>
      </w:r>
    </w:p>
    <w:p>
      <w:pPr>
        <w:pStyle w:val="TextBody"/>
        <w:pBdr/>
        <w:bidi w:val="0"/>
        <w:spacing w:before="60" w:after="283"/>
        <w:ind w:left="122" w:right="0" w:hanging="245"/>
        <w:jc w:val="left"/>
        <w:rPr/>
      </w:pPr>
      <w:r>
        <w:rPr/>
        <w:t> </w:t>
      </w:r>
    </w:p>
    <w:p>
      <w:pPr>
        <w:pStyle w:val="TextBody"/>
        <w:bidi w:val="0"/>
        <w:jc w:val="right"/>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470A68" w:val="clear"/>
            <w:tcMar>
              <w:top w:w="0" w:type="dxa"/>
              <w:left w:w="0" w:type="dxa"/>
              <w:bottom w:w="0" w:type="dxa"/>
              <w:right w:w="0" w:type="dxa"/>
            </w:tcMar>
            <w:vAlign w:val="center"/>
          </w:tcPr>
          <w:p>
            <w:pPr>
              <w:pStyle w:val="TableContents"/>
              <w:bidi w:val="0"/>
              <w:spacing w:before="0" w:after="283"/>
              <w:jc w:val="left"/>
              <w:rPr>
                <w:color w:val="FFFFFF"/>
              </w:rPr>
            </w:pPr>
            <w:r>
              <w:rPr>
                <w:color w:val="FFFFFF"/>
              </w:rPr>
              <w:t>  </w:t>
            </w:r>
            <w:r>
              <w:rPr>
                <w:rFonts w:ascii="Arial" w:hAnsi="Arial"/>
                <w:b/>
                <w:color w:val="FFFFFF"/>
                <w:sz w:val="18"/>
              </w:rPr>
              <w:t>RESULTS OF OPERATIONS</w:t>
            </w:r>
          </w:p>
        </w:tc>
      </w:tr>
    </w:tbl>
    <w:p>
      <w:pPr>
        <w:pStyle w:val="TextBody"/>
        <w:bidi w:val="0"/>
        <w:spacing w:before="240" w:after="283"/>
        <w:jc w:val="left"/>
        <w:rPr>
          <w:rFonts w:ascii="Times New Roman" w:hAnsi="Times New Roman"/>
          <w:sz w:val="20"/>
        </w:rPr>
      </w:pPr>
      <w:r>
        <w:rPr>
          <w:rFonts w:ascii="Arial" w:hAnsi="Arial"/>
          <w:color w:val="000000"/>
          <w:sz w:val="18"/>
        </w:rPr>
        <w:t>We present the results of operations below first in accordance with GAAP. Following our discussion of earnings results on a GAAP basis, we present our results on a segment basis. We have three reportable operating segments as of June 30, 2026: Consumer Lending, Federal Education Loans and Other. Prior to the divestiture of our healthcare business in third-quarter 2024 and our government services business in first-quarter 2025, we had a fourth reportable operating segment, Business Processing. Our segments operate in distinct business environments and we manage and evaluate the financial performance of our segments using non-GAAP financial measures we call Core Earnings (see “Non-GAAP Financial Measures — Core Earnings” for further discussion).</w:t>
      </w:r>
      <w:r>
        <w:rPr>
          <w:rFonts w:ascii="Times New Roman" w:hAnsi="Times New Roman"/>
          <w:color w:val="000000"/>
          <w:sz w:val="20"/>
        </w:rPr>
        <w:t xml:space="preserve">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470A68" w:val="clear"/>
            <w:tcMar>
              <w:top w:w="0" w:type="dxa"/>
              <w:left w:w="0" w:type="dxa"/>
              <w:bottom w:w="0" w:type="dxa"/>
              <w:right w:w="0" w:type="dxa"/>
            </w:tcMar>
            <w:vAlign w:val="center"/>
          </w:tcPr>
          <w:p>
            <w:pPr>
              <w:pStyle w:val="TableContents"/>
              <w:pBdr/>
              <w:bidi w:val="0"/>
              <w:spacing w:before="0" w:after="283"/>
              <w:ind w:left="0" w:right="0" w:hanging="240"/>
              <w:jc w:val="left"/>
              <w:rPr>
                <w:color w:val="FFFFFF"/>
              </w:rPr>
            </w:pPr>
            <w:r>
              <w:rPr>
                <w:color w:val="FFFFFF"/>
              </w:rPr>
              <w:t>  </w:t>
            </w:r>
            <w:r>
              <w:rPr>
                <w:rFonts w:ascii="Arial" w:hAnsi="Arial"/>
                <w:b/>
                <w:color w:val="FFFFFF"/>
                <w:sz w:val="18"/>
              </w:rPr>
              <w:t>GAAP INCOME STATEMENTS (UNAUDITED)</w:t>
            </w:r>
          </w:p>
        </w:tc>
      </w:tr>
    </w:tbl>
    <w:tbl>
      <w:tblPr>
        <w:tblW w:w="10205" w:type="dxa"/>
        <w:jc w:val="left"/>
        <w:tblInd w:w="0" w:type="dxa"/>
        <w:tblLayout w:type="fixed"/>
        <w:tblCellMar>
          <w:top w:w="28" w:type="dxa"/>
          <w:left w:w="28" w:type="dxa"/>
          <w:bottom w:w="28" w:type="dxa"/>
          <w:right w:w="28" w:type="dxa"/>
        </w:tblCellMar>
      </w:tblPr>
      <w:tblGrid>
        <w:gridCol w:w="2368"/>
        <w:gridCol w:w="146"/>
        <w:gridCol w:w="342"/>
        <w:gridCol w:w="659"/>
        <w:gridCol w:w="146"/>
        <w:gridCol w:w="146"/>
        <w:gridCol w:w="366"/>
        <w:gridCol w:w="703"/>
        <w:gridCol w:w="146"/>
        <w:gridCol w:w="146"/>
        <w:gridCol w:w="342"/>
        <w:gridCol w:w="659"/>
        <w:gridCol w:w="166"/>
        <w:gridCol w:w="146"/>
        <w:gridCol w:w="196"/>
        <w:gridCol w:w="346"/>
        <w:gridCol w:w="166"/>
        <w:gridCol w:w="146"/>
        <w:gridCol w:w="146"/>
        <w:gridCol w:w="436"/>
        <w:gridCol w:w="301"/>
        <w:gridCol w:w="146"/>
        <w:gridCol w:w="196"/>
        <w:gridCol w:w="346"/>
        <w:gridCol w:w="166"/>
        <w:gridCol w:w="146"/>
        <w:gridCol w:w="146"/>
        <w:gridCol w:w="436"/>
        <w:gridCol w:w="405"/>
      </w:tblGrid>
      <w:tr>
        <w:trPr/>
        <w:tc>
          <w:tcPr>
            <w:tcW w:w="2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June 30, 2026 </w:t>
              <w:br/>
              <w:t xml:space="preserve">   vs. </w:t>
              <w:br/>
              <w:t>   March 31, 2026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June 30, 2026 </w:t>
              <w:br/>
              <w:t xml:space="preserve">   vs. </w:t>
              <w:br/>
              <w:t>   June 30, 2025</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Increase</w:t>
              <w:br/>
              <w:t>(Decrease)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Increase</w:t>
              <w:br/>
              <w:t>(Decrease)</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Private 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FFELP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provisions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Net interest income after </w:t>
              <w:br/>
              <w:t>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Servicing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 xml:space="preserve">Gains (losses) on derivative </w:t>
              <w:br/>
              <w:t>    and hedging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Goodwill and acquired </w:t>
              <w:br/>
              <w:t xml:space="preserve">      intangible asset </w:t>
              <w:br/>
              <w:t xml:space="preserve">      impairment and </w:t>
              <w:br/>
              <w:t>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Restructuring/other </w:t>
              <w:br/>
              <w:t>      reorganization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xml:space="preserve">Basic earnings per </w:t>
              <w:br/>
              <w:t>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xml:space="preserve">Diluted earnings per </w:t>
              <w:br/>
              <w:t>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Dividends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2686"/>
        <w:gridCol w:w="146"/>
        <w:gridCol w:w="196"/>
        <w:gridCol w:w="511"/>
        <w:gridCol w:w="146"/>
        <w:gridCol w:w="146"/>
        <w:gridCol w:w="196"/>
        <w:gridCol w:w="511"/>
        <w:gridCol w:w="166"/>
        <w:gridCol w:w="146"/>
        <w:gridCol w:w="196"/>
        <w:gridCol w:w="436"/>
        <w:gridCol w:w="166"/>
        <w:gridCol w:w="146"/>
        <w:gridCol w:w="146"/>
        <w:gridCol w:w="511"/>
        <w:gridCol w:w="4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Increase</w:t>
              <w:br/>
              <w:t>(Decrease)</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Private 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FFELP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provisions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Net interest income after </w:t>
              <w:br/>
              <w:t>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Servicing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 xml:space="preserve">Asset recovery and business </w:t>
              <w:br/>
              <w:t>    processing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 xml:space="preserve">Gains (losses) on derivative and </w:t>
              <w:br/>
              <w:t>    hedging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Goodwill and acquired intangible </w:t>
              <w:br/>
              <w:t xml:space="preserve">      assets impairment and </w:t>
              <w:br/>
              <w:t>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 xml:space="preserve">Restructuring/other </w:t>
              <w:br/>
              <w:t>      reorganization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2,800</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xml:space="preserve">Basic earnings per </w:t>
              <w:br/>
              <w:t>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xml:space="preserve">Diluted earnings per </w:t>
              <w:br/>
              <w:t>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Dividends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right"/>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shd w:fill="FFFFFF" w:val="clear"/>
            <w:vAlign w:val="center"/>
          </w:tcPr>
          <w:p>
            <w:pPr>
              <w:pStyle w:val="TableContents"/>
              <w:bidi w:val="0"/>
              <w:spacing w:before="0" w:after="283"/>
              <w:jc w:val="left"/>
              <w:rPr>
                <w:sz w:val="4"/>
                <w:szCs w:val="4"/>
              </w:rPr>
            </w:pPr>
            <w:r>
              <w:rPr>
                <w:sz w:val="4"/>
                <w:szCs w:val="4"/>
              </w:rPr>
            </w:r>
          </w:p>
        </w:tc>
      </w:tr>
      <w:tr>
        <w:trPr/>
        <w:tc>
          <w:tcPr>
            <w:tcW w:w="3766" w:type="dxa"/>
            <w:tcBorders/>
            <w:shd w:fill="470A68" w:val="clear"/>
            <w:tcMar>
              <w:top w:w="0" w:type="dxa"/>
              <w:left w:w="0" w:type="dxa"/>
              <w:bottom w:w="0" w:type="dxa"/>
              <w:right w:w="0" w:type="dxa"/>
            </w:tcMar>
            <w:vAlign w:val="center"/>
          </w:tcPr>
          <w:p>
            <w:pPr>
              <w:pStyle w:val="TableContents"/>
              <w:bidi w:val="0"/>
              <w:spacing w:before="0" w:after="283"/>
              <w:jc w:val="left"/>
              <w:rPr>
                <w:color w:val="FFFFFF"/>
              </w:rPr>
            </w:pPr>
            <w:r>
              <w:rPr>
                <w:color w:val="FFFFFF"/>
              </w:rPr>
              <w:t>  </w:t>
            </w:r>
            <w:r>
              <w:rPr>
                <w:rFonts w:ascii="Arial" w:hAnsi="Arial"/>
                <w:b/>
                <w:color w:val="FFFFFF"/>
                <w:sz w:val="18"/>
              </w:rPr>
              <w:t>GAAP BALANCE SHEETS (UNAUDITED)</w:t>
            </w:r>
          </w:p>
        </w:tc>
      </w:tr>
    </w:tbl>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5461"/>
        <w:gridCol w:w="146"/>
        <w:gridCol w:w="287"/>
        <w:gridCol w:w="883"/>
        <w:gridCol w:w="166"/>
        <w:gridCol w:w="146"/>
        <w:gridCol w:w="310"/>
        <w:gridCol w:w="950"/>
        <w:gridCol w:w="166"/>
        <w:gridCol w:w="146"/>
        <w:gridCol w:w="287"/>
        <w:gridCol w:w="883"/>
        <w:gridCol w:w="2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Private Education Loans held for investment, at amortized cost (net of </w:t>
              <w:br/>
              <w:t>   allowance for loan losses of $263, $314 and $348,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Private Education Loans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FFELP Loans held for investment, at amortized cost (net of allowance for </w:t>
              <w:br/>
              <w:t>   loan losses of $163, $165 and $182,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Goodwill and acquired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50,222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Long-term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47,658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Series A Junior Participating Preferred Stock, par value $0.20 per share; </w:t>
              <w:br/>
              <w:t xml:space="preserve">   2 million shares authorized at December 31, 2021; no shares issued </w:t>
              <w:br/>
              <w:t>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Common stock, par value $0.01 per share; 1.125 billion shares </w:t>
              <w:br/>
              <w:t xml:space="preserve">   authorized: 468 million, 468 million and 467 million shares, </w:t>
              <w:br/>
              <w:t>   respectively,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Accumulated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stockholders’ equity before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Less: Common stock held in treasury at cost: 374 million, </w:t>
              <w:br/>
              <w:t>   374 million and 367 million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50,222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470A68" w:val="clear"/>
            <w:tcMar>
              <w:top w:w="0" w:type="dxa"/>
              <w:left w:w="0" w:type="dxa"/>
              <w:bottom w:w="0" w:type="dxa"/>
              <w:right w:w="0" w:type="dxa"/>
            </w:tcMar>
            <w:vAlign w:val="center"/>
          </w:tcPr>
          <w:p>
            <w:pPr>
              <w:pStyle w:val="TableContents"/>
              <w:bidi w:val="0"/>
              <w:spacing w:before="0" w:after="283"/>
              <w:jc w:val="left"/>
              <w:rPr/>
            </w:pPr>
            <w:r>
              <w:rPr>
                <w:color w:val="FFFFFF"/>
              </w:rPr>
              <w:t> </w:t>
            </w:r>
            <w:r>
              <w:rPr>
                <w:rFonts w:ascii="Arial" w:hAnsi="Arial"/>
                <w:b/>
                <w:color w:val="FFFFFF"/>
                <w:sz w:val="18"/>
              </w:rPr>
              <w:t>GAAP COMPARISON OF 2026 RESULTS WITH 2025</w:t>
            </w:r>
            <w:r>
              <w:rPr>
                <w:rFonts w:ascii="Times New Roman" w:hAnsi="Times New Roman"/>
                <w:color w:val="FFFFFF"/>
                <w:sz w:val="18"/>
              </w:rPr>
              <w:t xml:space="preserve"> </w:t>
            </w:r>
          </w:p>
        </w:tc>
      </w:tr>
    </w:tbl>
    <w:p>
      <w:pPr>
        <w:pStyle w:val="TextBody"/>
        <w:bidi w:val="0"/>
        <w:spacing w:before="240" w:after="283"/>
        <w:jc w:val="left"/>
        <w:rPr>
          <w:rFonts w:ascii="Times New Roman" w:hAnsi="Times New Roman"/>
          <w:sz w:val="20"/>
        </w:rPr>
      </w:pPr>
      <w:r>
        <w:rPr>
          <w:rFonts w:ascii="Arial" w:hAnsi="Arial"/>
          <w:b/>
          <w:color w:val="000000"/>
          <w:sz w:val="18"/>
        </w:rPr>
        <w:t>Three Months Ended June 30, 2026 Compared with Three Months Ended June 30,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For the three months ended June 30, 2026, net income was $25 million, or $0.26 diluted earnings per common share, compared with net income of $14 million, or $0.13 diluted earnings per common share, for the year-ago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8"/>
        </w:rPr>
        <w:t>The primary contributors to the change in net income are as follows:</w:t>
      </w:r>
      <w:r>
        <w:rPr>
          <w:rFonts w:ascii="Times New Roman" w:hAnsi="Times New Roman"/>
          <w:color w:val="000000"/>
          <w:sz w:val="20"/>
        </w:rPr>
        <w:t xml:space="preserve"> </w:t>
      </w:r>
    </w:p>
    <w:p>
      <w:pPr>
        <w:pStyle w:val="TextBody"/>
        <w:pBdr/>
        <w:bidi w:val="0"/>
        <w:spacing w:before="60" w:after="283"/>
        <w:ind w:left="432" w:right="0" w:hanging="245"/>
        <w:jc w:val="left"/>
        <w:rPr>
          <w:rFonts w:ascii="Times New Roman" w:hAnsi="Times New Roman"/>
          <w:sz w:val="20"/>
        </w:rPr>
      </w:pPr>
      <w:r>
        <w:rPr>
          <w:rFonts w:ascii="Arial" w:hAnsi="Arial"/>
          <w:color w:val="000000"/>
          <w:sz w:val="18"/>
        </w:rPr>
        <w:t> Net interest income decreased by $6 million primarily due to the paydown of the FFELP portfolio and the Private Education Loan portfolio's changing product mix with Refinance Loans increasing as a percentage of the portfolio. The Refinance Loan portfolio earns a lower net interest margin compared to the non-refinance portfolio, due to lower expected credit losses, which reduces the overall net interest margin.</w:t>
      </w:r>
      <w:r>
        <w:rPr>
          <w:rFonts w:ascii="Times New Roman" w:hAnsi="Times New Roman"/>
          <w:color w:val="000000"/>
          <w:sz w:val="20"/>
        </w:rPr>
        <w:t xml:space="preserve"> </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Provisions for loan losses decreased $11 million from $37 million to $26 million.</w:t>
      </w:r>
    </w:p>
    <w:p>
      <w:pPr>
        <w:pStyle w:val="TextBody"/>
        <w:pBdr/>
        <w:bidi w:val="0"/>
        <w:spacing w:before="60" w:after="283"/>
        <w:ind w:left="1008" w:right="0" w:hanging="360"/>
        <w:jc w:val="left"/>
        <w:rPr/>
      </w:pPr>
      <w:r>
        <w:rPr>
          <w:color w:val="000000"/>
        </w:rPr>
        <w:t xml:space="preserve">○ </w:t>
      </w:r>
      <w:r>
        <w:rPr>
          <w:rFonts w:ascii="Arial" w:hAnsi="Arial"/>
          <w:color w:val="000000"/>
          <w:sz w:val="18"/>
        </w:rPr>
        <w:t>The provision for Private Loan losses decreased $11 million from $29 million to $18 million.</w:t>
      </w:r>
      <w:r>
        <w:rPr>
          <w:rFonts w:ascii="Times New Roman" w:hAnsi="Times New Roman"/>
          <w:color w:val="000000"/>
          <w:sz w:val="20"/>
        </w:rPr>
        <w:t xml:space="preserve"> </w:t>
      </w:r>
    </w:p>
    <w:p>
      <w:pPr>
        <w:pStyle w:val="TextBody"/>
        <w:pBdr/>
        <w:bidi w:val="0"/>
        <w:spacing w:before="60" w:after="283"/>
        <w:ind w:left="1008" w:right="0" w:hanging="360"/>
        <w:jc w:val="left"/>
        <w:rPr/>
      </w:pPr>
      <w:r>
        <w:rPr>
          <w:color w:val="000000"/>
        </w:rPr>
        <w:t xml:space="preserve">○ </w:t>
      </w:r>
      <w:r>
        <w:rPr>
          <w:rFonts w:ascii="Arial" w:hAnsi="Arial"/>
          <w:color w:val="000000"/>
          <w:sz w:val="18"/>
        </w:rPr>
        <w:t>The provision for FFELP Loan losses remained unchanged at $8 million.</w:t>
      </w:r>
      <w:r>
        <w:rPr>
          <w:rFonts w:ascii="Times New Roman" w:hAnsi="Times New Roman"/>
          <w:color w:val="000000"/>
          <w:sz w:val="20"/>
        </w:rPr>
        <w:t xml:space="preserve"> </w:t>
      </w:r>
    </w:p>
    <w:p>
      <w:pPr>
        <w:pStyle w:val="TextBody"/>
        <w:bidi w:val="0"/>
        <w:spacing w:before="60" w:after="283"/>
        <w:ind w:left="677" w:right="0" w:hanging="0"/>
        <w:jc w:val="left"/>
        <w:rPr>
          <w:rFonts w:ascii="Times New Roman" w:hAnsi="Times New Roman"/>
          <w:sz w:val="20"/>
        </w:rPr>
      </w:pPr>
      <w:r>
        <w:rPr>
          <w:rFonts w:ascii="Arial" w:hAnsi="Arial"/>
          <w:color w:val="000000"/>
          <w:sz w:val="18"/>
        </w:rPr>
        <w:t>The provision for Private Loan losses of $18 million in the current period included $14 million associated with loan originations and $23 million related to a general reserve build primarily as a result of portfolio performance trends. While credit performance improved on a sequential basis during the quarter, delinquency and default levels in the Private Education Loan portfolio remain elevated. This was partially offset by a $19 million decrease as a result of classifying $528 million of loans as held for sale as of June 30, 2026. When loans are classified as held for sale the corresponding allowance for loan losses is reversed through provision for loan losses and such loans are carried at the lower of fair value or cost basis. These loans are carried at their cost basis as of June 30, 2026. The provision of $29 million in the year-ago quarter included $7 million associated with loan originations and $22 million related to a general reserve build primarily as a result of an increase in delinquency balances as well as a weakening in the forecasted macroeconomic metrics used to estimate expected losses.</w:t>
      </w:r>
      <w:r>
        <w:rPr>
          <w:rFonts w:ascii="Times New Roman" w:hAnsi="Times New Roman"/>
          <w:color w:val="000000"/>
          <w:sz w:val="20"/>
        </w:rPr>
        <w:t xml:space="preserve"> </w:t>
      </w:r>
    </w:p>
    <w:p>
      <w:pPr>
        <w:pStyle w:val="TextBody"/>
        <w:bidi w:val="0"/>
        <w:spacing w:before="120" w:after="283"/>
        <w:ind w:left="677" w:right="0" w:hanging="0"/>
        <w:jc w:val="left"/>
        <w:rPr>
          <w:rFonts w:ascii="Arial" w:hAnsi="Arial"/>
          <w:color w:val="000000"/>
          <w:sz w:val="18"/>
        </w:rPr>
      </w:pPr>
      <w:r>
        <w:rPr>
          <w:rFonts w:ascii="Arial" w:hAnsi="Arial"/>
          <w:color w:val="000000"/>
          <w:sz w:val="18"/>
        </w:rPr>
        <w:t>The provision for FFELP Loan losses of $8 million in the current period was primarily the result of increased charge-offs due to prior disaster forbearance volume, as well as the continued extension of the portfolio. The provision of $8 million in the year-ago quarter was primarily the result of an increase in delinquency balances.</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Other income decreased $2 million primarily related to a $13 million decrease in transition services revenue we had earned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 This $13 million decrease was partially offset by a $12 million gain on an investment in the current period.</w:t>
      </w:r>
    </w:p>
    <w:p>
      <w:pPr>
        <w:pStyle w:val="TextBody"/>
        <w:pBdr/>
        <w:bidi w:val="0"/>
        <w:spacing w:before="60" w:after="283"/>
        <w:ind w:left="432" w:right="0" w:hanging="245"/>
        <w:jc w:val="left"/>
        <w:rPr>
          <w:rFonts w:ascii="Times New Roman" w:hAnsi="Times New Roman"/>
          <w:sz w:val="20"/>
        </w:rPr>
      </w:pPr>
      <w:r>
        <w:rPr>
          <w:rFonts w:ascii="Arial" w:hAnsi="Arial"/>
          <w:color w:val="000000"/>
          <w:sz w:val="18"/>
        </w:rPr>
        <w:t> Net gains on derivative and hedging activities increased $6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r>
        <w:rPr>
          <w:rFonts w:ascii="Times New Roman" w:hAnsi="Times New Roman"/>
          <w:color w:val="000000"/>
          <w:sz w:val="20"/>
        </w:rPr>
        <w:t xml:space="preserve"> </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Operating expenses decreased $18 million, $13 million of which was due to a decline in expenses in connection with providing transition services related to our various strategic initiatives. As of October 2025 we had no further obligations to provide these transition services. There was a $5 million increase in marketing and other expenses associated with the growth of our consumer lending businesses. The remaining $10 million decrease primarily relates to cost saving initiatives implemented, which have reduced our operating costs mostly in connection with our shared service functions and corporate footprint.</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Restructuring and other reorganization expenses increased $3 million primarily due to an increase in severance-related costs incurred in connection with the various strategic initiatives that have been and continue to be implemented to simplify the company, continue to reduce our expense base and enhance our flexibility.</w:t>
      </w:r>
    </w:p>
    <w:p>
      <w:pPr>
        <w:pStyle w:val="TextBody"/>
        <w:pBdr/>
        <w:bidi w:val="0"/>
        <w:spacing w:before="60" w:after="283"/>
        <w:ind w:left="432" w:right="0" w:hanging="245"/>
        <w:jc w:val="left"/>
        <w:rPr/>
      </w:pPr>
      <w:r>
        <w:rPr/>
        <w:t> </w:t>
      </w:r>
    </w:p>
    <w:p>
      <w:pPr>
        <w:pStyle w:val="TextBody"/>
        <w:bidi w:val="0"/>
        <w:spacing w:before="60" w:after="60"/>
        <w:jc w:val="left"/>
        <w:rPr>
          <w:rFonts w:ascii="Times New Roman" w:hAnsi="Times New Roman"/>
          <w:sz w:val="20"/>
        </w:rPr>
      </w:pPr>
      <w:r>
        <w:rPr>
          <w:rFonts w:ascii="Arial" w:hAnsi="Arial"/>
          <w:color w:val="000000"/>
          <w:sz w:val="18"/>
        </w:rPr>
        <w:t>We repurchased 0.3 million and 1.9 million shares of our common stock during the second quarters of 2026 and 2025,</w:t>
        <w:br/>
        <w:t>respectively. As a result of repurchases, our average outstanding diluted shares decreased by 6 million common shares</w:t>
        <w:br/>
        <w:t>(or 6%) from the year-ago period.</w:t>
      </w:r>
      <w:r>
        <w:rPr>
          <w:rFonts w:ascii="Times New Roman" w:hAnsi="Times New Roman"/>
          <w:color w:val="000000"/>
          <w:sz w:val="20"/>
        </w:rPr>
        <w:t xml:space="preserve">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jc w:val="right"/>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18"/>
        </w:rPr>
        <w:t>Six Months Ended June 30, 2026 Compared with Six Months Ended June 30,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For the six months ended June 30, 2026, net income was $42 million, or $0.44 diluted earnings per common share, compared with net income of $11 million, or $0.11 diluted earnings per common share, for the year-ago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8"/>
        </w:rPr>
        <w:t>The primary contributors to the change in net income are as follows:</w:t>
      </w:r>
      <w:r>
        <w:rPr>
          <w:rFonts w:ascii="Times New Roman" w:hAnsi="Times New Roman"/>
          <w:color w:val="000000"/>
          <w:sz w:val="20"/>
        </w:rPr>
        <w:t xml:space="preserve"> </w:t>
      </w:r>
    </w:p>
    <w:p>
      <w:pPr>
        <w:pStyle w:val="TextBody"/>
        <w:pBdr/>
        <w:bidi w:val="0"/>
        <w:spacing w:before="60" w:after="283"/>
        <w:ind w:left="432" w:right="0" w:hanging="245"/>
        <w:jc w:val="left"/>
        <w:rPr>
          <w:rFonts w:ascii="Times New Roman" w:hAnsi="Times New Roman"/>
          <w:sz w:val="20"/>
        </w:rPr>
      </w:pPr>
      <w:r>
        <w:rPr>
          <w:rFonts w:ascii="Arial" w:hAnsi="Arial"/>
          <w:color w:val="000000"/>
          <w:sz w:val="18"/>
        </w:rPr>
        <w:t> Net interest income decreased by $5 million primarily due to the paydown of the FFELP portfolio and the Private Education Loan portfolio's changing product mix with Refinance Loans increasing as a percentage of the portfolio. The Refinance Loan portfolio earns a lower net interest margin compared to the non-refinance portfolio, due to lower expected credit losses, which reduces the overall net interest margin. This was partially offset by a $14 million increase in mark-to-market gains on fair value hedges recorded in interest expense.</w:t>
      </w:r>
      <w:r>
        <w:rPr>
          <w:rFonts w:ascii="Times New Roman" w:hAnsi="Times New Roman"/>
          <w:color w:val="000000"/>
          <w:sz w:val="20"/>
        </w:rPr>
        <w:t xml:space="preserve"> </w:t>
      </w:r>
    </w:p>
    <w:p>
      <w:pPr>
        <w:pStyle w:val="TextBody"/>
        <w:pBdr/>
        <w:bidi w:val="0"/>
        <w:spacing w:before="60" w:after="283"/>
        <w:ind w:left="432" w:right="0" w:hanging="245"/>
        <w:jc w:val="left"/>
        <w:rPr>
          <w:rFonts w:ascii="Times New Roman" w:hAnsi="Times New Roman"/>
          <w:sz w:val="20"/>
        </w:rPr>
      </w:pPr>
      <w:r>
        <w:rPr>
          <w:rFonts w:ascii="Arial" w:hAnsi="Arial"/>
          <w:color w:val="000000"/>
          <w:sz w:val="18"/>
        </w:rPr>
        <w:t> Provisions for loan losses decreased $13 million from $67 million to $54 million.</w:t>
      </w:r>
      <w:r>
        <w:rPr>
          <w:rFonts w:ascii="Times New Roman" w:hAnsi="Times New Roman"/>
          <w:color w:val="000000"/>
          <w:sz w:val="20"/>
        </w:rPr>
        <w:t xml:space="preserve"> </w:t>
      </w:r>
    </w:p>
    <w:p>
      <w:pPr>
        <w:pStyle w:val="TextBody"/>
        <w:pBdr/>
        <w:bidi w:val="0"/>
        <w:spacing w:before="60" w:after="283"/>
        <w:ind w:left="1008" w:right="0" w:hanging="360"/>
        <w:jc w:val="left"/>
        <w:rPr/>
      </w:pPr>
      <w:r>
        <w:rPr>
          <w:color w:val="000000"/>
        </w:rPr>
        <w:t xml:space="preserve">○ </w:t>
      </w:r>
      <w:r>
        <w:rPr>
          <w:rFonts w:ascii="Arial" w:hAnsi="Arial"/>
          <w:color w:val="000000"/>
          <w:sz w:val="18"/>
        </w:rPr>
        <w:t>The provision for Private Loan losses decreased $14 million from $51 million to $37 million.</w:t>
      </w:r>
      <w:r>
        <w:rPr>
          <w:rFonts w:ascii="Times New Roman" w:hAnsi="Times New Roman"/>
          <w:color w:val="000000"/>
          <w:sz w:val="20"/>
        </w:rPr>
        <w:t xml:space="preserve"> </w:t>
      </w:r>
    </w:p>
    <w:p>
      <w:pPr>
        <w:pStyle w:val="TextBody"/>
        <w:pBdr/>
        <w:bidi w:val="0"/>
        <w:spacing w:before="60" w:after="283"/>
        <w:ind w:left="1008" w:right="0" w:hanging="360"/>
        <w:jc w:val="left"/>
        <w:rPr/>
      </w:pPr>
      <w:r>
        <w:rPr>
          <w:color w:val="000000"/>
        </w:rPr>
        <w:t xml:space="preserve">○ </w:t>
      </w:r>
      <w:r>
        <w:rPr>
          <w:rFonts w:ascii="Arial" w:hAnsi="Arial"/>
          <w:color w:val="000000"/>
          <w:sz w:val="18"/>
        </w:rPr>
        <w:t>The provision for FFELP Loan losses increased $1 million from $16 million to $17 million.</w:t>
      </w:r>
      <w:r>
        <w:rPr>
          <w:rFonts w:ascii="Times New Roman" w:hAnsi="Times New Roman"/>
          <w:color w:val="000000"/>
          <w:sz w:val="20"/>
        </w:rPr>
        <w:t xml:space="preserve"> </w:t>
      </w:r>
    </w:p>
    <w:p>
      <w:pPr>
        <w:pStyle w:val="TextBody"/>
        <w:bidi w:val="0"/>
        <w:spacing w:before="60" w:after="283"/>
        <w:ind w:left="677" w:right="0" w:hanging="0"/>
        <w:jc w:val="left"/>
        <w:rPr>
          <w:rFonts w:ascii="Times New Roman" w:hAnsi="Times New Roman"/>
          <w:sz w:val="20"/>
        </w:rPr>
      </w:pPr>
      <w:r>
        <w:rPr>
          <w:rFonts w:ascii="Arial" w:hAnsi="Arial"/>
          <w:color w:val="000000"/>
          <w:sz w:val="18"/>
        </w:rPr>
        <w:t>The provision for Private Loan losses of $37 million in the current period included $26 million associated with loan originations and $30 million related to a general reserve build primarily as a result of portfolio performance trends. While credit performance improved on a sequential basis during the period, delinquency and default levels in the Private Education Loan portfolio remain elevated. This was partially offset by a $19 million decrease as a result of classifying $528 million of loans as held for sale as of June 30, 2026. When loans are classified as held for sale the corresponding allowance for loan losses is reversed through provision for loan losses and such loans are carried at the lower of fair value or cost basis. These loans are carried at their cost basis as of June 30, 2026. The provision of $51 million in the year-ago quarter included $14 million associated with loan originations and $37 million related to a general reserve build primarily as a result of an increase in delinquency balances as well as a weakening in the forecasted macroeconomic metrics used to estimate expected losses.</w:t>
      </w:r>
      <w:r>
        <w:rPr>
          <w:rFonts w:ascii="Times New Roman" w:hAnsi="Times New Roman"/>
          <w:color w:val="000000"/>
          <w:sz w:val="20"/>
        </w:rPr>
        <w:t xml:space="preserve"> </w:t>
      </w:r>
    </w:p>
    <w:p>
      <w:pPr>
        <w:pStyle w:val="TextBody"/>
        <w:bidi w:val="0"/>
        <w:spacing w:before="120" w:after="283"/>
        <w:ind w:left="677" w:right="0" w:hanging="0"/>
        <w:jc w:val="left"/>
        <w:rPr>
          <w:rFonts w:ascii="Arial" w:hAnsi="Arial"/>
          <w:color w:val="000000"/>
          <w:sz w:val="18"/>
        </w:rPr>
      </w:pPr>
      <w:r>
        <w:rPr>
          <w:rFonts w:ascii="Arial" w:hAnsi="Arial"/>
          <w:color w:val="000000"/>
          <w:sz w:val="18"/>
        </w:rPr>
        <w:t>The provision for FFELP Loan losses of $17 million in the current period was primarily the result of increased charge-offs due to prior disaster forbearance volume, as well as the continued extension of the portfolio. The provision of $16 million in the year-ago quarter was primarily the result of an increase in delinquency balances.</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Asset recovery and business processing revenue decreased $23 million as a result of the sale of our government services business in February 2025. With the sale of our government services business, Navient no longer provides business processing segment services.</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Other income decreased $11 million primarily related to a $24 million decrease in transition services revenue we had earned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 This $24 million decrease was partially offset by a $12 million gain on an investment in the current period.</w:t>
      </w:r>
    </w:p>
    <w:p>
      <w:pPr>
        <w:pStyle w:val="TextBody"/>
        <w:pBdr/>
        <w:bidi w:val="0"/>
        <w:spacing w:before="60" w:after="283"/>
        <w:ind w:left="432" w:right="0" w:hanging="245"/>
        <w:jc w:val="left"/>
        <w:rPr>
          <w:rFonts w:ascii="Times New Roman" w:hAnsi="Times New Roman"/>
          <w:sz w:val="20"/>
        </w:rPr>
      </w:pPr>
      <w:r>
        <w:rPr>
          <w:rFonts w:ascii="Arial" w:hAnsi="Arial"/>
          <w:color w:val="000000"/>
          <w:sz w:val="18"/>
        </w:rPr>
        <w:t> Net gains on derivative and hedging activities increased $36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r>
        <w:rPr>
          <w:rFonts w:ascii="Times New Roman" w:hAnsi="Times New Roman"/>
          <w:color w:val="000000"/>
          <w:sz w:val="20"/>
        </w:rPr>
        <w:t xml:space="preserve"> </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Operating expenses decreased $56 million, $23 million of which was due to a decline in business processing expenses as a result of the sale of our government services business in February 2025 ($20 million of the reduction is in the Business Processing segment and $3 million of the reduction is in the Other segment). In addition, there was a $23 million decline in expenses in connection with providing transition services related to our various strategic initiatives. As of October 2025, we had no further obligations to provide these transition services. There was an $11 million increase in marketing and other expenses associated with the growth of our consumer lending businesses. The remaining $21 million decrease primarily relates to cost saving initiatives implemented, which have reduced our operating costs mostly in connection with our shared service functions and corporate footprint.</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Restructuring and other reorganization expenses decreased $1 million primarily due to a decrease in severance-related costs incurred in connection with the various strategic initiatives that have been and continue to be implemented to simplify the company, continue to reduce our expense base and enhance our flexibility.</w:t>
      </w:r>
    </w:p>
    <w:p>
      <w:pPr>
        <w:pStyle w:val="TextBody"/>
        <w:pBdr/>
        <w:bidi w:val="0"/>
        <w:spacing w:before="60" w:after="283"/>
        <w:ind w:left="432" w:right="0" w:hanging="245"/>
        <w:jc w:val="left"/>
        <w:rPr>
          <w:rFonts w:ascii="Arial" w:hAnsi="Arial"/>
          <w:color w:val="000000"/>
          <w:sz w:val="18"/>
        </w:rPr>
      </w:pPr>
      <w:r>
        <w:rPr>
          <w:rFonts w:ascii="Arial" w:hAnsi="Arial"/>
          <w:color w:val="000000"/>
          <w:sz w:val="18"/>
        </w:rPr>
        <w:t> The effective income tax rates for the current year and year-ago periods were 41% and 9%, respectively. The movement in the effective income tax rate was primarily driven by state tax expense in connection with uncertain tax positions as well as changes in the valuation allowance attributed to disallowed interest expense carryovers.</w:t>
      </w:r>
    </w:p>
    <w:p>
      <w:pPr>
        <w:pStyle w:val="TextBody"/>
        <w:bidi w:val="0"/>
        <w:jc w:val="left"/>
        <w:rPr/>
      </w:pPr>
      <w:r>
        <w:rPr/>
        <w:t> </w:t>
      </w:r>
    </w:p>
    <w:p>
      <w:pPr>
        <w:pStyle w:val="TextBody"/>
        <w:bidi w:val="0"/>
        <w:spacing w:before="60" w:after="60"/>
        <w:jc w:val="left"/>
        <w:rPr>
          <w:rFonts w:ascii="Times New Roman" w:hAnsi="Times New Roman"/>
          <w:sz w:val="20"/>
        </w:rPr>
      </w:pPr>
      <w:r>
        <w:rPr>
          <w:rFonts w:ascii="Arial" w:hAnsi="Arial"/>
          <w:color w:val="000000"/>
          <w:sz w:val="18"/>
        </w:rPr>
        <w:t>We repurchased 2.6 million and 4.5 million shares of our common stock during the six months ended June 30, 2026 and June 30, 2025, respectively. As a result of repurchases, our average outstanding diluted shares decreased by 7 million common shares</w:t>
        <w:br/>
        <w:t>(or 7%) from the year-ago period.</w:t>
      </w:r>
      <w:r>
        <w:rPr>
          <w:rFonts w:ascii="Times New Roman" w:hAnsi="Times New Roman"/>
          <w:color w:val="000000"/>
          <w:sz w:val="20"/>
        </w:rPr>
        <w:t xml:space="preserve"> </w:t>
      </w:r>
    </w:p>
    <w:p>
      <w:pPr>
        <w:pStyle w:val="TextBody"/>
        <w:bidi w:val="0"/>
        <w:jc w:val="left"/>
        <w:rPr/>
      </w:pPr>
      <w:r>
        <w:rPr/>
        <w:t> </w:t>
      </w:r>
    </w:p>
    <w:p>
      <w:pPr>
        <w:pStyle w:val="TextBody"/>
        <w:bidi w:val="0"/>
        <w:spacing w:before="60" w:after="60"/>
        <w:jc w:val="left"/>
        <w:rPr/>
      </w:pPr>
      <w:r>
        <w:rPr/>
        <w:t> </w:t>
      </w:r>
    </w:p>
    <w:p>
      <w:pPr>
        <w:pStyle w:val="TextBody"/>
        <w:bidi w:val="0"/>
        <w:jc w:val="right"/>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470A68" w:val="clear"/>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FFFFFF"/>
                <w:sz w:val="20"/>
              </w:rPr>
            </w:pPr>
            <w:r>
              <w:rPr>
                <w:rFonts w:ascii="Arial" w:hAnsi="Arial"/>
                <w:b/>
                <w:color w:val="FFFFFF"/>
                <w:sz w:val="20"/>
              </w:rPr>
              <w:t>PRIVATE EDUCATION LOANS PORTFOLIO PERFORMANCE</w:t>
            </w:r>
          </w:p>
        </w:tc>
      </w:tr>
    </w:tbl>
    <w:p>
      <w:pPr>
        <w:pStyle w:val="TextBody"/>
        <w:bidi w:val="0"/>
        <w:spacing w:before="120" w:after="283"/>
        <w:jc w:val="left"/>
        <w:rPr>
          <w:rFonts w:ascii="Times New Roman" w:hAnsi="Times New Roman"/>
          <w:sz w:val="20"/>
        </w:rPr>
      </w:pPr>
      <w:r>
        <w:rPr>
          <w:rFonts w:ascii="Arial" w:hAnsi="Arial"/>
          <w:b/>
          <w:color w:val="000000"/>
          <w:sz w:val="18"/>
        </w:rPr>
        <w:t>Private Education Loan Delinquencies and Forbearance</w:t>
      </w:r>
      <w:r>
        <w:rPr>
          <w:rFonts w:ascii="Times New Roman" w:hAnsi="Times New Roman"/>
          <w:color w:val="000000"/>
          <w:sz w:val="20"/>
        </w:rPr>
        <w:t xml:space="preserve"> </w:t>
      </w:r>
    </w:p>
    <w:tbl>
      <w:tblPr>
        <w:tblW w:w="9350" w:type="dxa"/>
        <w:jc w:val="left"/>
        <w:tblInd w:w="0" w:type="dxa"/>
        <w:tblLayout w:type="fixed"/>
        <w:tblCellMar>
          <w:top w:w="28" w:type="dxa"/>
          <w:left w:w="28" w:type="dxa"/>
          <w:bottom w:w="28" w:type="dxa"/>
          <w:right w:w="28" w:type="dxa"/>
        </w:tblCellMar>
      </w:tblPr>
      <w:tblGrid>
        <w:gridCol w:w="2971"/>
        <w:gridCol w:w="146"/>
        <w:gridCol w:w="196"/>
        <w:gridCol w:w="601"/>
        <w:gridCol w:w="166"/>
        <w:gridCol w:w="146"/>
        <w:gridCol w:w="146"/>
        <w:gridCol w:w="421"/>
        <w:gridCol w:w="256"/>
        <w:gridCol w:w="146"/>
        <w:gridCol w:w="196"/>
        <w:gridCol w:w="601"/>
        <w:gridCol w:w="166"/>
        <w:gridCol w:w="146"/>
        <w:gridCol w:w="146"/>
        <w:gridCol w:w="421"/>
        <w:gridCol w:w="256"/>
        <w:gridCol w:w="146"/>
        <w:gridCol w:w="196"/>
        <w:gridCol w:w="601"/>
        <w:gridCol w:w="166"/>
        <w:gridCol w:w="146"/>
        <w:gridCol w:w="146"/>
        <w:gridCol w:w="421"/>
        <w:gridCol w:w="40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Loans in-school/grace/deferment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Loans in forbearance</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Loans in repayment and percentage </w:t>
              <w:br/>
              <w:t>   of each status: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Loans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93.6</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Loans delinquent 31-60 days</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Loans delinquent 61-90 days</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 xml:space="preserve">Loans delinquent greater than </w:t>
              <w:br/>
              <w:t>    90 days</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Total Private Education Loans in </w:t>
              <w:br/>
              <w:t>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Total Private Education Loans, gross </w:t>
            </w:r>
            <w:r>
              <w:rPr>
                <w:rFonts w:ascii="Arial" w:hAnsi="Arial"/>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Private Education Loan allowance for </w:t>
              <w:br/>
              <w:t>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Private Education Loans,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Percentage of Private Education </w:t>
              <w:br/>
              <w:t>  Loans in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Delinquencies as a percentage of </w:t>
              <w:br/>
              <w:t xml:space="preserve">   Private Education Loans in </w:t>
              <w:br/>
              <w:t>   repayment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Loans in forbearance as a percentage </w:t>
              <w:br/>
              <w:t xml:space="preserve">  of loans in repayment and </w:t>
              <w:br/>
              <w:t>   forbearance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Percentage of Private Education </w:t>
              <w:br/>
              <w:t>   Loans with a cosigner</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pBdr/>
        <w:bidi w:val="0"/>
        <w:ind w:left="0" w:right="0" w:hanging="245"/>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Loans for customers who are attending school or are in other permitted educational activities and are not yet required to make payments on their</w:t>
        <w:br/>
        <w:t>loans, e.g., loans for customers who have requested and qualify for other permitted program deferments such as various military eligible deferments.</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Loans for customers who have requested extension of grace period generally during employment transition or who have temporarily ceased making</w:t>
        <w:br/>
        <w:t>full payments due to hardship or other factors such as disaster relief consistent with established loan program servicing policies and procedures.</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(3)</w:t>
      </w:r>
      <w:r>
        <w:rPr>
          <w:rFonts w:ascii="Times New Roman" w:hAnsi="Times New Roman"/>
          <w:color w:val="000000"/>
          <w:sz w:val="20"/>
        </w:rPr>
        <w:t xml:space="preserve"> </w:t>
      </w:r>
      <w:r>
        <w:rPr>
          <w:rFonts w:ascii="Arial" w:hAnsi="Arial"/>
          <w:color w:val="000000"/>
          <w:sz w:val="16"/>
        </w:rPr>
        <w:t>The period of delinquency is based on the number of days scheduled payments are contractually past due.</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(4)</w:t>
      </w:r>
      <w:r>
        <w:rPr>
          <w:rFonts w:ascii="Times New Roman" w:hAnsi="Times New Roman"/>
          <w:color w:val="000000"/>
          <w:sz w:val="20"/>
        </w:rPr>
        <w:t xml:space="preserve"> </w:t>
      </w:r>
      <w:r>
        <w:rPr>
          <w:rFonts w:ascii="Arial" w:hAnsi="Arial"/>
          <w:color w:val="000000"/>
          <w:sz w:val="16"/>
        </w:rPr>
        <w:t>Excluding Private Education Refinance Loans, the cosigner rate was 66%, 67% and 66% for second-quarter 2026, first-quarter 2026 and second-quarter 2025, respectively.</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(5)</w:t>
      </w:r>
      <w:r>
        <w:rPr>
          <w:rFonts w:ascii="Times New Roman" w:hAnsi="Times New Roman"/>
          <w:color w:val="000000"/>
          <w:sz w:val="20"/>
        </w:rPr>
        <w:t xml:space="preserve"> </w:t>
      </w:r>
      <w:r>
        <w:rPr>
          <w:rFonts w:ascii="Arial" w:hAnsi="Arial"/>
          <w:color w:val="000000"/>
          <w:sz w:val="16"/>
        </w:rPr>
        <w:t>June 30, 2026 excludes $528 million of loans classified as held for sale as of June 30, 2026.</w:t>
      </w:r>
    </w:p>
    <w:p>
      <w:pPr>
        <w:pStyle w:val="TextBody"/>
        <w:bidi w:val="0"/>
        <w:jc w:val="right"/>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470A68" w:val="clear"/>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FFFFFF"/>
                <w:sz w:val="20"/>
              </w:rPr>
            </w:pPr>
            <w:r>
              <w:rPr>
                <w:rFonts w:ascii="Arial" w:hAnsi="Arial"/>
                <w:b/>
                <w:color w:val="FFFFFF"/>
                <w:sz w:val="20"/>
              </w:rPr>
              <w:t>ALLOWANCE FOR LOAN LOSSES – EDUCATION LOANS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2"/>
        <w:gridCol w:w="146"/>
        <w:gridCol w:w="398"/>
        <w:gridCol w:w="1223"/>
        <w:gridCol w:w="241"/>
        <w:gridCol w:w="146"/>
        <w:gridCol w:w="196"/>
        <w:gridCol w:w="601"/>
        <w:gridCol w:w="241"/>
        <w:gridCol w:w="146"/>
        <w:gridCol w:w="348"/>
        <w:gridCol w:w="669"/>
        <w:gridCol w:w="198"/>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Private Education 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FFELP </w:t>
              <w:br/>
              <w:t>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Gross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Expected future recoveries on current period gross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w:t>
            </w:r>
            <w:r>
              <w:rPr>
                <w:rFonts w:ascii="Arial" w:hAnsi="Arial"/>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Decrease in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end of period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Plus: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Allowance at end of period excluding expected future recoveries on previously fully </w:t>
              <w:br/>
              <w:t>   charged-off loans (Non-GAAP Financial Measure)</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Net charge-offs as a percentage of average loans in repayment (annualized) </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coverage of charge-offs (annualized)</w:t>
            </w:r>
            <w:r>
              <w:rPr>
                <w:rFonts w:ascii="Arial" w:hAnsi="Arial"/>
                <w:color w:val="000000"/>
                <w:sz w:val="10"/>
              </w:rPr>
              <w:t>(3)</w:t>
            </w:r>
            <w:r>
              <w:rPr>
                <w:rFonts w:ascii="Times New Roman" w:hAnsi="Times New Roman"/>
                <w:color w:val="000000"/>
                <w:sz w:val="15"/>
              </w:rPr>
              <w:t xml:space="preserve"> </w:t>
            </w:r>
            <w:r>
              <w:rPr>
                <w:rFonts w:ascii="Arial" w:hAnsi="Arial"/>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total loan balance</w:t>
            </w:r>
            <w:r>
              <w:rPr>
                <w:rFonts w:ascii="Arial" w:hAnsi="Arial"/>
                <w:color w:val="000000"/>
                <w:sz w:val="10"/>
              </w:rPr>
              <w:t>(3)</w:t>
            </w:r>
            <w:r>
              <w:rPr>
                <w:rFonts w:ascii="Times New Roman" w:hAnsi="Times New Roman"/>
                <w:color w:val="000000"/>
                <w:sz w:val="15"/>
              </w:rPr>
              <w:t xml:space="preserve"> </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loans in repayment</w:t>
            </w:r>
            <w:r>
              <w:rPr>
                <w:rFonts w:ascii="Arial" w:hAnsi="Arial"/>
                <w:color w:val="000000"/>
                <w:sz w:val="10"/>
              </w:rPr>
              <w:t>(3)</w:t>
            </w:r>
            <w:r>
              <w:rPr>
                <w:rFonts w:ascii="Times New Roman" w:hAnsi="Times New Roman"/>
                <w:color w:val="000000"/>
                <w:sz w:val="15"/>
              </w:rPr>
              <w:t xml:space="preserve"> </w:t>
            </w:r>
            <w:r>
              <w:rPr>
                <w:rFonts w:ascii="Arial" w:hAnsi="Arial"/>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Ending total loans</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15,409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26,738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Average loans in repayment</w:t>
            </w:r>
            <w:r>
              <w:rPr>
                <w:rFonts w:ascii="Arial" w:hAnsi="Arial"/>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22,478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Ending loans in repayment</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14,781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22,324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2"/>
        <w:gridCol w:w="146"/>
        <w:gridCol w:w="398"/>
        <w:gridCol w:w="1223"/>
        <w:gridCol w:w="241"/>
        <w:gridCol w:w="146"/>
        <w:gridCol w:w="196"/>
        <w:gridCol w:w="601"/>
        <w:gridCol w:w="241"/>
        <w:gridCol w:w="146"/>
        <w:gridCol w:w="323"/>
        <w:gridCol w:w="694"/>
        <w:gridCol w:w="198"/>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March 31,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Private Education 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FFELP </w:t>
              <w:br/>
              <w:t>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Gross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Expected future recoveries on current period gross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w:t>
            </w:r>
            <w:r>
              <w:rPr>
                <w:rFonts w:ascii="Arial" w:hAnsi="Arial"/>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Decrease in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end of period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Plus: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Allowance at end of period excluding expected future recoveries on previously fully </w:t>
              <w:br/>
              <w:t>   charged-off loans (Non-GAAP Financial Measure)</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480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645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charge-offs as a percentage of average loans in repayment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coverage of charge-offs (annualized)</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total loan balance</w:t>
            </w:r>
            <w:r>
              <w:rPr>
                <w:rFonts w:ascii="Arial" w:hAnsi="Arial"/>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loans in repayment</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15,963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27,402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Average loans in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15,326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23,226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loans in repayment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15,335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22,786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2"/>
        <w:gridCol w:w="146"/>
        <w:gridCol w:w="398"/>
        <w:gridCol w:w="1223"/>
        <w:gridCol w:w="241"/>
        <w:gridCol w:w="146"/>
        <w:gridCol w:w="196"/>
        <w:gridCol w:w="601"/>
        <w:gridCol w:w="241"/>
        <w:gridCol w:w="146"/>
        <w:gridCol w:w="323"/>
        <w:gridCol w:w="694"/>
        <w:gridCol w:w="198"/>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Private Education 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FFELP </w:t>
              <w:br/>
              <w:t>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Gross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Expected future recoveries on current period gross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w:t>
            </w:r>
            <w:r>
              <w:rPr>
                <w:rFonts w:ascii="Arial" w:hAnsi="Arial"/>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Decrease in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end of period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Plus: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Allowance at end of period excluding expected future recoveries on previously fully </w:t>
              <w:br/>
              <w:t>   charged-off loans (Non-GAAP Financial Measure)</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charge-offs as a percentage of average loans in repayment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coverage of charge-offs (annualized)</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total loan balance</w:t>
            </w:r>
            <w:r>
              <w:rPr>
                <w:rFonts w:ascii="Arial" w:hAnsi="Arial"/>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loans in repayment</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15,878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29,800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Average loans in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15,375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loans in repayment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15,267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24,867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3"/>
        <w:gridCol w:w="146"/>
        <w:gridCol w:w="398"/>
        <w:gridCol w:w="1222"/>
        <w:gridCol w:w="241"/>
        <w:gridCol w:w="146"/>
        <w:gridCol w:w="196"/>
        <w:gridCol w:w="601"/>
        <w:gridCol w:w="241"/>
        <w:gridCol w:w="146"/>
        <w:gridCol w:w="323"/>
        <w:gridCol w:w="694"/>
        <w:gridCol w:w="198"/>
      </w:tblGrid>
      <w:tr>
        <w:trPr/>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8"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Private Education 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FFELP </w:t>
              <w:br/>
              <w:t>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Gross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Expected future recoveries on current period gross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w:t>
            </w:r>
            <w:r>
              <w:rPr>
                <w:rFonts w:ascii="Arial" w:hAnsi="Arial"/>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Decrease in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end of period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Plus: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Allowance at end of period excluding expected future recoveries on previously fully </w:t>
              <w:br/>
              <w:t>   charged-off loans (Non-GAAP Financial Measure)</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 as a percentage of average loans in repayment (annualized)</w:t>
            </w:r>
            <w:r>
              <w:rPr>
                <w:rFonts w:ascii="Times New Roman" w:hAnsi="Times New Roman"/>
                <w:color w:val="000000"/>
                <w:sz w:val="15"/>
              </w:rPr>
              <w:t> </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coverage of charge-offs (annualized)</w:t>
            </w:r>
            <w:r>
              <w:rPr>
                <w:rFonts w:ascii="Arial" w:hAnsi="Arial"/>
                <w:color w:val="000000"/>
                <w:sz w:val="10"/>
              </w:rPr>
              <w:t>(3)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total loan balance</w:t>
            </w:r>
            <w:r>
              <w:rPr>
                <w:rFonts w:ascii="Arial" w:hAnsi="Arial"/>
                <w:color w:val="000000"/>
                <w:sz w:val="10"/>
              </w:rPr>
              <w:t>(3)</w:t>
            </w:r>
            <w:r>
              <w:rPr>
                <w:rFonts w:ascii="Times New Roman" w:hAnsi="Times New Roman"/>
                <w:color w:val="000000"/>
                <w:sz w:val="15"/>
              </w:rPr>
              <w:t xml:space="preserve"> </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loans in repayment</w:t>
            </w:r>
            <w:r>
              <w:rPr>
                <w:rFonts w:ascii="Arial" w:hAnsi="Arial"/>
                <w:color w:val="000000"/>
                <w:sz w:val="10"/>
              </w:rPr>
              <w:t>(3)</w:t>
            </w:r>
            <w:r>
              <w:rPr>
                <w:rFonts w:ascii="Times New Roman" w:hAnsi="Times New Roman"/>
                <w:color w:val="000000"/>
                <w:sz w:val="15"/>
              </w:rPr>
              <w:t xml:space="preserve"> </w:t>
            </w:r>
            <w:r>
              <w:rPr>
                <w:rFonts w:ascii="Arial" w:hAnsi="Arial"/>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Ending total loans</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15,409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26,738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Average loans in repayment</w:t>
            </w:r>
            <w:r>
              <w:rPr>
                <w:rFonts w:ascii="Arial" w:hAnsi="Arial"/>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14,792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22,850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Ending loans in repayment</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14,781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22,324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2"/>
        <w:gridCol w:w="146"/>
        <w:gridCol w:w="398"/>
        <w:gridCol w:w="1223"/>
        <w:gridCol w:w="241"/>
        <w:gridCol w:w="146"/>
        <w:gridCol w:w="196"/>
        <w:gridCol w:w="601"/>
        <w:gridCol w:w="241"/>
        <w:gridCol w:w="146"/>
        <w:gridCol w:w="323"/>
        <w:gridCol w:w="694"/>
        <w:gridCol w:w="198"/>
      </w:tblGrid>
      <w:tr>
        <w:trPr/>
        <w:tc>
          <w:tcPr>
            <w:tcW w:w="5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Private Education 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FFELP </w:t>
              <w:br/>
              <w:t>Loans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Total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Gross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Expected future recoveries on current period gross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Net charge-offs</w:t>
            </w:r>
            <w:r>
              <w:rPr>
                <w:rFonts w:ascii="Arial" w:hAnsi="Arial"/>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Decrease in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Allowance at end of period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Plus: expected future recoveries on previously fully charged-off loans</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 xml:space="preserve">Allowance at end of period excluding expected future recoveries on previously fully </w:t>
              <w:br/>
              <w:t>   charged-off loans (Non-GAAP Financial Measure)</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charge-offs as a percentage of average loans in repayment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coverage of charge-offs</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total loan balance</w:t>
            </w:r>
            <w:r>
              <w:rPr>
                <w:rFonts w:ascii="Arial" w:hAnsi="Arial"/>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color w:val="000000"/>
                <w:sz w:val="15"/>
              </w:rPr>
              <w:t>Allowance as a percentage of the ending loans in repayment</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5"/>
              </w:rPr>
              <w:t>(Non-GAAP)</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15,878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29,800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Average loans in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15,423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25,295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Ending loans in repayment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15,267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24,867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ind w:left="0" w:right="0" w:hanging="245"/>
        <w:jc w:val="left"/>
        <w:rPr>
          <w:rFonts w:ascii="Times New Roman" w:hAnsi="Times New Roman"/>
          <w:sz w:val="20"/>
        </w:rPr>
      </w:pPr>
      <w:r>
        <w:rPr>
          <w:rFonts w:ascii="Arial" w:hAnsi="Arial"/>
          <w:color w:val="000000"/>
          <w:sz w:val="9"/>
        </w:rPr>
        <w:t>(1)</w:t>
      </w:r>
      <w:r>
        <w:rPr>
          <w:rFonts w:ascii="Times New Roman" w:hAnsi="Times New Roman"/>
          <w:color w:val="000000"/>
          <w:sz w:val="20"/>
        </w:rPr>
        <w:t xml:space="preserve"> </w:t>
      </w:r>
      <w:r>
        <w:rPr>
          <w:rFonts w:ascii="Arial" w:hAnsi="Arial"/>
          <w:color w:val="000000"/>
          <w:sz w:val="14"/>
        </w:rPr>
        <w:t>Charge-offs are reported net of expected recoveries. For Private Education Loans, we charge off the estimated loss of a defaulted loan balance by charging off the entire defaulted loan balance and estimating recoveries on a pool basis. These estimated recoveries are referred to as “expected future recoveries on previously fully charged-off loans.” For FFELP Loans, the recovery is received at the time of charge-off.</w:t>
      </w:r>
      <w:r>
        <w:rPr>
          <w:rFonts w:ascii="Times New Roman" w:hAnsi="Times New Roman"/>
          <w:color w:val="000000"/>
          <w:sz w:val="20"/>
        </w:rPr>
        <w:t xml:space="preserve"> </w:t>
      </w:r>
    </w:p>
    <w:p>
      <w:pPr>
        <w:pStyle w:val="TextBody"/>
        <w:pBdr/>
        <w:bidi w:val="0"/>
        <w:ind w:left="0" w:right="0" w:hanging="245"/>
        <w:jc w:val="left"/>
        <w:rPr/>
      </w:pPr>
      <w:r>
        <w:rPr/>
        <w:t> </w:t>
      </w:r>
    </w:p>
    <w:p>
      <w:pPr>
        <w:pStyle w:val="TextBody"/>
        <w:pBdr/>
        <w:bidi w:val="0"/>
        <w:ind w:left="0" w:right="0" w:hanging="245"/>
        <w:jc w:val="left"/>
        <w:rPr>
          <w:rFonts w:ascii="Times New Roman" w:hAnsi="Times New Roman"/>
          <w:sz w:val="20"/>
        </w:rPr>
      </w:pPr>
      <w:r>
        <w:rPr>
          <w:rFonts w:ascii="Arial" w:hAnsi="Arial"/>
          <w:color w:val="000000"/>
          <w:sz w:val="9"/>
        </w:rPr>
        <w:t xml:space="preserve">(2) </w:t>
      </w:r>
      <w:r>
        <w:rPr>
          <w:rFonts w:ascii="Arial" w:hAnsi="Arial"/>
          <w:color w:val="000000"/>
          <w:sz w:val="14"/>
        </w:rPr>
        <w:t>At the end of each month, for Private Education Loans that are 212 or more days past due, we charge off the estimated loss of a defaulted loan balance by charging off the entire loan balance and estimating recoveries on a pool basis. These estimated recoveries are referred to as “expected future recoveries on previously fully charged-off loans.” If actual periodic recoveries are less than expected, the difference is immediately reflected as a reduction to expected future recoveries on previously fully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previously fully charged-off loans: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335"/>
        <w:gridCol w:w="146"/>
        <w:gridCol w:w="293"/>
        <w:gridCol w:w="562"/>
        <w:gridCol w:w="151"/>
        <w:gridCol w:w="146"/>
        <w:gridCol w:w="314"/>
        <w:gridCol w:w="602"/>
        <w:gridCol w:w="151"/>
        <w:gridCol w:w="146"/>
        <w:gridCol w:w="293"/>
        <w:gridCol w:w="562"/>
        <w:gridCol w:w="151"/>
        <w:gridCol w:w="146"/>
        <w:gridCol w:w="293"/>
        <w:gridCol w:w="562"/>
        <w:gridCol w:w="151"/>
        <w:gridCol w:w="146"/>
        <w:gridCol w:w="293"/>
        <w:gridCol w:w="562"/>
        <w:gridCol w:w="200"/>
      </w:tblGrid>
      <w:tr>
        <w:trPr/>
        <w:tc>
          <w:tcPr>
            <w:tcW w:w="4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0"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QUARTERS ENDED</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u w:val="single"/>
              </w:rPr>
            </w:pPr>
            <w:r>
              <w:rPr>
                <w:rFonts w:ascii="Arial" w:hAnsi="Arial"/>
                <w:b/>
                <w:color w:val="000000"/>
                <w:sz w:val="14"/>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March 31,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Beginning of period expected future recoveries on previously fully charged-off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Expected future recoveries of current period defaults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Recoveries (cash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4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Charge-offs (as a result of lower recovery expectations)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4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End of period expected future recoveries on previously fully charged-off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Change in balance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bl>
    <w:p>
      <w:pPr>
        <w:pStyle w:val="TextBody"/>
        <w:pBdr/>
        <w:bidi w:val="0"/>
        <w:ind w:left="611" w:right="0" w:hanging="245"/>
        <w:jc w:val="left"/>
        <w:rPr/>
      </w:pPr>
      <w:r>
        <w:rPr/>
        <w:t> </w:t>
      </w:r>
    </w:p>
    <w:p>
      <w:pPr>
        <w:pStyle w:val="TextBody"/>
        <w:pBdr/>
        <w:bidi w:val="0"/>
        <w:ind w:left="611" w:right="0" w:hanging="245"/>
        <w:jc w:val="left"/>
        <w:rPr/>
      </w:pPr>
      <w:r>
        <w:rPr/>
        <w:t> </w:t>
      </w:r>
    </w:p>
    <w:p>
      <w:pPr>
        <w:pStyle w:val="TextBody"/>
        <w:pBdr/>
        <w:bidi w:val="0"/>
        <w:ind w:left="0" w:right="0" w:hanging="245"/>
        <w:jc w:val="left"/>
        <w:rPr>
          <w:rFonts w:ascii="Times New Roman" w:hAnsi="Times New Roman"/>
          <w:sz w:val="20"/>
        </w:rPr>
      </w:pPr>
      <w:r>
        <w:rPr>
          <w:rFonts w:ascii="Arial" w:hAnsi="Arial"/>
          <w:color w:val="000000"/>
          <w:sz w:val="9"/>
        </w:rPr>
        <w:t xml:space="preserve">(3) </w:t>
      </w:r>
      <w:r>
        <w:rPr>
          <w:rFonts w:ascii="Arial" w:hAnsi="Arial"/>
          <w:color w:val="000000"/>
          <w:sz w:val="14"/>
        </w:rPr>
        <w:t>For Private Education Loans, the item is a non-GAAP financial measure. For a description and reconciliation, see “Non-GAAP Financial Measures.”</w:t>
      </w:r>
      <w:r>
        <w:rPr>
          <w:rFonts w:ascii="Times New Roman" w:hAnsi="Times New Roman"/>
          <w:color w:val="000000"/>
          <w:sz w:val="20"/>
        </w:rPr>
        <w:t xml:space="preserve"> </w:t>
      </w:r>
    </w:p>
    <w:p>
      <w:pPr>
        <w:pStyle w:val="TextBody"/>
        <w:pBdr/>
        <w:bidi w:val="0"/>
        <w:ind w:left="0" w:right="0" w:hanging="245"/>
        <w:jc w:val="left"/>
        <w:rPr/>
      </w:pPr>
      <w:r>
        <w:rPr/>
        <w:t> </w:t>
      </w:r>
    </w:p>
    <w:p>
      <w:pPr>
        <w:pStyle w:val="TextBody"/>
        <w:pBdr/>
        <w:bidi w:val="0"/>
        <w:ind w:left="0" w:right="0" w:hanging="245"/>
        <w:jc w:val="left"/>
        <w:rPr>
          <w:rFonts w:ascii="Times New Roman" w:hAnsi="Times New Roman"/>
          <w:sz w:val="20"/>
        </w:rPr>
      </w:pPr>
      <w:r>
        <w:rPr>
          <w:rFonts w:ascii="Arial" w:hAnsi="Arial"/>
          <w:color w:val="000000"/>
          <w:sz w:val="9"/>
        </w:rPr>
        <w:t xml:space="preserve">(4) </w:t>
      </w:r>
      <w:r>
        <w:rPr>
          <w:rFonts w:ascii="Arial" w:hAnsi="Arial"/>
          <w:color w:val="000000"/>
          <w:sz w:val="14"/>
        </w:rPr>
        <w:t>Quarter and six months ended June 30, 2026 excludes $528 million of loans, and the corresponding charge-offs, that were classified as held for sale as of June 30, 2026.</w:t>
      </w:r>
      <w:r>
        <w:rPr>
          <w:rFonts w:ascii="Times New Roman" w:hAnsi="Times New Roman"/>
          <w:color w:val="000000"/>
          <w:sz w:val="20"/>
        </w:rPr>
        <w:t xml:space="preserve"> </w:t>
      </w:r>
    </w:p>
    <w:p>
      <w:pPr>
        <w:pStyle w:val="TextBody"/>
        <w:bidi w:val="0"/>
        <w:jc w:val="left"/>
        <w:rPr/>
      </w:pPr>
      <w:r>
        <w:rPr/>
        <w:t> </w:t>
      </w:r>
    </w:p>
    <w:p>
      <w:pPr>
        <w:pStyle w:val="TextBody"/>
        <w:pBdr/>
        <w:bidi w:val="0"/>
        <w:spacing w:before="40" w:after="283"/>
        <w:ind w:left="611" w:right="0" w:hanging="245"/>
        <w:jc w:val="left"/>
        <w:rPr/>
      </w:pPr>
      <w:r>
        <w:rPr/>
        <w:t> </w:t>
      </w:r>
    </w:p>
    <w:p>
      <w:pPr>
        <w:pStyle w:val="TextBody"/>
        <w:pBdr/>
        <w:bidi w:val="0"/>
        <w:spacing w:before="40" w:after="283"/>
        <w:ind w:left="611" w:right="0" w:hanging="245"/>
        <w:jc w:val="left"/>
        <w:rPr/>
      </w:pPr>
      <w:r>
        <w:rPr/>
        <w:t> </w:t>
      </w:r>
    </w:p>
    <w:p>
      <w:pPr>
        <w:pStyle w:val="TextBody"/>
        <w:bidi w:val="0"/>
        <w:ind w:left="630" w:right="8280" w:hanging="720"/>
        <w:jc w:val="right"/>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470A68" w:val="clear"/>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FFFFFF"/>
                <w:sz w:val="20"/>
              </w:rPr>
            </w:pPr>
            <w:r>
              <w:rPr>
                <w:rFonts w:ascii="Arial" w:hAnsi="Arial"/>
                <w:b/>
                <w:color w:val="FFFFFF"/>
                <w:sz w:val="20"/>
              </w:rPr>
              <w:t>LIQUIDITY AND CAPITAL RESOURCES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expect to fund our ongoing liquidity needs, including the repayment of $0.7 billion of senior unsecured notes that mature in the short term (i.e., over the next 12 months) and the remaining $4.6 billion of senior unsecured notes that mature in the long term (from 2027 to 2043 with 79% maturing by 2032), through a number of sources. These sources include our cash on hand, unencumbered FFELP Loan and Private Education Refinance Loan portfolios (see “Sources of Primary Liquidity” below),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asset-backed commercial paper (ABCP) facilities, issue term asset-backed securities (ABS), enter into additional Private Education Loan and FFELP Loan ABS repurchase facilities, or issue additional unsecured debt.</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We originate Private Education Loans (a portion of which is obtained through a forward purchase agreement). We also have purchased and may purchase, in future periods, Private Education Loan portfolios from third parties. Those originations and purchases are part of our ongoing liquidity needs. We repurchased 0.3 million shares of common stock for $2 million in the second quarter of 2026.</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470A68" w:val="clear"/>
            <w:tcMar>
              <w:top w:w="0" w:type="dxa"/>
              <w:left w:w="0" w:type="dxa"/>
              <w:bottom w:w="0" w:type="dxa"/>
              <w:right w:w="0" w:type="dxa"/>
            </w:tcMar>
            <w:vAlign w:val="center"/>
          </w:tcPr>
          <w:p>
            <w:pPr>
              <w:pStyle w:val="TableContents"/>
              <w:bidi w:val="0"/>
              <w:spacing w:before="0" w:after="283"/>
              <w:ind w:left="120" w:right="0" w:hanging="0"/>
              <w:jc w:val="left"/>
              <w:rPr>
                <w:rFonts w:ascii="Arial" w:hAnsi="Arial"/>
                <w:b/>
                <w:color w:val="FFFFFF"/>
                <w:sz w:val="20"/>
              </w:rPr>
            </w:pPr>
            <w:r>
              <w:rPr>
                <w:rFonts w:ascii="Arial" w:hAnsi="Arial"/>
                <w:b/>
                <w:color w:val="FFFFFF"/>
                <w:sz w:val="20"/>
              </w:rPr>
              <w:t>SOURCES OF LIQUIDITY</w:t>
            </w:r>
          </w:p>
        </w:tc>
      </w:tr>
    </w:tbl>
    <w:p>
      <w:pPr>
        <w:pStyle w:val="TextBody"/>
        <w:bidi w:val="0"/>
        <w:spacing w:before="120" w:after="283"/>
        <w:jc w:val="left"/>
        <w:rPr>
          <w:rFonts w:ascii="Arial" w:hAnsi="Arial"/>
          <w:b/>
          <w:color w:val="000000"/>
          <w:sz w:val="20"/>
        </w:rPr>
      </w:pPr>
      <w:r>
        <w:rPr>
          <w:rFonts w:ascii="Arial" w:hAnsi="Arial"/>
          <w:b/>
          <w:color w:val="000000"/>
          <w:sz w:val="20"/>
        </w:rPr>
        <w:t>Sources of Primary Liquidity</w:t>
      </w:r>
    </w:p>
    <w:tbl>
      <w:tblPr>
        <w:tblW w:w="8842" w:type="dxa"/>
        <w:jc w:val="left"/>
        <w:tblInd w:w="0" w:type="dxa"/>
        <w:tblLayout w:type="fixed"/>
        <w:tblCellMar>
          <w:top w:w="28" w:type="dxa"/>
          <w:left w:w="28" w:type="dxa"/>
          <w:bottom w:w="28" w:type="dxa"/>
          <w:right w:w="28" w:type="dxa"/>
        </w:tblCellMar>
      </w:tblPr>
      <w:tblGrid>
        <w:gridCol w:w="4321"/>
        <w:gridCol w:w="146"/>
        <w:gridCol w:w="315"/>
        <w:gridCol w:w="855"/>
        <w:gridCol w:w="146"/>
        <w:gridCol w:w="146"/>
        <w:gridCol w:w="340"/>
        <w:gridCol w:w="920"/>
        <w:gridCol w:w="146"/>
        <w:gridCol w:w="146"/>
        <w:gridCol w:w="315"/>
        <w:gridCol w:w="855"/>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Ending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Unencumbered Private Education Refinance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Unencumbered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854"/>
        <w:gridCol w:w="146"/>
        <w:gridCol w:w="310"/>
        <w:gridCol w:w="841"/>
        <w:gridCol w:w="146"/>
        <w:gridCol w:w="146"/>
        <w:gridCol w:w="333"/>
        <w:gridCol w:w="903"/>
        <w:gridCol w:w="146"/>
        <w:gridCol w:w="146"/>
        <w:gridCol w:w="310"/>
        <w:gridCol w:w="841"/>
        <w:gridCol w:w="146"/>
        <w:gridCol w:w="146"/>
        <w:gridCol w:w="310"/>
        <w:gridCol w:w="841"/>
        <w:gridCol w:w="146"/>
        <w:gridCol w:w="146"/>
        <w:gridCol w:w="310"/>
        <w:gridCol w:w="841"/>
        <w:gridCol w:w="197"/>
      </w:tblGrid>
      <w:tr>
        <w:trPr/>
        <w:tc>
          <w:tcPr>
            <w:tcW w:w="2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2"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Average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Unencumbered Private Education </w:t>
              <w:br/>
              <w:t>   Refinance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Unencumbered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Sources of Additional Liquidity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Liquidity may also be available under our secured credit facilities. Maximum borrowing capacity under the FFELP Loan and Private Education Loan ABCP facilities will vary and be subject to each agreement’s borrowing conditions, including, among others, facility size, current usage and availability of qualifying collateral from unencumbered loans. The following tables detail the additional borrowing capacity of these facilities with maturity dates ranging from October 2026 to April 2029.</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3271"/>
        <w:gridCol w:w="146"/>
        <w:gridCol w:w="315"/>
        <w:gridCol w:w="855"/>
        <w:gridCol w:w="146"/>
        <w:gridCol w:w="146"/>
        <w:gridCol w:w="340"/>
        <w:gridCol w:w="920"/>
        <w:gridCol w:w="146"/>
        <w:gridCol w:w="146"/>
        <w:gridCol w:w="315"/>
        <w:gridCol w:w="855"/>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Ending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Private Education Loan ABCP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FFELP Loan ABCP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998"/>
        <w:gridCol w:w="146"/>
        <w:gridCol w:w="302"/>
        <w:gridCol w:w="821"/>
        <w:gridCol w:w="146"/>
        <w:gridCol w:w="146"/>
        <w:gridCol w:w="324"/>
        <w:gridCol w:w="879"/>
        <w:gridCol w:w="146"/>
        <w:gridCol w:w="146"/>
        <w:gridCol w:w="302"/>
        <w:gridCol w:w="821"/>
        <w:gridCol w:w="146"/>
        <w:gridCol w:w="146"/>
        <w:gridCol w:w="302"/>
        <w:gridCol w:w="821"/>
        <w:gridCol w:w="146"/>
        <w:gridCol w:w="146"/>
        <w:gridCol w:w="302"/>
        <w:gridCol w:w="821"/>
        <w:gridCol w:w="198"/>
      </w:tblGrid>
      <w:tr>
        <w:trPr/>
        <w:tc>
          <w:tcPr>
            <w:tcW w:w="2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3"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Average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Private Education Loan ABCP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FFELP Loan ABCP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color w:val="000000"/>
          <w:sz w:val="18"/>
        </w:rPr>
        <w:t>At June 30, 2026, we had a total of $2.7 billion of unencumbered tangible assets inclusive of those listed in the table above as sources of primary liquidity. Total unencumbered education loans comprised $1.0 billion of our unencumbered tangible assets of which $1.0 billion and $42 million related to Private Education Loans and FFELP Loans, respectively. In addition, as of June 30, 2026, we had $4.9 billion of encumbered net assets (i.e., overcollateralization) in our various financing facilities (consolidated variable interest entities). We enter into repurchase facilities at times to borrow against the encumbered net assets of these financing vehicles. As of June 30, 2026, $0.5 billion of repurchase facility borrowings were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following table reconciles encumbered and unencumbered assets and their net impact on total Tangible Equity.</w:t>
      </w:r>
      <w:r>
        <w:rPr>
          <w:rFonts w:ascii="Times New Roman" w:hAnsi="Times New Roman"/>
          <w:color w:val="000000"/>
          <w:sz w:val="20"/>
        </w:rPr>
        <w:t xml:space="preserve"> </w:t>
      </w:r>
    </w:p>
    <w:tbl>
      <w:tblPr>
        <w:tblW w:w="8927" w:type="dxa"/>
        <w:jc w:val="left"/>
        <w:tblInd w:w="0" w:type="dxa"/>
        <w:tblLayout w:type="fixed"/>
        <w:tblCellMar>
          <w:top w:w="28" w:type="dxa"/>
          <w:left w:w="28" w:type="dxa"/>
          <w:bottom w:w="28" w:type="dxa"/>
          <w:right w:w="28" w:type="dxa"/>
        </w:tblCellMar>
      </w:tblPr>
      <w:tblGrid>
        <w:gridCol w:w="4246"/>
        <w:gridCol w:w="146"/>
        <w:gridCol w:w="390"/>
        <w:gridCol w:w="780"/>
        <w:gridCol w:w="166"/>
        <w:gridCol w:w="146"/>
        <w:gridCol w:w="420"/>
        <w:gridCol w:w="840"/>
        <w:gridCol w:w="166"/>
        <w:gridCol w:w="146"/>
        <w:gridCol w:w="390"/>
        <w:gridCol w:w="780"/>
        <w:gridCol w:w="3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billions)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of consolidated variable interest entities</w:t>
              <w:br/>
              <w:t>   (encumbered assets) — Private Education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assets of consolidated variable interest entities</w:t>
              <w:br/>
              <w:t>   (encumbered assets) —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Tangible unencumbered assets</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Senior unsecured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Mark-to-market on unsecured hedged debt</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Arial" w:hAnsi="Arial"/>
                <w:color w:val="000000"/>
                <w:sz w:val="18"/>
              </w:rPr>
              <w:t xml:space="preserve">Total Tangible Equity </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245"/>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Excludes goodwill and acquired intangible assets.</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At June 30, 2026, March 31, 2026, and June 30, 2025, there were $(78) million, $(60) million and $(72) million, respectively, of net gains (losses) on derivatives hedging this debt in unencumbered assets, which partially offset these gains (losses).</w:t>
      </w:r>
      <w:r>
        <w:rPr>
          <w:rFonts w:ascii="Times New Roman" w:hAnsi="Times New Roman"/>
          <w:color w:val="000000"/>
          <w:sz w:val="20"/>
        </w:rPr>
        <w:t xml:space="preserve"> </w:t>
      </w:r>
    </w:p>
    <w:p>
      <w:pPr>
        <w:pStyle w:val="TextBody"/>
        <w:pBdr/>
        <w:bidi w:val="0"/>
        <w:spacing w:before="60" w:after="283"/>
        <w:ind w:left="0" w:right="0" w:hanging="245"/>
        <w:jc w:val="left"/>
        <w:rPr>
          <w:rFonts w:ascii="Times New Roman" w:hAnsi="Times New Roman"/>
          <w:sz w:val="20"/>
        </w:rPr>
      </w:pPr>
      <w:r>
        <w:rPr>
          <w:rFonts w:ascii="Arial" w:hAnsi="Arial"/>
          <w:color w:val="000000"/>
          <w:sz w:val="11"/>
        </w:rPr>
        <w:t>(3)</w:t>
      </w:r>
      <w:r>
        <w:rPr>
          <w:rFonts w:ascii="Times New Roman" w:hAnsi="Times New Roman"/>
          <w:color w:val="000000"/>
          <w:sz w:val="20"/>
        </w:rPr>
        <w:t xml:space="preserve"> </w:t>
      </w:r>
      <w:r>
        <w:rPr>
          <w:rFonts w:ascii="Arial" w:hAnsi="Arial"/>
          <w:color w:val="000000"/>
          <w:sz w:val="16"/>
        </w:rPr>
        <w:t>Item is a non-GAAP financial measure. For a description and reconciliation, see “Non-GAAP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470A68" w:val="clear"/>
            <w:tcMar>
              <w:top w:w="0" w:type="dxa"/>
              <w:left w:w="0" w:type="dxa"/>
              <w:bottom w:w="0" w:type="dxa"/>
              <w:right w:w="0" w:type="dxa"/>
            </w:tcMar>
            <w:vAlign w:val="center"/>
          </w:tcPr>
          <w:p>
            <w:pPr>
              <w:pStyle w:val="TableContents"/>
              <w:bidi w:val="0"/>
              <w:spacing w:before="0" w:after="283"/>
              <w:jc w:val="left"/>
              <w:rPr>
                <w:color w:val="FFFFFF"/>
              </w:rPr>
            </w:pPr>
            <w:r>
              <w:rPr>
                <w:color w:val="FFFFFF"/>
              </w:rPr>
              <w:t>  </w:t>
            </w:r>
            <w:r>
              <w:rPr>
                <w:rFonts w:ascii="Arial" w:hAnsi="Arial"/>
                <w:b/>
                <w:color w:val="FFFFFF"/>
                <w:sz w:val="20"/>
              </w:rPr>
              <w:t>NON-GAAP FINANCIAL MEASURES</w:t>
            </w:r>
          </w:p>
        </w:tc>
      </w:tr>
    </w:tbl>
    <w:p>
      <w:pPr>
        <w:pStyle w:val="TextBody"/>
        <w:bidi w:val="0"/>
        <w:spacing w:before="240" w:after="283"/>
        <w:jc w:val="left"/>
        <w:rPr>
          <w:rFonts w:ascii="Times New Roman" w:hAnsi="Times New Roman"/>
          <w:sz w:val="20"/>
        </w:rPr>
      </w:pPr>
      <w:r>
        <w:rPr>
          <w:rFonts w:ascii="Arial" w:hAnsi="Arial"/>
          <w:color w:val="000000"/>
          <w:sz w:val="18"/>
        </w:rPr>
        <w:t>In addition to financial results reported on a GAAP basis, Navient also provides certain performance measures which are non-GAAP financial measures. We present the following non-GAAP financial measures: (1) Core Earnings, (2) Tangible Equity (as well as the Adjusted Tangible Equity Ratio) and (3) Allowance for Loan Losses Excluding Expected Future Recoveries on Previously Fully Charged-off Loans. Definitions for the non-GAAP financial measures and reconciliations are provided below, except that reconciliations of forward-looking non-GAAP financial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gains/losses resulting from our use of derivative instruments to hedge our economic risks.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color w:val="000000"/>
          <w:sz w:val="18"/>
        </w:rPr>
        <w:t>1. Core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8"/>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r>
        <w:rPr>
          <w:rFonts w:ascii="Times New Roman" w:hAnsi="Times New Roman"/>
          <w:color w:val="000000"/>
          <w:sz w:val="20"/>
        </w:rPr>
        <w:t xml:space="preserve"> </w:t>
      </w:r>
    </w:p>
    <w:p>
      <w:pPr>
        <w:pStyle w:val="TextBody"/>
        <w:pBdr/>
        <w:bidi w:val="0"/>
        <w:spacing w:before="120" w:after="283"/>
        <w:ind w:left="576" w:right="0" w:hanging="619"/>
        <w:jc w:val="left"/>
        <w:rPr>
          <w:rFonts w:ascii="Times New Roman" w:hAnsi="Times New Roman"/>
          <w:sz w:val="20"/>
        </w:rPr>
      </w:pPr>
      <w:r>
        <w:rPr>
          <w:rFonts w:ascii="Arial" w:hAnsi="Arial"/>
          <w:color w:val="000000"/>
          <w:sz w:val="18"/>
        </w:rPr>
        <w:t>(1) Mark-to-market gains/losses resulting from our use of derivative instruments to hedge our economic risks that do not qualify for hedge accounting treatment or do qualify for hedge accounting treatment but result in ineffectiveness; and</w:t>
      </w:r>
      <w:r>
        <w:rPr>
          <w:rFonts w:ascii="Times New Roman" w:hAnsi="Times New Roman"/>
          <w:color w:val="000000"/>
          <w:sz w:val="20"/>
        </w:rPr>
        <w:t xml:space="preserve"> </w:t>
      </w:r>
    </w:p>
    <w:p>
      <w:pPr>
        <w:pStyle w:val="TextBody"/>
        <w:pBdr/>
        <w:bidi w:val="0"/>
        <w:spacing w:before="120" w:after="283"/>
        <w:ind w:left="576" w:right="0" w:hanging="619"/>
        <w:jc w:val="left"/>
        <w:rPr>
          <w:rFonts w:ascii="Times New Roman" w:hAnsi="Times New Roman"/>
          <w:sz w:val="20"/>
        </w:rPr>
      </w:pPr>
      <w:r>
        <w:rPr>
          <w:rFonts w:ascii="Arial" w:hAnsi="Arial"/>
          <w:color w:val="000000"/>
          <w:sz w:val="18"/>
        </w:rPr>
        <w:t>(2) The accounting for goodwill and acquired intangible assets.</w:t>
      </w:r>
      <w:r>
        <w:rPr>
          <w:rFonts w:ascii="Times New Roman" w:hAnsi="Times New Roman"/>
          <w:color w:val="000000"/>
          <w:sz w:val="20"/>
        </w:rPr>
        <w:t xml:space="preserve"> </w:t>
      </w:r>
    </w:p>
    <w:p>
      <w:pPr>
        <w:pStyle w:val="TextBody"/>
        <w:bidi w:val="0"/>
        <w:spacing w:before="240" w:after="283"/>
        <w:jc w:val="left"/>
        <w:rPr>
          <w:rFonts w:ascii="Arial" w:hAnsi="Arial"/>
          <w:color w:val="000000"/>
          <w:sz w:val="18"/>
        </w:rPr>
      </w:pPr>
      <w:r>
        <w:rPr>
          <w:rFonts w:ascii="Arial" w:hAnsi="Arial"/>
          <w:color w:val="000000"/>
          <w:sz w:val="18"/>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pStyle w:val="TextBody"/>
        <w:bidi w:val="0"/>
        <w:jc w:val="right"/>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18"/>
        </w:rPr>
        <w:t>The following tables show our consolidated GAAP results, Core Earnings results (including for each reportable segment) along with the adjustments made to the income/expense items to reconcile the consolidated GAAP results to the Core Earnings results as required by GAAP.</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52"/>
        <w:gridCol w:w="146"/>
        <w:gridCol w:w="181"/>
        <w:gridCol w:w="346"/>
        <w:gridCol w:w="146"/>
        <w:gridCol w:w="146"/>
        <w:gridCol w:w="206"/>
        <w:gridCol w:w="395"/>
        <w:gridCol w:w="151"/>
        <w:gridCol w:w="146"/>
        <w:gridCol w:w="299"/>
        <w:gridCol w:w="573"/>
        <w:gridCol w:w="151"/>
        <w:gridCol w:w="146"/>
        <w:gridCol w:w="285"/>
        <w:gridCol w:w="548"/>
        <w:gridCol w:w="151"/>
        <w:gridCol w:w="146"/>
        <w:gridCol w:w="206"/>
        <w:gridCol w:w="395"/>
        <w:gridCol w:w="146"/>
        <w:gridCol w:w="146"/>
        <w:gridCol w:w="247"/>
        <w:gridCol w:w="473"/>
        <w:gridCol w:w="146"/>
        <w:gridCol w:w="146"/>
        <w:gridCol w:w="248"/>
        <w:gridCol w:w="476"/>
        <w:gridCol w:w="146"/>
        <w:gridCol w:w="146"/>
        <w:gridCol w:w="258"/>
        <w:gridCol w:w="495"/>
        <w:gridCol w:w="146"/>
        <w:gridCol w:w="146"/>
        <w:gridCol w:w="181"/>
        <w:gridCol w:w="346"/>
        <w:gridCol w:w="298"/>
      </w:tblGrid>
      <w:tr>
        <w:trPr/>
        <w:tc>
          <w:tcPr>
            <w:tcW w:w="1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9" w:type="dxa"/>
            <w:gridSpan w:val="34"/>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JUNE 30, 2026</w:t>
            </w:r>
          </w:p>
        </w:tc>
        <w:tc>
          <w:tcPr>
            <w:tcW w:w="29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36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Reportable Segments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Reclassi-</w:t>
              <w:br/>
              <w:t>fications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Additions/</w:t>
              <w:br/>
              <w:t>(Subtractions)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Total</w:t>
              <w:br/>
              <w:t xml:space="preserve">Adjustments </w:t>
            </w:r>
            <w:r>
              <w:rPr>
                <w:rFonts w:ascii="Arial" w:hAnsi="Arial"/>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Core</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Consumer Lending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Federal Education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Business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Less: provisions for loan</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 after provisions</w:t>
              <w:br/>
              <w:t>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Servicing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Asset recovery and</w:t>
              <w:br/>
              <w:t>   business processing</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Direct operating</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Unallocated shared</w:t>
              <w:br/>
              <w:t>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Goodwill and acquired</w:t>
              <w:br/>
              <w:t>   intangible asset</w:t>
              <w:br/>
              <w:t xml:space="preserve">   impairment and </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Restructuring/other</w:t>
              <w:br/>
              <w:t>   reorganization</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w:t>
              <w:br/>
              <w:t>   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Income tax expense</w:t>
              <w:br/>
              <w:t>   (benefit)</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pBdr/>
        <w:bidi w:val="0"/>
        <w:ind w:left="0" w:right="0" w:hanging="245"/>
        <w:jc w:val="left"/>
        <w:rPr>
          <w:rFonts w:ascii="Times New Roman" w:hAnsi="Times New Roman"/>
          <w:sz w:val="20"/>
        </w:rPr>
      </w:pPr>
      <w:r>
        <w:rPr>
          <w:rFonts w:ascii="Arial" w:hAnsi="Arial"/>
          <w:color w:val="000000"/>
          <w:sz w:val="9"/>
        </w:rPr>
        <w:t xml:space="preserve">(1) </w:t>
      </w:r>
      <w:r>
        <w:rPr>
          <w:rFonts w:ascii="Arial" w:hAnsi="Arial"/>
          <w:color w:val="000000"/>
          <w:sz w:val="16"/>
        </w:rPr>
        <w:t>Core Earnings adjustments to GAAP:</w:t>
      </w:r>
      <w:r>
        <w:rPr>
          <w:rFonts w:ascii="Times New Roman" w:hAnsi="Times New Roman"/>
          <w:color w:val="000000"/>
          <w:sz w:val="20"/>
        </w:rPr>
        <w:t xml:space="preserve"> </w:t>
      </w:r>
    </w:p>
    <w:tbl>
      <w:tblPr>
        <w:tblW w:w="7429" w:type="dxa"/>
        <w:jc w:val="left"/>
        <w:tblInd w:w="0" w:type="dxa"/>
        <w:tblLayout w:type="fixed"/>
        <w:tblCellMar>
          <w:top w:w="28" w:type="dxa"/>
          <w:left w:w="28" w:type="dxa"/>
          <w:bottom w:w="28" w:type="dxa"/>
          <w:right w:w="28" w:type="dxa"/>
        </w:tblCellMar>
      </w:tblPr>
      <w:tblGrid>
        <w:gridCol w:w="4261"/>
        <w:gridCol w:w="146"/>
        <w:gridCol w:w="293"/>
        <w:gridCol w:w="562"/>
        <w:gridCol w:w="151"/>
        <w:gridCol w:w="146"/>
        <w:gridCol w:w="293"/>
        <w:gridCol w:w="562"/>
        <w:gridCol w:w="146"/>
        <w:gridCol w:w="146"/>
        <w:gridCol w:w="181"/>
        <w:gridCol w:w="346"/>
        <w:gridCol w:w="19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6"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JUNE 30, 2026</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Derivative</w:t>
              <w:br/>
              <w:t>Accounting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Goodwill and</w:t>
              <w:br/>
              <w:t>Acquired</w:t>
              <w:br/>
              <w:t>Intangibles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 (loss) after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Goodwill and acquired intangible asset impairment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Income taxes are based on a percentage of net income before tax for the individual reportable segment.</w:t>
      </w:r>
    </w:p>
    <w:p>
      <w:pPr>
        <w:pStyle w:val="TextBody"/>
        <w:bidi w:val="0"/>
        <w:jc w:val="right"/>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7"/>
        <w:gridCol w:w="146"/>
        <w:gridCol w:w="181"/>
        <w:gridCol w:w="346"/>
        <w:gridCol w:w="146"/>
        <w:gridCol w:w="146"/>
        <w:gridCol w:w="206"/>
        <w:gridCol w:w="395"/>
        <w:gridCol w:w="151"/>
        <w:gridCol w:w="146"/>
        <w:gridCol w:w="299"/>
        <w:gridCol w:w="573"/>
        <w:gridCol w:w="151"/>
        <w:gridCol w:w="146"/>
        <w:gridCol w:w="294"/>
        <w:gridCol w:w="565"/>
        <w:gridCol w:w="151"/>
        <w:gridCol w:w="146"/>
        <w:gridCol w:w="206"/>
        <w:gridCol w:w="395"/>
        <w:gridCol w:w="146"/>
        <w:gridCol w:w="146"/>
        <w:gridCol w:w="245"/>
        <w:gridCol w:w="470"/>
        <w:gridCol w:w="146"/>
        <w:gridCol w:w="146"/>
        <w:gridCol w:w="245"/>
        <w:gridCol w:w="470"/>
        <w:gridCol w:w="146"/>
        <w:gridCol w:w="146"/>
        <w:gridCol w:w="256"/>
        <w:gridCol w:w="491"/>
        <w:gridCol w:w="146"/>
        <w:gridCol w:w="146"/>
        <w:gridCol w:w="181"/>
        <w:gridCol w:w="346"/>
        <w:gridCol w:w="297"/>
      </w:tblGrid>
      <w:tr>
        <w:trPr/>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5" w:type="dxa"/>
            <w:gridSpan w:val="34"/>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MARCH 31, 2026</w:t>
            </w:r>
          </w:p>
        </w:tc>
        <w:tc>
          <w:tcPr>
            <w:tcW w:w="297"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3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Reportable Segments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Reclassi-</w:t>
              <w:br/>
              <w:t>fications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Additions/</w:t>
              <w:br/>
              <w:t>(Subtractions)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Total</w:t>
              <w:br/>
              <w:t>Adjustments</w:t>
            </w:r>
            <w:r>
              <w:rPr>
                <w:rFonts w:ascii="Arial" w:hAnsi="Arial"/>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Core</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Consumer Lending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Federal Education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Business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Less: provisions for loan</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 after provisions</w:t>
              <w:br/>
              <w:t>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Servicing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Asset recovery and</w:t>
              <w:br/>
              <w:t>   business processing</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Direct operating</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Unallocated shared</w:t>
              <w:br/>
              <w:t>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Goodwill and acquired</w:t>
              <w:br/>
              <w:t>   intangible asset</w:t>
              <w:br/>
              <w:t xml:space="preserve">   impairment and </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Restructuring/other</w:t>
              <w:br/>
              <w:t>   reorganization</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w:t>
              <w:br/>
              <w:t>   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Income tax expense</w:t>
              <w:br/>
              <w:t>   (benefit)</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pBdr/>
        <w:bidi w:val="0"/>
        <w:ind w:left="0" w:right="0" w:hanging="245"/>
        <w:jc w:val="left"/>
        <w:rPr>
          <w:rFonts w:ascii="Times New Roman" w:hAnsi="Times New Roman"/>
          <w:sz w:val="20"/>
        </w:rPr>
      </w:pPr>
      <w:r>
        <w:rPr>
          <w:rFonts w:ascii="Arial" w:hAnsi="Arial"/>
          <w:color w:val="000000"/>
          <w:sz w:val="9"/>
        </w:rPr>
        <w:t xml:space="preserve">(1) </w:t>
      </w:r>
      <w:r>
        <w:rPr>
          <w:rFonts w:ascii="Arial" w:hAnsi="Arial"/>
          <w:color w:val="000000"/>
          <w:sz w:val="16"/>
        </w:rPr>
        <w:t>Core Earnings adjustments to GAAP:</w:t>
      </w:r>
      <w:r>
        <w:rPr>
          <w:rFonts w:ascii="Times New Roman" w:hAnsi="Times New Roman"/>
          <w:color w:val="000000"/>
          <w:sz w:val="20"/>
        </w:rPr>
        <w:t xml:space="preserve"> </w:t>
      </w:r>
    </w:p>
    <w:tbl>
      <w:tblPr>
        <w:tblW w:w="7335" w:type="dxa"/>
        <w:jc w:val="left"/>
        <w:tblInd w:w="0" w:type="dxa"/>
        <w:tblLayout w:type="fixed"/>
        <w:tblCellMar>
          <w:top w:w="28" w:type="dxa"/>
          <w:left w:w="28" w:type="dxa"/>
          <w:bottom w:w="28" w:type="dxa"/>
          <w:right w:w="28" w:type="dxa"/>
        </w:tblCellMar>
      </w:tblPr>
      <w:tblGrid>
        <w:gridCol w:w="4261"/>
        <w:gridCol w:w="146"/>
        <w:gridCol w:w="293"/>
        <w:gridCol w:w="562"/>
        <w:gridCol w:w="154"/>
        <w:gridCol w:w="149"/>
        <w:gridCol w:w="293"/>
        <w:gridCol w:w="562"/>
        <w:gridCol w:w="154"/>
        <w:gridCol w:w="149"/>
        <w:gridCol w:w="185"/>
        <w:gridCol w:w="231"/>
        <w:gridCol w:w="19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2"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MARCH 31, 2026</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Derivative</w:t>
              <w:br/>
              <w:t>Accounting</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Goodwill and</w:t>
              <w:br/>
              <w:t>Acquired</w:t>
              <w:br/>
              <w:t>Intangibles</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 (loss) after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Goodwill and acquired intangible asset impairment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Income taxes are based on a percentage of net income before tax for the individual reportable segment.</w:t>
      </w:r>
    </w:p>
    <w:p>
      <w:pPr>
        <w:pStyle w:val="TextBody"/>
        <w:bidi w:val="0"/>
        <w:jc w:val="right"/>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1"/>
        <w:gridCol w:w="146"/>
        <w:gridCol w:w="181"/>
        <w:gridCol w:w="346"/>
        <w:gridCol w:w="146"/>
        <w:gridCol w:w="146"/>
        <w:gridCol w:w="206"/>
        <w:gridCol w:w="395"/>
        <w:gridCol w:w="151"/>
        <w:gridCol w:w="146"/>
        <w:gridCol w:w="299"/>
        <w:gridCol w:w="573"/>
        <w:gridCol w:w="151"/>
        <w:gridCol w:w="146"/>
        <w:gridCol w:w="285"/>
        <w:gridCol w:w="548"/>
        <w:gridCol w:w="151"/>
        <w:gridCol w:w="146"/>
        <w:gridCol w:w="206"/>
        <w:gridCol w:w="395"/>
        <w:gridCol w:w="146"/>
        <w:gridCol w:w="146"/>
        <w:gridCol w:w="247"/>
        <w:gridCol w:w="473"/>
        <w:gridCol w:w="146"/>
        <w:gridCol w:w="146"/>
        <w:gridCol w:w="248"/>
        <w:gridCol w:w="475"/>
        <w:gridCol w:w="151"/>
        <w:gridCol w:w="146"/>
        <w:gridCol w:w="257"/>
        <w:gridCol w:w="495"/>
        <w:gridCol w:w="146"/>
        <w:gridCol w:w="146"/>
        <w:gridCol w:w="181"/>
        <w:gridCol w:w="346"/>
        <w:gridCol w:w="296"/>
      </w:tblGrid>
      <w:tr>
        <w:trPr/>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2" w:type="dxa"/>
            <w:gridSpan w:val="34"/>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JUNE 30, 2025</w:t>
            </w:r>
          </w:p>
        </w:tc>
        <w:tc>
          <w:tcPr>
            <w:tcW w:w="2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36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Reportable Segments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Reclassi-</w:t>
              <w:br/>
              <w:t>fications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Additions/</w:t>
              <w:br/>
              <w:t>(Subtractions)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Total</w:t>
              <w:br/>
              <w:t xml:space="preserve">Adjustments </w:t>
            </w:r>
            <w:r>
              <w:rPr>
                <w:rFonts w:ascii="Arial" w:hAnsi="Arial"/>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Core</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Consumer Lending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Federal Education Loans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Business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Less: provisions for loan</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 after provisions</w:t>
              <w:br/>
              <w:t>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Servicing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Asset recovery and</w:t>
              <w:br/>
              <w:t>   business processing</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Other revenue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Direct operating</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Unallocated shared</w:t>
              <w:br/>
              <w:t>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Goodwill and acquired</w:t>
              <w:br/>
              <w:t>   intangible asset</w:t>
              <w:br/>
              <w:t xml:space="preserve">   impairment and </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Restructuring/other</w:t>
              <w:br/>
              <w:t>   reorganization</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w:t>
              <w:br/>
              <w:t>   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Income tax expense</w:t>
              <w:br/>
              <w:t>   (benefit)</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pBdr/>
        <w:bidi w:val="0"/>
        <w:ind w:left="0" w:right="0" w:hanging="245"/>
        <w:jc w:val="left"/>
        <w:rPr>
          <w:rFonts w:ascii="Times New Roman" w:hAnsi="Times New Roman"/>
          <w:sz w:val="20"/>
        </w:rPr>
      </w:pPr>
      <w:r>
        <w:rPr>
          <w:rFonts w:ascii="Arial" w:hAnsi="Arial"/>
          <w:color w:val="000000"/>
          <w:sz w:val="9"/>
        </w:rPr>
        <w:t xml:space="preserve">(1) </w:t>
      </w:r>
      <w:r>
        <w:rPr>
          <w:rFonts w:ascii="Arial" w:hAnsi="Arial"/>
          <w:color w:val="000000"/>
          <w:sz w:val="16"/>
        </w:rPr>
        <w:t>Core Earnings adjustments to GAAP:</w:t>
      </w:r>
      <w:r>
        <w:rPr>
          <w:rFonts w:ascii="Times New Roman" w:hAnsi="Times New Roman"/>
          <w:color w:val="000000"/>
          <w:sz w:val="20"/>
        </w:rPr>
        <w:t xml:space="preserve"> </w:t>
      </w:r>
    </w:p>
    <w:tbl>
      <w:tblPr>
        <w:tblW w:w="7309" w:type="dxa"/>
        <w:jc w:val="left"/>
        <w:tblInd w:w="0" w:type="dxa"/>
        <w:tblLayout w:type="fixed"/>
        <w:tblCellMar>
          <w:top w:w="28" w:type="dxa"/>
          <w:left w:w="28" w:type="dxa"/>
          <w:bottom w:w="28" w:type="dxa"/>
          <w:right w:w="28" w:type="dxa"/>
        </w:tblCellMar>
      </w:tblPr>
      <w:tblGrid>
        <w:gridCol w:w="4261"/>
        <w:gridCol w:w="146"/>
        <w:gridCol w:w="293"/>
        <w:gridCol w:w="562"/>
        <w:gridCol w:w="146"/>
        <w:gridCol w:w="146"/>
        <w:gridCol w:w="293"/>
        <w:gridCol w:w="562"/>
        <w:gridCol w:w="151"/>
        <w:gridCol w:w="146"/>
        <w:gridCol w:w="181"/>
        <w:gridCol w:w="226"/>
        <w:gridCol w:w="19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6"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QUARTER ENDED JUNE 30, 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Derivative</w:t>
              <w:br/>
              <w:t>Accounting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Goodwill and</w:t>
              <w:br/>
              <w:t>Acquired</w:t>
              <w:br/>
              <w:t>Intangibles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 (loss) after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Goodwill and acquired intangible asset impairment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Income taxes are based on a percentage of net income before tax for the individual reportable segment.</w:t>
      </w:r>
    </w:p>
    <w:p>
      <w:pPr>
        <w:pStyle w:val="TextBody"/>
        <w:bidi w:val="0"/>
        <w:jc w:val="right"/>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8"/>
        <w:gridCol w:w="146"/>
        <w:gridCol w:w="181"/>
        <w:gridCol w:w="451"/>
        <w:gridCol w:w="146"/>
        <w:gridCol w:w="146"/>
        <w:gridCol w:w="206"/>
        <w:gridCol w:w="395"/>
        <w:gridCol w:w="151"/>
        <w:gridCol w:w="146"/>
        <w:gridCol w:w="299"/>
        <w:gridCol w:w="572"/>
        <w:gridCol w:w="151"/>
        <w:gridCol w:w="146"/>
        <w:gridCol w:w="293"/>
        <w:gridCol w:w="563"/>
        <w:gridCol w:w="151"/>
        <w:gridCol w:w="146"/>
        <w:gridCol w:w="206"/>
        <w:gridCol w:w="395"/>
        <w:gridCol w:w="146"/>
        <w:gridCol w:w="146"/>
        <w:gridCol w:w="238"/>
        <w:gridCol w:w="456"/>
        <w:gridCol w:w="146"/>
        <w:gridCol w:w="146"/>
        <w:gridCol w:w="233"/>
        <w:gridCol w:w="447"/>
        <w:gridCol w:w="146"/>
        <w:gridCol w:w="146"/>
        <w:gridCol w:w="248"/>
        <w:gridCol w:w="476"/>
        <w:gridCol w:w="146"/>
        <w:gridCol w:w="146"/>
        <w:gridCol w:w="181"/>
        <w:gridCol w:w="346"/>
        <w:gridCol w:w="294"/>
      </w:tblGrid>
      <w:tr>
        <w:trPr/>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7" w:type="dxa"/>
            <w:gridSpan w:val="34"/>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2026</w:t>
            </w:r>
          </w:p>
        </w:tc>
        <w:tc>
          <w:tcPr>
            <w:tcW w:w="29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35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Reportable Segments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Reclassi-</w:t>
              <w:br/>
              <w:t>fications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Additions/</w:t>
              <w:br/>
              <w:t>(Subtractions)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Total</w:t>
              <w:br/>
              <w:t>Adjustments</w:t>
            </w:r>
            <w:r>
              <w:rPr>
                <w:rFonts w:ascii="Arial" w:hAnsi="Arial"/>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Core</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Consumer Lending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Federal Education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Business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Less: provisions for loan</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 after provisions</w:t>
              <w:br/>
              <w:t>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Servicing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Asset recovery and</w:t>
              <w:br/>
              <w:t>   business processing</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Direct operating</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Unallocated shared</w:t>
              <w:br/>
              <w:t>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Goodwill and acquired</w:t>
              <w:br/>
              <w:t>   intangible asset</w:t>
              <w:br/>
              <w:t xml:space="preserve">   impairment and </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Restructuring/other</w:t>
              <w:br/>
              <w:t>   reorganization</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w:t>
              <w:br/>
              <w:t>   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Income tax expense</w:t>
              <w:br/>
              <w:t>   (benefit)</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pBdr>
          <w:bottom w:val="single" w:sz="6" w:space="1" w:color="000000"/>
        </w:pBdr>
        <w:bidi w:val="0"/>
        <w:spacing w:before="0" w:after="60"/>
        <w:ind w:left="0" w:right="9504" w:hanging="720"/>
        <w:jc w:val="left"/>
        <w:rPr/>
      </w:pPr>
      <w:r>
        <w:rPr/>
        <w:t> </w:t>
      </w:r>
    </w:p>
    <w:p>
      <w:pPr>
        <w:pStyle w:val="TextBody"/>
        <w:pBdr/>
        <w:bidi w:val="0"/>
        <w:ind w:left="0" w:right="0" w:hanging="245"/>
        <w:jc w:val="left"/>
        <w:rPr>
          <w:rFonts w:ascii="Times New Roman" w:hAnsi="Times New Roman"/>
          <w:sz w:val="20"/>
        </w:rPr>
      </w:pPr>
      <w:r>
        <w:rPr>
          <w:rFonts w:ascii="Arial" w:hAnsi="Arial"/>
          <w:color w:val="000000"/>
          <w:sz w:val="9"/>
        </w:rPr>
        <w:t xml:space="preserve">(1) </w:t>
      </w:r>
      <w:r>
        <w:rPr>
          <w:rFonts w:ascii="Arial" w:hAnsi="Arial"/>
          <w:color w:val="000000"/>
          <w:sz w:val="16"/>
        </w:rPr>
        <w:t>Core Earnings adjustments to GAAP:</w:t>
      </w:r>
      <w:r>
        <w:rPr>
          <w:rFonts w:ascii="Times New Roman" w:hAnsi="Times New Roman"/>
          <w:color w:val="000000"/>
          <w:sz w:val="20"/>
        </w:rPr>
        <w:t xml:space="preserve"> </w:t>
      </w:r>
    </w:p>
    <w:p>
      <w:pPr>
        <w:pStyle w:val="TextBody"/>
        <w:pBdr/>
        <w:bidi w:val="0"/>
        <w:ind w:left="0" w:right="0" w:hanging="245"/>
        <w:jc w:val="left"/>
        <w:rPr/>
      </w:pPr>
      <w:r>
        <w:rPr/>
        <w:t> </w:t>
      </w:r>
    </w:p>
    <w:tbl>
      <w:tblPr>
        <w:tblW w:w="7374" w:type="dxa"/>
        <w:jc w:val="left"/>
        <w:tblInd w:w="0" w:type="dxa"/>
        <w:tblLayout w:type="fixed"/>
        <w:tblCellMar>
          <w:top w:w="28" w:type="dxa"/>
          <w:left w:w="28" w:type="dxa"/>
          <w:bottom w:w="28" w:type="dxa"/>
          <w:right w:w="28" w:type="dxa"/>
        </w:tblCellMar>
      </w:tblPr>
      <w:tblGrid>
        <w:gridCol w:w="4261"/>
        <w:gridCol w:w="146"/>
        <w:gridCol w:w="288"/>
        <w:gridCol w:w="552"/>
        <w:gridCol w:w="151"/>
        <w:gridCol w:w="146"/>
        <w:gridCol w:w="293"/>
        <w:gridCol w:w="562"/>
        <w:gridCol w:w="151"/>
        <w:gridCol w:w="146"/>
        <w:gridCol w:w="181"/>
        <w:gridCol w:w="301"/>
        <w:gridCol w:w="19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1"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2026</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Net</w:t>
            </w:r>
            <w:r>
              <w:rPr>
                <w:rFonts w:ascii="Times New Roman" w:hAnsi="Times New Roman"/>
                <w:color w:val="000000"/>
                <w:sz w:val="12"/>
              </w:rPr>
              <w:t xml:space="preserve"> </w:t>
            </w:r>
            <w:r>
              <w:rPr>
                <w:rFonts w:ascii="Times New Roman" w:hAnsi="Times New Roman"/>
                <w:b/>
                <w:color w:val="000000"/>
                <w:sz w:val="12"/>
              </w:rPr>
              <w:t>Impact of</w:t>
              <w:br/>
              <w:t>Derivative</w:t>
              <w:br/>
              <w:t>Accounting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Goodwill and</w:t>
              <w:br/>
              <w:t>Acquired</w:t>
              <w:br/>
              <w:t>Intangibles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 (loss) after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Goodwill and acquired intangible asset impairment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Income taxes are based on a percentage of net income before tax for the individual reportable segment.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7"/>
        <w:gridCol w:w="146"/>
        <w:gridCol w:w="181"/>
        <w:gridCol w:w="451"/>
        <w:gridCol w:w="146"/>
        <w:gridCol w:w="146"/>
        <w:gridCol w:w="206"/>
        <w:gridCol w:w="395"/>
        <w:gridCol w:w="151"/>
        <w:gridCol w:w="146"/>
        <w:gridCol w:w="299"/>
        <w:gridCol w:w="572"/>
        <w:gridCol w:w="151"/>
        <w:gridCol w:w="146"/>
        <w:gridCol w:w="283"/>
        <w:gridCol w:w="543"/>
        <w:gridCol w:w="151"/>
        <w:gridCol w:w="146"/>
        <w:gridCol w:w="206"/>
        <w:gridCol w:w="395"/>
        <w:gridCol w:w="146"/>
        <w:gridCol w:w="146"/>
        <w:gridCol w:w="237"/>
        <w:gridCol w:w="455"/>
        <w:gridCol w:w="146"/>
        <w:gridCol w:w="146"/>
        <w:gridCol w:w="233"/>
        <w:gridCol w:w="446"/>
        <w:gridCol w:w="151"/>
        <w:gridCol w:w="146"/>
        <w:gridCol w:w="247"/>
        <w:gridCol w:w="475"/>
        <w:gridCol w:w="146"/>
        <w:gridCol w:w="146"/>
        <w:gridCol w:w="181"/>
        <w:gridCol w:w="376"/>
        <w:gridCol w:w="295"/>
      </w:tblGrid>
      <w:tr>
        <w:trPr/>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7" w:type="dxa"/>
            <w:gridSpan w:val="34"/>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2025</w:t>
            </w:r>
          </w:p>
        </w:tc>
        <w:tc>
          <w:tcPr>
            <w:tcW w:w="29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35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Reportable Segments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Reclassi-</w:t>
              <w:br/>
              <w:t>fications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Additions/</w:t>
              <w:br/>
              <w:t>(Subtractions)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Total</w:t>
              <w:br/>
              <w:t xml:space="preserve">Adjustments </w:t>
            </w:r>
            <w:r>
              <w:rPr>
                <w:rFonts w:ascii="Arial" w:hAnsi="Arial"/>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Core</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Consumer Lending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Federal Education Loans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Business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Other</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Education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Less: provisions for loan</w:t>
              <w:br/>
              <w: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w:t>
              <w:br/>
              <w:t>   (loss) after provisions</w:t>
              <w:br/>
              <w:t>   for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Servicing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Asset recovery and</w:t>
              <w:br/>
              <w:t>   business processing</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Other revenue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Direct operating</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Unallocated shared</w:t>
              <w:br/>
              <w:t>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Goodwill and acquired</w:t>
              <w:br/>
              <w:t>   intangible asset</w:t>
              <w:br/>
              <w:t xml:space="preserve">   impairment and </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4"/>
              </w:rPr>
            </w:pPr>
            <w:r>
              <w:rPr>
                <w:rFonts w:ascii="Arial" w:hAnsi="Arial"/>
                <w:color w:val="000000"/>
                <w:sz w:val="14"/>
              </w:rPr>
              <w:t>Restructuring/other</w:t>
              <w:br/>
              <w:t>   reorganization</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w:t>
              <w:br/>
              <w:t>   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Income tax expense</w:t>
              <w:br/>
              <w:t>   (benefit)</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pBdr>
          <w:bottom w:val="single" w:sz="6" w:space="1" w:color="000000"/>
        </w:pBdr>
        <w:bidi w:val="0"/>
        <w:spacing w:before="0" w:after="60"/>
        <w:ind w:left="0" w:right="9504" w:hanging="720"/>
        <w:jc w:val="left"/>
        <w:rPr/>
      </w:pPr>
      <w:r>
        <w:rPr/>
        <w:t> </w:t>
      </w:r>
    </w:p>
    <w:p>
      <w:pPr>
        <w:pStyle w:val="TextBody"/>
        <w:pBdr/>
        <w:bidi w:val="0"/>
        <w:ind w:left="0" w:right="0" w:hanging="245"/>
        <w:jc w:val="left"/>
        <w:rPr>
          <w:rFonts w:ascii="Times New Roman" w:hAnsi="Times New Roman"/>
          <w:sz w:val="20"/>
        </w:rPr>
      </w:pPr>
      <w:r>
        <w:rPr>
          <w:rFonts w:ascii="Arial" w:hAnsi="Arial"/>
          <w:color w:val="000000"/>
          <w:sz w:val="9"/>
        </w:rPr>
        <w:t xml:space="preserve">(1) </w:t>
      </w:r>
      <w:r>
        <w:rPr>
          <w:rFonts w:ascii="Arial" w:hAnsi="Arial"/>
          <w:color w:val="000000"/>
          <w:sz w:val="16"/>
        </w:rPr>
        <w:t>Core Earnings adjustments to GAAP:</w:t>
      </w:r>
      <w:r>
        <w:rPr>
          <w:rFonts w:ascii="Times New Roman" w:hAnsi="Times New Roman"/>
          <w:color w:val="000000"/>
          <w:sz w:val="20"/>
        </w:rPr>
        <w:t xml:space="preserve"> </w:t>
      </w:r>
    </w:p>
    <w:p>
      <w:pPr>
        <w:pStyle w:val="TextBody"/>
        <w:bidi w:val="0"/>
        <w:jc w:val="left"/>
        <w:rPr/>
      </w:pPr>
      <w:r>
        <w:rPr/>
        <w:t> </w:t>
      </w:r>
    </w:p>
    <w:tbl>
      <w:tblPr>
        <w:tblW w:w="7339" w:type="dxa"/>
        <w:jc w:val="left"/>
        <w:tblInd w:w="0" w:type="dxa"/>
        <w:tblLayout w:type="fixed"/>
        <w:tblCellMar>
          <w:top w:w="28" w:type="dxa"/>
          <w:left w:w="28" w:type="dxa"/>
          <w:bottom w:w="28" w:type="dxa"/>
          <w:right w:w="28" w:type="dxa"/>
        </w:tblCellMar>
      </w:tblPr>
      <w:tblGrid>
        <w:gridCol w:w="4261"/>
        <w:gridCol w:w="146"/>
        <w:gridCol w:w="293"/>
        <w:gridCol w:w="562"/>
        <w:gridCol w:w="146"/>
        <w:gridCol w:w="146"/>
        <w:gridCol w:w="293"/>
        <w:gridCol w:w="562"/>
        <w:gridCol w:w="151"/>
        <w:gridCol w:w="146"/>
        <w:gridCol w:w="181"/>
        <w:gridCol w:w="256"/>
        <w:gridCol w:w="19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6"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u w:val="single"/>
              </w:rPr>
            </w:pPr>
            <w:r>
              <w:rPr>
                <w:rFonts w:ascii="Arial" w:hAnsi="Arial"/>
                <w:b/>
                <w:color w:val="000000"/>
                <w:sz w:val="12"/>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Derivative</w:t>
              <w:br/>
              <w:t>Accounting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Impact of</w:t>
              <w:br/>
              <w:t>Goodwill and</w:t>
              <w:br/>
              <w:t>Acquired</w:t>
              <w:br/>
              <w:t>Intangibles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interest income (loss) after provisions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Goodwill and acquired intangible asset impairment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Income taxes are based on a percentage of net income before tax for the individual reportable segment.</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following discussion summarizes the differences between GAAP and Core Earnings net income and details each specific adjustment required to reconcile our GAAP earnings to our Core Earnings segment presentation.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3"/>
        <w:gridCol w:w="146"/>
        <w:gridCol w:w="398"/>
        <w:gridCol w:w="703"/>
        <w:gridCol w:w="166"/>
        <w:gridCol w:w="146"/>
        <w:gridCol w:w="427"/>
        <w:gridCol w:w="759"/>
        <w:gridCol w:w="166"/>
        <w:gridCol w:w="146"/>
        <w:gridCol w:w="444"/>
        <w:gridCol w:w="652"/>
        <w:gridCol w:w="166"/>
        <w:gridCol w:w="146"/>
        <w:gridCol w:w="398"/>
        <w:gridCol w:w="703"/>
        <w:gridCol w:w="202"/>
        <w:gridCol w:w="178"/>
        <w:gridCol w:w="398"/>
        <w:gridCol w:w="703"/>
        <w:gridCol w:w="215"/>
      </w:tblGrid>
      <w:tr>
        <w:trPr/>
        <w:tc>
          <w:tcPr>
            <w:tcW w:w="2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7"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QUARTERS ENDED</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impact of derivative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 xml:space="preserve">Net impact of goodwill and acquired </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Core Earnings adjustments to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Core Earnings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spacing w:before="120" w:after="283"/>
        <w:ind w:left="0" w:right="0" w:hanging="612"/>
        <w:jc w:val="left"/>
        <w:rPr/>
      </w:pPr>
      <w:r>
        <w:rPr/>
        <w:t> </w:t>
      </w:r>
    </w:p>
    <w:p>
      <w:pPr>
        <w:pStyle w:val="TextBody"/>
        <w:pBdr/>
        <w:bidi w:val="0"/>
        <w:spacing w:before="120" w:after="283"/>
        <w:ind w:left="0" w:right="0" w:hanging="504"/>
        <w:jc w:val="left"/>
        <w:rPr>
          <w:rFonts w:ascii="Times New Roman" w:hAnsi="Times New Roman"/>
          <w:sz w:val="20"/>
        </w:rPr>
      </w:pPr>
      <w:r>
        <w:rPr>
          <w:rFonts w:ascii="Arial" w:hAnsi="Arial"/>
          <w:b/>
          <w:color w:val="000000"/>
          <w:sz w:val="20"/>
        </w:rPr>
        <w:t>(1)</w:t>
      </w:r>
      <w:r>
        <w:rPr>
          <w:rFonts w:ascii="Times New Roman" w:hAnsi="Times New Roman"/>
          <w:color w:val="000000"/>
          <w:sz w:val="20"/>
        </w:rPr>
        <w:t xml:space="preserve"> </w:t>
      </w:r>
      <w:r>
        <w:rPr>
          <w:rFonts w:ascii="Arial" w:hAnsi="Arial"/>
          <w:b/>
          <w:color w:val="000000"/>
          <w:sz w:val="18"/>
        </w:rPr>
        <w:t>Derivative Accounting:</w:t>
      </w:r>
      <w:r>
        <w:rPr>
          <w:rFonts w:ascii="Times New Roman" w:hAnsi="Times New Roman"/>
          <w:color w:val="000000"/>
          <w:sz w:val="20"/>
        </w:rPr>
        <w:t xml:space="preserve"> </w:t>
      </w:r>
      <w:r>
        <w:rPr>
          <w:rFonts w:ascii="Arial" w:hAnsi="Arial"/>
          <w:color w:val="000000"/>
          <w:sz w:val="18"/>
        </w:rPr>
        <w:t>Core Earnings exclude periodic gains and losses that are caused by the mark-to-market valuations on derivatives that do not qualify for hedge 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In our Core Earnings presentation, we recognize the economic effect of these hedges, which generally results in any net settlement cash paid or received being recognized ratably as an interest expense or revenue over the hedged item’s life.</w:t>
      </w:r>
    </w:p>
    <w:p>
      <w:pPr>
        <w:pStyle w:val="TextBody"/>
        <w:bidi w:val="0"/>
        <w:jc w:val="right"/>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The table below quantifies the adjustments for derivative accounting between GAAP and Core Earnings net income.</w:t>
      </w:r>
      <w:r>
        <w:rPr>
          <w:rFonts w:ascii="Times New Roman" w:hAnsi="Times New Roman"/>
          <w:color w:val="000000"/>
          <w:sz w:val="20"/>
        </w:rPr>
        <w:t xml:space="preserve"> </w:t>
      </w:r>
    </w:p>
    <w:p>
      <w:pPr>
        <w:pStyle w:val="TextBody"/>
        <w:bidi w:val="0"/>
        <w:spacing w:before="120" w:after="283"/>
        <w:ind w:left="489"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075"/>
        <w:gridCol w:w="146"/>
        <w:gridCol w:w="467"/>
        <w:gridCol w:w="611"/>
        <w:gridCol w:w="166"/>
        <w:gridCol w:w="146"/>
        <w:gridCol w:w="420"/>
        <w:gridCol w:w="747"/>
        <w:gridCol w:w="166"/>
        <w:gridCol w:w="146"/>
        <w:gridCol w:w="467"/>
        <w:gridCol w:w="611"/>
        <w:gridCol w:w="166"/>
        <w:gridCol w:w="146"/>
        <w:gridCol w:w="392"/>
        <w:gridCol w:w="692"/>
        <w:gridCol w:w="196"/>
        <w:gridCol w:w="172"/>
        <w:gridCol w:w="438"/>
        <w:gridCol w:w="639"/>
        <w:gridCol w:w="196"/>
      </w:tblGrid>
      <w:tr>
        <w:trPr/>
        <w:tc>
          <w:tcPr>
            <w:tcW w:w="3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Earnings derivative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(Gains) losses on derivative and hedging </w:t>
              <w:br/>
              <w:t>   activities, net, included in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Plus: (Gains) losses on fair value hedging </w:t>
              <w:br/>
              <w:t>   activity included in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(gains) losses in 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Plus: Reclassification of settlement income </w:t>
              <w:br/>
              <w:t xml:space="preserve">   (expense) on derivative and hedging </w:t>
              <w:br/>
              <w:t>   activities, net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Mark-to-market (gains) losses on derivative </w:t>
              <w:br/>
              <w:t>   and hedging activities, net</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Other derivative accounting adjustments</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net impact of derivative accounting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9504" w:hanging="720"/>
        <w:jc w:val="left"/>
        <w:rPr>
          <w:rFonts w:ascii="Arial" w:hAnsi="Arial"/>
          <w:color w:val="000000"/>
          <w:sz w:val="14"/>
        </w:rPr>
      </w:pPr>
      <w:r>
        <w:rPr>
          <w:rFonts w:ascii="Arial" w:hAnsi="Arial"/>
          <w:color w:val="000000"/>
          <w:sz w:val="14"/>
        </w:rPr>
        <w:t>(1)</w:t>
      </w:r>
    </w:p>
    <w:p>
      <w:pPr>
        <w:pStyle w:val="TextBody"/>
        <w:bidi w:val="0"/>
        <w:jc w:val="left"/>
        <w:rPr>
          <w:rFonts w:ascii="Arial" w:hAnsi="Arial"/>
          <w:color w:val="000000"/>
          <w:sz w:val="16"/>
        </w:rPr>
      </w:pPr>
      <w:r>
        <w:rPr>
          <w:rFonts w:ascii="Arial" w:hAnsi="Arial"/>
          <w:color w:val="000000"/>
          <w:sz w:val="16"/>
        </w:rPr>
        <w:t>Derivative accounting requires net settlement income/expense on derivatives that do not qualify as hedges to be recorded in a separate income</w:t>
        <w:br/>
        <w:t>statement line item below net interest income. Under our Core Earnings presentation, these settlements are reclassified to the income statement line item of the economically hedged item. For our Core Earnings net interest income, this would primarily include reclassifying the net settlement</w:t>
        <w:br/>
        <w:t>amounts related to certain of our interest rate swaps to debt interest expense. The table below summarizes these net settlements on derivative and</w:t>
        <w:br/>
        <w:t xml:space="preserve">hedging activities and the associated reclassification on a Core Earnings basis. </w:t>
      </w:r>
    </w:p>
    <w:p>
      <w:pPr>
        <w:pStyle w:val="TextBody"/>
        <w:bidi w:val="0"/>
        <w:ind w:left="611"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697"/>
        <w:gridCol w:w="146"/>
        <w:gridCol w:w="580"/>
        <w:gridCol w:w="580"/>
        <w:gridCol w:w="146"/>
        <w:gridCol w:w="146"/>
        <w:gridCol w:w="625"/>
        <w:gridCol w:w="625"/>
        <w:gridCol w:w="146"/>
        <w:gridCol w:w="146"/>
        <w:gridCol w:w="580"/>
        <w:gridCol w:w="580"/>
        <w:gridCol w:w="146"/>
        <w:gridCol w:w="146"/>
        <w:gridCol w:w="580"/>
        <w:gridCol w:w="579"/>
        <w:gridCol w:w="201"/>
        <w:gridCol w:w="201"/>
        <w:gridCol w:w="472"/>
        <w:gridCol w:w="688"/>
        <w:gridCol w:w="195"/>
      </w:tblGrid>
      <w:tr>
        <w:trPr/>
        <w:tc>
          <w:tcPr>
            <w:tcW w:w="2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4"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1"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xml:space="preserve">Reclassification of settlements </w:t>
              <w:br/>
              <w:t xml:space="preserve">   on derivative and hedging </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Net settlement income (expense) </w:t>
              <w:br/>
              <w:t xml:space="preserve">   on interest rate swaps </w:t>
              <w:br/>
              <w:t>   reclassified to 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Total reclassifications of settlement </w:t>
              <w:br/>
              <w:t xml:space="preserve">   income (expense) on derivative </w:t>
              <w:br/>
              <w:t>   and hedging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pBdr/>
        <w:bidi w:val="0"/>
        <w:spacing w:before="120" w:after="283"/>
        <w:ind w:left="0" w:right="0" w:hanging="245"/>
        <w:jc w:val="left"/>
        <w:rPr>
          <w:rFonts w:ascii="Times New Roman" w:hAnsi="Times New Roman"/>
          <w:sz w:val="20"/>
        </w:rPr>
      </w:pPr>
      <w:r>
        <w:rPr>
          <w:rFonts w:ascii="Arial" w:hAnsi="Arial"/>
          <w:color w:val="000000"/>
          <w:sz w:val="9"/>
        </w:rPr>
        <w:t xml:space="preserve">(2) </w:t>
      </w:r>
      <w:r>
        <w:rPr>
          <w:rFonts w:ascii="Times New Roman" w:hAnsi="Times New Roman"/>
          <w:color w:val="000000"/>
          <w:sz w:val="20"/>
        </w:rPr>
        <w:t>“</w:t>
      </w:r>
      <w:r>
        <w:rPr>
          <w:rFonts w:ascii="Arial" w:hAnsi="Arial"/>
          <w:color w:val="000000"/>
          <w:sz w:val="16"/>
        </w:rPr>
        <w:t>Mark-to-market (gains) on derivative and hedging activities, net” is comprised of the following:</w:t>
      </w:r>
      <w:r>
        <w:rPr>
          <w:rFonts w:ascii="Times New Roman" w:hAnsi="Times New Roman"/>
          <w:color w:val="000000"/>
          <w:sz w:val="20"/>
        </w:rPr>
        <w:t xml:space="preserve"> </w:t>
      </w:r>
    </w:p>
    <w:tbl>
      <w:tblPr>
        <w:tblW w:w="9877" w:type="dxa"/>
        <w:jc w:val="left"/>
        <w:tblInd w:w="0" w:type="dxa"/>
        <w:tblLayout w:type="fixed"/>
        <w:tblCellMar>
          <w:top w:w="28" w:type="dxa"/>
          <w:left w:w="28" w:type="dxa"/>
          <w:bottom w:w="28" w:type="dxa"/>
          <w:right w:w="28" w:type="dxa"/>
        </w:tblCellMar>
      </w:tblPr>
      <w:tblGrid>
        <w:gridCol w:w="2266"/>
        <w:gridCol w:w="146"/>
        <w:gridCol w:w="423"/>
        <w:gridCol w:w="747"/>
        <w:gridCol w:w="166"/>
        <w:gridCol w:w="146"/>
        <w:gridCol w:w="454"/>
        <w:gridCol w:w="806"/>
        <w:gridCol w:w="166"/>
        <w:gridCol w:w="146"/>
        <w:gridCol w:w="474"/>
        <w:gridCol w:w="696"/>
        <w:gridCol w:w="166"/>
        <w:gridCol w:w="146"/>
        <w:gridCol w:w="423"/>
        <w:gridCol w:w="747"/>
        <w:gridCol w:w="201"/>
        <w:gridCol w:w="177"/>
        <w:gridCol w:w="475"/>
        <w:gridCol w:w="695"/>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4"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Fair value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Other</w:t>
            </w:r>
            <w:r>
              <w:rPr>
                <w:rFonts w:ascii="Times New Roman" w:hAnsi="Times New Roman"/>
                <w:color w:val="000000"/>
                <w:sz w:val="16"/>
              </w:rPr>
              <w:t> </w:t>
            </w:r>
            <w:r>
              <w:rPr>
                <w:rFonts w:ascii="Arial" w:hAnsi="Arial"/>
                <w:color w:val="000000"/>
                <w:sz w:val="11"/>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Total mark-to-market (gains) </w:t>
              <w:br/>
              <w:t xml:space="preserve">   losses on derivative and </w:t>
              <w:br/>
              <w:t>   hedging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ind w:left="504" w:right="9504" w:hanging="720"/>
        <w:jc w:val="left"/>
        <w:rPr/>
      </w:pPr>
      <w:r>
        <w:rPr/>
        <w:t> </w:t>
      </w:r>
    </w:p>
    <w:p>
      <w:pPr>
        <w:pStyle w:val="TextBody"/>
        <w:pBdr/>
        <w:bidi w:val="0"/>
        <w:ind w:left="504" w:right="0" w:hanging="144"/>
        <w:jc w:val="left"/>
        <w:rPr>
          <w:rFonts w:ascii="Times New Roman" w:hAnsi="Times New Roman"/>
          <w:sz w:val="20"/>
        </w:rPr>
      </w:pPr>
      <w:r>
        <w:rPr>
          <w:rFonts w:ascii="Arial" w:hAnsi="Arial"/>
          <w:color w:val="000000"/>
          <w:sz w:val="10"/>
        </w:rPr>
        <w:t xml:space="preserve">(a) </w:t>
      </w:r>
      <w:r>
        <w:rPr>
          <w:rFonts w:ascii="Arial" w:hAnsi="Arial"/>
          <w:color w:val="000000"/>
          <w:sz w:val="16"/>
        </w:rPr>
        <w:t xml:space="preserve">Primarily derivatives that are used to economically hedge the origination of fixed rate Private Education Loans that don’t qualify for hedge accounting. We believe that these derivatives are effective economic hedges,and as such, are a critical element of our interest rate risk management strategy. </w:t>
      </w:r>
    </w:p>
    <w:p>
      <w:pPr>
        <w:pStyle w:val="TextBody"/>
        <w:pBdr/>
        <w:bidi w:val="0"/>
        <w:spacing w:before="120" w:after="283"/>
        <w:ind w:left="0" w:right="0" w:hanging="245"/>
        <w:jc w:val="left"/>
        <w:rPr>
          <w:rFonts w:ascii="Times New Roman" w:hAnsi="Times New Roman"/>
          <w:sz w:val="20"/>
        </w:rPr>
      </w:pPr>
      <w:r>
        <w:rPr>
          <w:rFonts w:ascii="Arial" w:hAnsi="Arial"/>
          <w:color w:val="000000"/>
          <w:sz w:val="9"/>
        </w:rPr>
        <w:t xml:space="preserve">(3) </w:t>
      </w:r>
      <w:r>
        <w:rPr>
          <w:rFonts w:ascii="Arial" w:hAnsi="Arial"/>
          <w:color w:val="000000"/>
          <w:sz w:val="16"/>
        </w:rPr>
        <w:t>Other derivative accounting adjustments consist of adjustments related to certain terminated derivatives that did not receive hedge accounting treatment under GAAP but were economic hedges under Core Earnings and, as a result, such gains or losses are amortized into Core Earnings over the life of the hedged item:</w:t>
      </w:r>
      <w:r>
        <w:rPr>
          <w:rFonts w:ascii="Times New Roman" w:hAnsi="Times New Roman"/>
          <w:color w:val="000000"/>
          <w:sz w:val="20"/>
        </w:rPr>
        <w:t xml:space="preserve"> </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i/>
          <w:color w:val="000000"/>
          <w:sz w:val="18"/>
        </w:rPr>
        <w:t>Cumulative Impact of Derivative Accounting under GAAP compared to Core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As of June 30, 2026, derivative accounting has decreased GAAP equity by approximately $17 million as a result of cumulative net mark-to-market losses (after tax) recognized under GAAP, but not in Core Earnings. The following table rolls forward the cumulative impact to GAAP equity due to these after-tax mark-to-market net gains and losses related to derivative accounting.</w:t>
      </w:r>
      <w:r>
        <w:rPr>
          <w:rFonts w:ascii="Times New Roman" w:hAnsi="Times New Roman"/>
          <w:color w:val="000000"/>
          <w:sz w:val="20"/>
        </w:rPr>
        <w:t xml:space="preserve"> </w:t>
      </w:r>
    </w:p>
    <w:p>
      <w:pPr>
        <w:pStyle w:val="TextBody"/>
        <w:bidi w:val="0"/>
        <w:spacing w:before="120" w:after="283"/>
        <w:ind w:left="1224" w:right="0" w:hanging="0"/>
        <w:jc w:val="left"/>
        <w:rPr/>
      </w:pPr>
      <w:r>
        <w:rPr/>
        <w:t> </w:t>
      </w:r>
    </w:p>
    <w:tbl>
      <w:tblPr>
        <w:tblW w:w="10175" w:type="dxa"/>
        <w:jc w:val="left"/>
        <w:tblInd w:w="0" w:type="dxa"/>
        <w:tblLayout w:type="fixed"/>
        <w:tblCellMar>
          <w:top w:w="28" w:type="dxa"/>
          <w:left w:w="28" w:type="dxa"/>
          <w:bottom w:w="28" w:type="dxa"/>
          <w:right w:w="28" w:type="dxa"/>
        </w:tblCellMar>
      </w:tblPr>
      <w:tblGrid>
        <w:gridCol w:w="2581"/>
        <w:gridCol w:w="146"/>
        <w:gridCol w:w="423"/>
        <w:gridCol w:w="747"/>
        <w:gridCol w:w="166"/>
        <w:gridCol w:w="146"/>
        <w:gridCol w:w="454"/>
        <w:gridCol w:w="806"/>
        <w:gridCol w:w="166"/>
        <w:gridCol w:w="146"/>
        <w:gridCol w:w="423"/>
        <w:gridCol w:w="747"/>
        <w:gridCol w:w="166"/>
        <w:gridCol w:w="146"/>
        <w:gridCol w:w="423"/>
        <w:gridCol w:w="747"/>
        <w:gridCol w:w="192"/>
        <w:gridCol w:w="169"/>
        <w:gridCol w:w="423"/>
        <w:gridCol w:w="747"/>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4"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Beginning impact of derivative </w:t>
              <w:br/>
              <w:t>   accounting on GAAP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Net impact of net mark-to-market </w:t>
              <w:br/>
              <w:t xml:space="preserve">   gains (losses) under derivative </w:t>
              <w:br/>
              <w:t>   accounting</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2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Ending impact of derivative </w:t>
              <w:br/>
              <w:t>   accounting on GAAP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0" w:after="0"/>
        <w:ind w:left="0" w:right="9504" w:hanging="720"/>
        <w:jc w:val="left"/>
        <w:rPr>
          <w:rFonts w:ascii="Arial" w:hAnsi="Arial"/>
          <w:color w:val="000000"/>
          <w:sz w:val="14"/>
        </w:rPr>
      </w:pPr>
      <w:r>
        <w:rPr>
          <w:rFonts w:ascii="Arial" w:hAnsi="Arial"/>
          <w:color w:val="000000"/>
          <w:sz w:val="14"/>
        </w:rPr>
        <w:t>(1)</w:t>
      </w:r>
    </w:p>
    <w:p>
      <w:pPr>
        <w:pStyle w:val="TextBody"/>
        <w:bidi w:val="0"/>
        <w:jc w:val="left"/>
        <w:rPr>
          <w:rFonts w:ascii="Arial" w:hAnsi="Arial"/>
          <w:color w:val="000000"/>
          <w:sz w:val="16"/>
        </w:rPr>
      </w:pPr>
      <w:r>
        <w:rPr>
          <w:rFonts w:ascii="Arial" w:hAnsi="Arial"/>
          <w:color w:val="000000"/>
          <w:sz w:val="16"/>
        </w:rPr>
        <w:t xml:space="preserve">Net impact of net mark-to-market gains (losses) under derivative accounting is composed of the following: </w:t>
      </w:r>
    </w:p>
    <w:tbl>
      <w:tblPr>
        <w:tblW w:w="10205" w:type="dxa"/>
        <w:jc w:val="left"/>
        <w:tblInd w:w="0" w:type="dxa"/>
        <w:tblLayout w:type="fixed"/>
        <w:tblCellMar>
          <w:top w:w="28" w:type="dxa"/>
          <w:left w:w="28" w:type="dxa"/>
          <w:bottom w:w="28" w:type="dxa"/>
          <w:right w:w="28" w:type="dxa"/>
        </w:tblCellMar>
      </w:tblPr>
      <w:tblGrid>
        <w:gridCol w:w="2778"/>
        <w:gridCol w:w="146"/>
        <w:gridCol w:w="459"/>
        <w:gridCol w:w="674"/>
        <w:gridCol w:w="166"/>
        <w:gridCol w:w="146"/>
        <w:gridCol w:w="497"/>
        <w:gridCol w:w="726"/>
        <w:gridCol w:w="166"/>
        <w:gridCol w:w="146"/>
        <w:gridCol w:w="491"/>
        <w:gridCol w:w="642"/>
        <w:gridCol w:w="166"/>
        <w:gridCol w:w="146"/>
        <w:gridCol w:w="460"/>
        <w:gridCol w:w="672"/>
        <w:gridCol w:w="199"/>
        <w:gridCol w:w="175"/>
        <w:gridCol w:w="410"/>
        <w:gridCol w:w="725"/>
        <w:gridCol w:w="215"/>
      </w:tblGrid>
      <w:tr>
        <w:trPr/>
        <w:tc>
          <w:tcPr>
            <w:tcW w:w="2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3"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Total pre-tax net impact of derivative </w:t>
              <w:br/>
              <w:t xml:space="preserve">   accounting recognized in net </w:t>
              <w:br/>
              <w:t>   income</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Tax and other impacts of derivative </w:t>
              <w:br/>
              <w:t>   accounting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Change in mark-to-market gains </w:t>
              <w:br/>
              <w:t xml:space="preserve">   (losses) on derivatives, net of tax </w:t>
              <w:br/>
              <w:t xml:space="preserve">   recognized in other comprehensive </w:t>
              <w:br/>
              <w: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Net impact of net mark-to-market </w:t>
              <w:br/>
              <w:t xml:space="preserve">   gains (losses) under derivative </w:t>
              <w:br/>
              <w:t>   accounting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pBdr/>
        <w:bidi w:val="0"/>
        <w:ind w:left="504" w:right="0" w:hanging="245"/>
        <w:jc w:val="left"/>
        <w:rPr>
          <w:rFonts w:ascii="Times New Roman" w:hAnsi="Times New Roman"/>
          <w:sz w:val="20"/>
        </w:rPr>
      </w:pPr>
      <w:r>
        <w:rPr>
          <w:rFonts w:ascii="Arial" w:hAnsi="Arial"/>
          <w:color w:val="000000"/>
          <w:sz w:val="9"/>
        </w:rPr>
        <w:t>(a)</w:t>
      </w:r>
      <w:r>
        <w:rPr>
          <w:rFonts w:ascii="Times New Roman" w:hAnsi="Times New Roman"/>
          <w:color w:val="000000"/>
          <w:sz w:val="20"/>
        </w:rPr>
        <w:t xml:space="preserve"> </w:t>
      </w:r>
      <w:r>
        <w:rPr>
          <w:rFonts w:ascii="Arial" w:hAnsi="Arial"/>
          <w:color w:val="000000"/>
          <w:sz w:val="16"/>
        </w:rPr>
        <w:t>See “Core Earnings derivative adjustments” table above.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18"/>
        </w:rPr>
        <w:t>Hedging Embedded Floor Income</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We use pay-fixed swaps and fixed rate debt to economically hedge embedded Floor Income in our FFELP loans. Historically, we have used these instruments on a periodic basis and depending upon market conditions and pricing, we may enter into additional hedges in the future. Under GAAP, the pay-fixed swaps are accounted for as cash flow hedges. The table below shows the amount of Hedged Floor Income that will be recognized in Core Earnings in future periods based on these hedge strategies.</w:t>
      </w:r>
    </w:p>
    <w:p>
      <w:pPr>
        <w:pStyle w:val="TextBody"/>
        <w:bidi w:val="0"/>
        <w:spacing w:before="120" w:after="283"/>
        <w:ind w:left="900" w:right="0" w:hanging="0"/>
        <w:jc w:val="left"/>
        <w:rPr/>
      </w:pPr>
      <w:r>
        <w:rPr/>
        <w:t> </w:t>
      </w:r>
    </w:p>
    <w:tbl>
      <w:tblPr>
        <w:tblW w:w="6742" w:type="dxa"/>
        <w:jc w:val="left"/>
        <w:tblInd w:w="0" w:type="dxa"/>
        <w:tblLayout w:type="fixed"/>
        <w:tblCellMar>
          <w:top w:w="28" w:type="dxa"/>
          <w:left w:w="28" w:type="dxa"/>
          <w:bottom w:w="28" w:type="dxa"/>
          <w:right w:w="28" w:type="dxa"/>
        </w:tblCellMar>
      </w:tblPr>
      <w:tblGrid>
        <w:gridCol w:w="3436"/>
        <w:gridCol w:w="146"/>
        <w:gridCol w:w="306"/>
        <w:gridCol w:w="459"/>
        <w:gridCol w:w="146"/>
        <w:gridCol w:w="146"/>
        <w:gridCol w:w="341"/>
        <w:gridCol w:w="514"/>
        <w:gridCol w:w="146"/>
        <w:gridCol w:w="146"/>
        <w:gridCol w:w="306"/>
        <w:gridCol w:w="459"/>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hedged Floor Income, net of tax</w:t>
            </w:r>
            <w:r>
              <w:rPr>
                <w:rFonts w:ascii="Arial" w:hAnsi="Arial"/>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idi w:val="0"/>
        <w:ind w:left="0" w:right="0" w:hanging="360"/>
        <w:jc w:val="left"/>
        <w:rPr>
          <w:rFonts w:ascii="Times New Roman" w:hAnsi="Times New Roman"/>
          <w:sz w:val="20"/>
        </w:rPr>
      </w:pPr>
      <w:r>
        <w:rPr>
          <w:rFonts w:ascii="Arial" w:hAnsi="Arial"/>
          <w:color w:val="000000"/>
          <w:sz w:val="9"/>
        </w:rPr>
        <w:t>(1)</w:t>
      </w:r>
      <w:r>
        <w:rPr>
          <w:rFonts w:ascii="Times New Roman" w:hAnsi="Times New Roman"/>
          <w:color w:val="000000"/>
          <w:sz w:val="20"/>
        </w:rPr>
        <w:t xml:space="preserve"> </w:t>
      </w:r>
      <w:r>
        <w:rPr>
          <w:rFonts w:ascii="Arial" w:hAnsi="Arial"/>
          <w:color w:val="000000"/>
          <w:sz w:val="16"/>
        </w:rPr>
        <w:t>$26 million, $31 million and $46 million on a pre-tax basis as of June 30, 2026, March 31, 2026, and June 30, 2025, respectively.</w:t>
      </w:r>
    </w:p>
    <w:p>
      <w:pPr>
        <w:pStyle w:val="TextBody"/>
        <w:pBdr/>
        <w:bidi w:val="0"/>
        <w:spacing w:before="0" w:after="20"/>
        <w:ind w:left="0" w:right="0" w:hanging="36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Of the $20 million as of June 30, 2026, approximately $7 million, $7 million and $6 million will be recognized as part of Core</w:t>
        <w:br/>
        <w:t>Earnings net income in the remainder of 2026, 2027 and 2028, respectively.</w:t>
      </w:r>
    </w:p>
    <w:p>
      <w:pPr>
        <w:pStyle w:val="TextBody"/>
        <w:pBdr/>
        <w:bidi w:val="0"/>
        <w:spacing w:before="0" w:after="20"/>
        <w:ind w:left="0" w:right="0" w:hanging="360"/>
        <w:jc w:val="left"/>
        <w:rPr/>
      </w:pPr>
      <w:r>
        <w:rPr/>
        <w:t> </w:t>
      </w:r>
    </w:p>
    <w:p>
      <w:pPr>
        <w:pStyle w:val="TextBody"/>
        <w:pBdr/>
        <w:bidi w:val="0"/>
        <w:spacing w:before="100" w:after="20"/>
        <w:ind w:left="0" w:right="0" w:hanging="360"/>
        <w:jc w:val="left"/>
        <w:rPr>
          <w:rFonts w:ascii="Times New Roman" w:hAnsi="Times New Roman"/>
          <w:sz w:val="20"/>
        </w:rPr>
      </w:pPr>
      <w:r>
        <w:rPr>
          <w:rFonts w:ascii="Arial" w:hAnsi="Arial"/>
          <w:b/>
          <w:color w:val="000000"/>
          <w:sz w:val="18"/>
        </w:rPr>
        <w:t>(2)</w:t>
      </w:r>
      <w:r>
        <w:rPr>
          <w:rFonts w:ascii="Times New Roman" w:hAnsi="Times New Roman"/>
          <w:color w:val="000000"/>
          <w:sz w:val="20"/>
        </w:rPr>
        <w:t xml:space="preserve"> </w:t>
      </w:r>
      <w:r>
        <w:rPr>
          <w:rFonts w:ascii="Arial" w:hAnsi="Arial"/>
          <w:b/>
          <w:color w:val="000000"/>
          <w:sz w:val="18"/>
        </w:rPr>
        <w:t xml:space="preserve">Goodwill and Acquired Intangible Assets: </w:t>
      </w:r>
      <w:r>
        <w:rPr>
          <w:rFonts w:ascii="Arial" w:hAnsi="Arial"/>
          <w:color w:val="000000"/>
          <w:sz w:val="18"/>
        </w:rPr>
        <w:t>Our Core Earnings exclude goodwill and intangible asset impairment and the amortization of acquired intangible assets. The following table summarizes the goodwill and acquired intangible asset adjustments.</w:t>
      </w:r>
    </w:p>
    <w:tbl>
      <w:tblPr>
        <w:tblW w:w="10205" w:type="dxa"/>
        <w:jc w:val="left"/>
        <w:tblInd w:w="0" w:type="dxa"/>
        <w:tblLayout w:type="fixed"/>
        <w:tblCellMar>
          <w:top w:w="28" w:type="dxa"/>
          <w:left w:w="28" w:type="dxa"/>
          <w:bottom w:w="28" w:type="dxa"/>
          <w:right w:w="28" w:type="dxa"/>
        </w:tblCellMar>
      </w:tblPr>
      <w:tblGrid>
        <w:gridCol w:w="2992"/>
        <w:gridCol w:w="146"/>
        <w:gridCol w:w="418"/>
        <w:gridCol w:w="687"/>
        <w:gridCol w:w="146"/>
        <w:gridCol w:w="146"/>
        <w:gridCol w:w="594"/>
        <w:gridCol w:w="594"/>
        <w:gridCol w:w="146"/>
        <w:gridCol w:w="146"/>
        <w:gridCol w:w="549"/>
        <w:gridCol w:w="549"/>
        <w:gridCol w:w="146"/>
        <w:gridCol w:w="146"/>
        <w:gridCol w:w="553"/>
        <w:gridCol w:w="546"/>
        <w:gridCol w:w="201"/>
        <w:gridCol w:w="201"/>
        <w:gridCol w:w="553"/>
        <w:gridCol w:w="546"/>
        <w:gridCol w:w="200"/>
      </w:tblGrid>
      <w:tr>
        <w:trPr/>
        <w:tc>
          <w:tcPr>
            <w:tcW w:w="2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5"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0"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Core Earnings goodwill and acquired </w:t>
              <w:br/>
              <w:t>   intangible asset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Tangible Equity and Adjusted Tangible Equity Ratio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Adjusted Tangible Equity measures the ratio of Navient’s Tangible Equity to its tangible assets. We adjust this ratio to exclude the assets and equity associated with our FFELP Loan portfolio because FFELP Loans are no longer originated and the FFELP Loan portfolio bears a 3% maximum loss exposure under the terms of the federal guaranty. Management believes that excluding this portfolio from the ratio enhances its usefulness to investors. Management uses this ratio, in addition to other metrics, for analysis and decision making related to capital allocation decisions. The Adjusted Tangible Equity Ratio is calculated as:</w:t>
      </w:r>
      <w:r>
        <w:rPr>
          <w:rFonts w:ascii="Times New Roman" w:hAnsi="Times New Roman"/>
          <w:color w:val="000000"/>
          <w:sz w:val="20"/>
        </w:rPr>
        <w:t xml:space="preserve"> </w:t>
      </w:r>
    </w:p>
    <w:p>
      <w:pPr>
        <w:pStyle w:val="TextBody"/>
        <w:bidi w:val="0"/>
        <w:jc w:val="left"/>
        <w:rPr/>
      </w:pPr>
      <w:r>
        <w:rPr/>
        <w:t> </w:t>
      </w:r>
    </w:p>
    <w:tbl>
      <w:tblPr>
        <w:tblW w:w="8842" w:type="dxa"/>
        <w:jc w:val="left"/>
        <w:tblInd w:w="0" w:type="dxa"/>
        <w:tblLayout w:type="fixed"/>
        <w:tblCellMar>
          <w:top w:w="28" w:type="dxa"/>
          <w:left w:w="28" w:type="dxa"/>
          <w:bottom w:w="28" w:type="dxa"/>
          <w:right w:w="28" w:type="dxa"/>
        </w:tblCellMar>
      </w:tblPr>
      <w:tblGrid>
        <w:gridCol w:w="3871"/>
        <w:gridCol w:w="146"/>
        <w:gridCol w:w="278"/>
        <w:gridCol w:w="892"/>
        <w:gridCol w:w="271"/>
        <w:gridCol w:w="146"/>
        <w:gridCol w:w="299"/>
        <w:gridCol w:w="961"/>
        <w:gridCol w:w="271"/>
        <w:gridCol w:w="146"/>
        <w:gridCol w:w="278"/>
        <w:gridCol w:w="892"/>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Navient Corporation's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Goodwill and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Tangible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Equity held for 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Tangible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Divided 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Goodwill and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FFELP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Tangible Equity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3. Allowance for Loan Losses Excluding Expected Future Recoveries on Previously Fully Charged-off Loans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allowance for loan losses on the Private Education Loan portfolio used for the three credit metrics below excludes the expected future recoveries on previously fully charged-off loans to better reflect the current expected credit losses remaining in connection with the loans on balance sheet that have not charged off. As of June 30, 2026, the $426 million Private Education Loan allowance for loan losses excluding expected future recoveries on previously fully charged-off loans represents the current expected credit losses that remain in connection with the $15,409 million Private Education Loan portfolio. The $163 million of expected future recoveries on previously fully charged-off loans, which is collected over an average 15-year period, mechanically is a reduction to the overall allowance for loan losses. However, it is not related to the $15,409 million Private Education Loan portfolio on our balance sheet and, as a result, management excludes this impact to the allowance to better evaluate and assess our overall credit loss coverage on the Private Education Loan portfolio. We believe this provides a more meaningful and holistic view of the available credit loss coverage on our non-charged-off Private Education Loan portfolio. We believe this information is useful to our investors, lenders and rating agencies.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Allowance for Loan Losses Metrics – Private Education Loans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1"/>
        <w:gridCol w:w="146"/>
        <w:gridCol w:w="252"/>
        <w:gridCol w:w="777"/>
        <w:gridCol w:w="256"/>
        <w:gridCol w:w="146"/>
        <w:gridCol w:w="267"/>
        <w:gridCol w:w="819"/>
        <w:gridCol w:w="256"/>
        <w:gridCol w:w="146"/>
        <w:gridCol w:w="252"/>
        <w:gridCol w:w="777"/>
        <w:gridCol w:w="256"/>
        <w:gridCol w:w="146"/>
        <w:gridCol w:w="252"/>
        <w:gridCol w:w="777"/>
        <w:gridCol w:w="256"/>
        <w:gridCol w:w="146"/>
        <w:gridCol w:w="252"/>
        <w:gridCol w:w="777"/>
        <w:gridCol w:w="408"/>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8" w:type="dxa"/>
            <w:gridSpan w:val="10"/>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QUARTERS ENDED</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6"/>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r>
          </w:p>
        </w:tc>
        <w:tc>
          <w:tcPr>
            <w:tcW w:w="4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u w:val="single"/>
              </w:rPr>
            </w:pPr>
            <w:r>
              <w:rPr>
                <w:rFonts w:ascii="Arial" w:hAnsi="Arial"/>
                <w:b/>
                <w:color w:val="000000"/>
                <w:sz w:val="15"/>
                <w:u w:val="single"/>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Allowance at end of period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Plus: expected future recoveries on previously fully </w:t>
              <w:br/>
              <w:t>   charged-off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xml:space="preserve">Allowance at end of period excluding expected </w:t>
              <w:br/>
              <w:t xml:space="preserve">   future recoveries on previously fully </w:t>
              <w:br/>
              <w:t xml:space="preserve">   charged-off loans (Non-GAAP Financial </w:t>
              <w:br/>
              <w:t>   Measure)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Ending total loans</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15,878</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Ending loans in repayment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15,267</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Allowance coverage of charge-offs (annualized)</w:t>
            </w:r>
            <w:r>
              <w:rPr>
                <w:rFonts w:ascii="Arial" w:hAnsi="Arial"/>
                <w:color w:val="000000"/>
                <w:sz w:val="11"/>
              </w:rPr>
              <w:t>(1)</w:t>
            </w: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Adjustment</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Non-GAAP Financial Measure</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Allowance as a percentage of the ending total loan </w:t>
              <w:br/>
              <w:t>   balance</w:t>
            </w:r>
            <w:r>
              <w:rPr>
                <w:rFonts w:ascii="Arial" w:hAnsi="Arial"/>
                <w:color w:val="000000"/>
                <w:sz w:val="11"/>
              </w:rPr>
              <w:t>(1)</w:t>
            </w: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4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Adjustment</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Non-GAAP Financial Measure</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Allowance as a percentage of the ending loans in </w:t>
              <w:br/>
              <w:t>   repayment</w:t>
            </w:r>
            <w:r>
              <w:rPr>
                <w:rFonts w:ascii="Arial" w:hAnsi="Arial"/>
                <w:color w:val="000000"/>
                <w:sz w:val="11"/>
              </w:rPr>
              <w:t>(1)</w:t>
            </w: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4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Adjustment</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6"/>
              </w:rPr>
            </w:pPr>
            <w:r>
              <w:rPr>
                <w:rFonts w:ascii="Arial" w:hAnsi="Arial"/>
                <w:color w:val="000000"/>
                <w:sz w:val="16"/>
              </w:rPr>
              <w:t>Non-GAAP Financial Measure</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pBdr/>
        <w:bidi w:val="0"/>
        <w:ind w:left="0" w:right="0" w:hanging="360"/>
        <w:jc w:val="left"/>
        <w:rPr>
          <w:rFonts w:ascii="Times New Roman" w:hAnsi="Times New Roman"/>
          <w:sz w:val="20"/>
        </w:rPr>
      </w:pPr>
      <w:r>
        <w:rPr>
          <w:rFonts w:ascii="Arial" w:hAnsi="Arial"/>
          <w:color w:val="000000"/>
          <w:sz w:val="9"/>
        </w:rPr>
        <w:t>(1)</w:t>
      </w:r>
      <w:r>
        <w:rPr>
          <w:rFonts w:ascii="Times New Roman" w:hAnsi="Times New Roman"/>
          <w:color w:val="000000"/>
          <w:sz w:val="20"/>
        </w:rPr>
        <w:t xml:space="preserve"> </w:t>
      </w:r>
      <w:r>
        <w:rPr>
          <w:rFonts w:ascii="Arial" w:hAnsi="Arial"/>
          <w:color w:val="000000"/>
          <w:sz w:val="16"/>
        </w:rPr>
        <w:t>Second-quarter 2026 excludes $528 million of loans, and the corresponding charge-offs, that were classified as held for sale as of June 30, 2026.</w:t>
      </w:r>
    </w:p>
    <w:p>
      <w:pPr>
        <w:pStyle w:val="TextBody"/>
        <w:pBdr/>
        <w:bidi w:val="0"/>
        <w:ind w:left="0" w:right="0" w:hanging="360"/>
        <w:jc w:val="left"/>
        <w:rPr>
          <w:rFonts w:ascii="Times New Roman" w:hAnsi="Times New Roman"/>
          <w:sz w:val="20"/>
        </w:rPr>
      </w:pPr>
      <w:r>
        <w:rPr>
          <w:rFonts w:ascii="Arial" w:hAnsi="Arial"/>
          <w:color w:val="000000"/>
          <w:sz w:val="9"/>
        </w:rPr>
        <w:t>(2)</w:t>
      </w:r>
      <w:r>
        <w:rPr>
          <w:rFonts w:ascii="Times New Roman" w:hAnsi="Times New Roman"/>
          <w:color w:val="000000"/>
          <w:sz w:val="20"/>
        </w:rPr>
        <w:t xml:space="preserve"> </w:t>
      </w:r>
      <w:r>
        <w:rPr>
          <w:rFonts w:ascii="Arial" w:hAnsi="Arial"/>
          <w:color w:val="000000"/>
          <w:sz w:val="16"/>
        </w:rPr>
        <w:t>The allowance used for these credit metrics excludes the expected future recoveries on previously fully charged-off loans. See discussion above.</w:t>
      </w:r>
    </w:p>
    <w:p>
      <w:pPr>
        <w:pStyle w:val="TextBody"/>
        <w:bidi w:val="0"/>
        <w:jc w:val="left"/>
        <w:rPr/>
      </w:pPr>
      <w:r>
        <w:rPr/>
        <w:t> </w:t>
      </w:r>
    </w:p>
    <w:p>
      <w:pPr>
        <w:pStyle w:val="TextBody"/>
        <w:bidi w:val="0"/>
        <w:jc w:val="right"/>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12351</Words>
  <Characters>62198</Characters>
  <CharactersWithSpaces>79162</CharactersWithSpaces>
  <Paragraphs>11142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