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Filed Pursuant to Rule 424(b)(2)</w:t>
      </w:r>
    </w:p>
    <w:p>
      <w:pPr>
        <w:spacing w:after="0" w:line="23" w:lineRule="exact"/>
        <w:rPr>
          <w:sz w:val="24"/>
          <w:szCs w:val="24"/>
          <w:color w:val="auto"/>
        </w:rPr>
      </w:pPr>
    </w:p>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Registration No. 333-286944</w:t>
      </w:r>
    </w:p>
    <w:p>
      <w:pPr>
        <w:spacing w:after="0" w:line="10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(To Prospectus dated May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123825</wp:posOffset>
            </wp:positionV>
            <wp:extent cx="1355725" cy="239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5725" cy="239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NAVIENT CORPORATION</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$500,000,000 9.375% Senior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199390</wp:posOffset>
            </wp:positionV>
            <wp:extent cx="11430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240" w:right="479"/>
        <w:spacing w:after="0" w:line="260" w:lineRule="auto"/>
        <w:rPr>
          <w:sz w:val="20"/>
          <w:szCs w:val="20"/>
          <w:color w:val="auto"/>
        </w:rPr>
      </w:pPr>
      <w:r>
        <w:rPr>
          <w:rFonts w:ascii="Times New Roman" w:cs="Times New Roman" w:eastAsia="Times New Roman" w:hAnsi="Times New Roman"/>
          <w:sz w:val="14"/>
          <w:szCs w:val="14"/>
          <w:color w:val="auto"/>
        </w:rPr>
        <w:t>The notes will mature on October 15, 2031. We will pay interest on the notes on April 15 and October 15 of each year. The first such payment on the notes will be made on October 15, 2026. We may redeem the notes at our option and at any time, either as a whole or in part, at the redemption price described in this prospectus supplement. Upon a Change of Control Triggering Event (as defined herein), we may be required to make an offer to repurchase all outstanding notes as described in this prospectus supplement.</w:t>
      </w:r>
    </w:p>
    <w:p>
      <w:pPr>
        <w:spacing w:after="0" w:line="14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color w:val="auto"/>
        </w:rPr>
        <w:t>The notes will be our senior unsecured debt and will rank equally with all of our existing and future unsecured and unsubordinated debt.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186055</wp:posOffset>
            </wp:positionV>
            <wp:extent cx="11430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240" w:right="259"/>
        <w:spacing w:after="0" w:line="239" w:lineRule="auto"/>
        <w:rPr>
          <w:sz w:val="20"/>
          <w:szCs w:val="20"/>
          <w:color w:val="auto"/>
        </w:rPr>
      </w:pPr>
      <w:r>
        <w:rPr>
          <w:rFonts w:ascii="Times New Roman" w:cs="Times New Roman" w:eastAsia="Times New Roman" w:hAnsi="Times New Roman"/>
          <w:sz w:val="17"/>
          <w:szCs w:val="17"/>
          <w:b w:val="1"/>
          <w:bCs w:val="1"/>
          <w:color w:val="auto"/>
        </w:rPr>
        <w:t>Investing in the notes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S-6 of this prospectus supplement, “</w:t>
      </w:r>
      <w:r>
        <w:rPr>
          <w:rFonts w:ascii="Times New Roman" w:cs="Times New Roman" w:eastAsia="Times New Roman" w:hAnsi="Times New Roman"/>
          <w:sz w:val="17"/>
          <w:szCs w:val="17"/>
          <w:b w:val="1"/>
          <w:bCs w:val="1"/>
          <w:u w:val="single" w:color="auto"/>
          <w:color w:val="0000EE"/>
        </w:rPr>
        <w:t>Risk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0000EE"/>
        </w:rPr>
        <w:t>Factors</w:t>
      </w:r>
      <w:r>
        <w:rPr>
          <w:rFonts w:ascii="Times New Roman" w:cs="Times New Roman" w:eastAsia="Times New Roman" w:hAnsi="Times New Roman"/>
          <w:sz w:val="17"/>
          <w:szCs w:val="17"/>
          <w:b w:val="1"/>
          <w:bCs w:val="1"/>
          <w:color w:val="000000"/>
        </w:rPr>
        <w:t>” beginning on page 5 of the accompanying prospectus and those risk factors incorporated by reference into this</w:t>
      </w:r>
      <w:r>
        <w:rPr>
          <w:rFonts w:ascii="Times New Roman" w:cs="Times New Roman" w:eastAsia="Times New Roman" w:hAnsi="Times New Roman"/>
          <w:sz w:val="17"/>
          <w:szCs w:val="17"/>
          <w:b w:val="1"/>
          <w:bCs w:val="1"/>
          <w:color w:val="0000EE"/>
        </w:rPr>
        <w:t xml:space="preserve"> </w:t>
      </w:r>
      <w:r>
        <w:rPr>
          <w:rFonts w:ascii="Times New Roman" w:cs="Times New Roman" w:eastAsia="Times New Roman" w:hAnsi="Times New Roman"/>
          <w:sz w:val="17"/>
          <w:szCs w:val="17"/>
          <w:b w:val="1"/>
          <w:bCs w:val="1"/>
          <w:color w:val="000000"/>
        </w:rPr>
        <w:t>prospectus supplement and the accompanying prospectus from our Annual Report on Form 10-K for the year ended December 31, 2025 and subsequent reports and registration statements filed from time to time with the U.S. Securities and Exchange Commission (“SEC”).</w:t>
      </w:r>
    </w:p>
    <w:p>
      <w:pPr>
        <w:spacing w:after="0" w:line="165" w:lineRule="exact"/>
        <w:rPr>
          <w:sz w:val="24"/>
          <w:szCs w:val="24"/>
          <w:color w:val="auto"/>
        </w:rPr>
      </w:pPr>
    </w:p>
    <w:tbl>
      <w:tblPr>
        <w:tblLayout w:type="fixed"/>
        <w:tblInd w:w="1260" w:type="dxa"/>
        <w:tblCellMar>
          <w:top w:w="0" w:type="dxa"/>
          <w:left w:w="0" w:type="dxa"/>
          <w:bottom w:w="0" w:type="dxa"/>
          <w:right w:w="0" w:type="dxa"/>
        </w:tblCellMar>
      </w:tblPr>
      <w:tr>
        <w:trPr>
          <w:trHeight w:val="184"/>
        </w:trPr>
        <w:tc>
          <w:tcPr>
            <w:tcW w:w="46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4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Borders>
              <w:bottom w:val="single" w:sz="8" w:color="CCEEFF"/>
            </w:tcBorders>
          </w:tcPr>
          <w:p>
            <w:pPr>
              <w:spacing w:after="0"/>
              <w:rPr>
                <w:sz w:val="16"/>
                <w:szCs w:val="16"/>
                <w:color w:val="auto"/>
              </w:rPr>
            </w:pPr>
          </w:p>
        </w:tc>
      </w:tr>
      <w:tr>
        <w:trPr>
          <w:trHeight w:val="158"/>
        </w:trPr>
        <w:tc>
          <w:tcPr>
            <w:tcW w:w="46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3"/>
                <w:szCs w:val="13"/>
                <w:color w:val="auto"/>
              </w:rPr>
              <w:t>Public offering price</w:t>
            </w:r>
            <w:r>
              <w:rPr>
                <w:rFonts w:ascii="Times New Roman" w:cs="Times New Roman" w:eastAsia="Times New Roman" w:hAnsi="Times New Roman"/>
                <w:sz w:val="18"/>
                <w:szCs w:val="18"/>
                <w:color w:val="auto"/>
                <w:vertAlign w:val="superscript"/>
              </w:rPr>
              <w:t>(1)</w:t>
            </w:r>
          </w:p>
        </w:tc>
        <w:tc>
          <w:tcPr>
            <w:tcW w:w="1020" w:type="dxa"/>
            <w:vAlign w:val="bottom"/>
            <w:gridSpan w:val="2"/>
            <w:shd w:val="clear" w:color="auto" w:fill="CCEEFF"/>
          </w:tcPr>
          <w:p>
            <w:pPr>
              <w:jc w:val="right"/>
              <w:ind w:right="380"/>
              <w:spacing w:after="0" w:line="158"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w w:val="97"/>
              </w:rPr>
              <w:t>500,000,000</w:t>
            </w:r>
          </w:p>
        </w:tc>
        <w:tc>
          <w:tcPr>
            <w:tcW w:w="40" w:type="dxa"/>
            <w:vAlign w:val="bottom"/>
            <w:shd w:val="clear" w:color="auto" w:fill="CCEEFF"/>
          </w:tcPr>
          <w:p>
            <w:pPr>
              <w:spacing w:after="0"/>
              <w:rPr>
                <w:sz w:val="13"/>
                <w:szCs w:val="13"/>
                <w:color w:val="auto"/>
              </w:rPr>
            </w:pPr>
          </w:p>
        </w:tc>
      </w:tr>
      <w:tr>
        <w:trPr>
          <w:trHeight w:val="167"/>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0.875%</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4,375,000</w:t>
            </w:r>
          </w:p>
        </w:tc>
      </w:tr>
      <w:tr>
        <w:trPr>
          <w:trHeight w:val="167"/>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to Navient Corporation (before expenses)</w:t>
            </w: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99.125%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495,625,000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149225</wp:posOffset>
            </wp:positionH>
            <wp:positionV relativeFrom="paragraph">
              <wp:posOffset>73025</wp:posOffset>
            </wp:positionV>
            <wp:extent cx="598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12" w:lineRule="exact"/>
        <w:rPr>
          <w:sz w:val="24"/>
          <w:szCs w:val="24"/>
          <w:color w:val="auto"/>
        </w:rPr>
      </w:pPr>
    </w:p>
    <w:p>
      <w:pPr>
        <w:ind w:left="560" w:hanging="325"/>
        <w:spacing w:after="0"/>
        <w:tabs>
          <w:tab w:leader="none" w:pos="5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May 29, 2026, if settlement occurs after that date.</w:t>
      </w:r>
    </w:p>
    <w:p>
      <w:pPr>
        <w:spacing w:after="0" w:line="172" w:lineRule="exact"/>
        <w:rPr>
          <w:sz w:val="24"/>
          <w:szCs w:val="24"/>
          <w:color w:val="auto"/>
        </w:rPr>
      </w:pPr>
    </w:p>
    <w:p>
      <w:pPr>
        <w:ind w:left="240" w:right="259"/>
        <w:spacing w:after="0" w:line="258"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 Obligations of Navient Corporation and any subsidiary of Navient Corporation are not guaranteed by the full faith and credit of the United States of America. Neither Navient Corporation nor any subsidiary of Navient Corporation is a government-sponsored enterprise or an instrumentality of the United States of America.</w:t>
      </w:r>
    </w:p>
    <w:p>
      <w:pPr>
        <w:spacing w:after="0" w:line="141" w:lineRule="exact"/>
        <w:rPr>
          <w:sz w:val="24"/>
          <w:szCs w:val="24"/>
          <w:color w:val="auto"/>
        </w:rPr>
      </w:pPr>
    </w:p>
    <w:p>
      <w:pPr>
        <w:ind w:left="240" w:right="659"/>
        <w:spacing w:after="0" w:line="281" w:lineRule="auto"/>
        <w:rPr>
          <w:sz w:val="20"/>
          <w:szCs w:val="20"/>
          <w:color w:val="auto"/>
        </w:rPr>
      </w:pPr>
      <w:r>
        <w:rPr>
          <w:rFonts w:ascii="Times New Roman" w:cs="Times New Roman" w:eastAsia="Times New Roman" w:hAnsi="Times New Roman"/>
          <w:sz w:val="14"/>
          <w:szCs w:val="14"/>
          <w:color w:val="auto"/>
        </w:rPr>
        <w:t>The underwriters expect to deliver the notes to purchasers in book-entry form only through The Depository Trust Company for the accounts of its participants, including Clearstream and Euroclear, on or about May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2288540</wp:posOffset>
            </wp:positionH>
            <wp:positionV relativeFrom="paragraph">
              <wp:posOffset>161925</wp:posOffset>
            </wp:positionV>
            <wp:extent cx="114300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189" w:lineRule="exact"/>
        <w:rPr>
          <w:sz w:val="24"/>
          <w:szCs w:val="24"/>
          <w:color w:val="auto"/>
        </w:rPr>
      </w:pPr>
    </w:p>
    <w:p>
      <w:pPr>
        <w:ind w:left="240"/>
        <w:spacing w:after="0"/>
        <w:tabs>
          <w:tab w:leader="none" w:pos="3060" w:val="left"/>
          <w:tab w:leader="none" w:pos="4420" w:val="left"/>
          <w:tab w:leader="none" w:pos="6920" w:val="left"/>
        </w:tabs>
        <w:rPr>
          <w:sz w:val="20"/>
          <w:szCs w:val="20"/>
          <w:color w:val="auto"/>
        </w:rPr>
      </w:pPr>
      <w:r>
        <w:rPr>
          <w:rFonts w:ascii="Times New Roman" w:cs="Times New Roman" w:eastAsia="Times New Roman" w:hAnsi="Times New Roman"/>
          <w:sz w:val="20"/>
          <w:szCs w:val="20"/>
          <w:b w:val="1"/>
          <w:bCs w:val="1"/>
          <w:color w:val="auto"/>
        </w:rPr>
        <w:t>BofA Securities</w:t>
      </w:r>
      <w:r>
        <w:rPr>
          <w:sz w:val="20"/>
          <w:szCs w:val="20"/>
          <w:color w:val="auto"/>
        </w:rPr>
        <w:tab/>
      </w:r>
      <w:r>
        <w:rPr>
          <w:rFonts w:ascii="Times New Roman" w:cs="Times New Roman" w:eastAsia="Times New Roman" w:hAnsi="Times New Roman"/>
          <w:sz w:val="20"/>
          <w:szCs w:val="20"/>
          <w:b w:val="1"/>
          <w:bCs w:val="1"/>
          <w:color w:val="auto"/>
        </w:rPr>
        <w:t>Barclays</w:t>
      </w:r>
      <w:r>
        <w:rPr>
          <w:sz w:val="20"/>
          <w:szCs w:val="20"/>
          <w:color w:val="auto"/>
        </w:rPr>
        <w:tab/>
      </w:r>
      <w:r>
        <w:rPr>
          <w:rFonts w:ascii="Times New Roman" w:cs="Times New Roman" w:eastAsia="Times New Roman" w:hAnsi="Times New Roman"/>
          <w:sz w:val="20"/>
          <w:szCs w:val="20"/>
          <w:b w:val="1"/>
          <w:bCs w:val="1"/>
          <w:color w:val="auto"/>
        </w:rPr>
        <w:t>J.P. Morgan</w:t>
      </w:r>
      <w:r>
        <w:rPr>
          <w:sz w:val="20"/>
          <w:szCs w:val="20"/>
          <w:color w:val="auto"/>
        </w:rPr>
        <w:tab/>
      </w:r>
      <w:r>
        <w:rPr>
          <w:rFonts w:ascii="Times New Roman" w:cs="Times New Roman" w:eastAsia="Times New Roman" w:hAnsi="Times New Roman"/>
          <w:sz w:val="18"/>
          <w:szCs w:val="18"/>
          <w:b w:val="1"/>
          <w:bCs w:val="1"/>
          <w:color w:val="auto"/>
        </w:rPr>
        <w:t>RBC Capital Markets</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26, 2026</w:t>
      </w:r>
    </w:p>
    <w:p>
      <w:pPr>
        <w:sectPr>
          <w:pgSz w:w="11900" w:h="16838" w:orient="portrait"/>
          <w:cols w:equalWidth="0" w:num="1">
            <w:col w:w="9019"/>
          </w:cols>
          <w:pgMar w:left="1440" w:top="207" w:right="1440" w:bottom="1440" w:gutter="0" w:footer="0" w:header="0"/>
        </w:sectPr>
      </w:pPr>
    </w:p>
    <w:bookmarkStart w:id="1" w:name="page2"/>
    <w:bookmarkEnd w:id="1"/>
    <w:tbl>
      <w:tblPr>
        <w:tblLayout w:type="fixed"/>
        <w:tblInd w:w="2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20" w:type="dxa"/>
            <w:vAlign w:val="bottom"/>
            <w:gridSpan w:val="2"/>
          </w:tcPr>
          <w:p>
            <w:pPr>
              <w:jc w:val="center"/>
              <w:ind w:right="260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20" w:type="dxa"/>
            <w:vAlign w:val="bottom"/>
            <w:gridSpan w:val="2"/>
          </w:tcPr>
          <w:p>
            <w:pPr>
              <w:jc w:val="center"/>
              <w:ind w:right="2620"/>
              <w:spacing w:after="0"/>
              <w:rPr>
                <w:sz w:val="20"/>
                <w:szCs w:val="20"/>
                <w:color w:val="auto"/>
              </w:rPr>
            </w:pPr>
            <w:r>
              <w:rPr>
                <w:rFonts w:ascii="Times New Roman" w:cs="Times New Roman" w:eastAsia="Times New Roman" w:hAnsi="Times New Roman"/>
                <w:sz w:val="14"/>
                <w:szCs w:val="14"/>
                <w:b w:val="1"/>
                <w:bCs w:val="1"/>
                <w:color w:val="auto"/>
                <w:w w:val="99"/>
              </w:rPr>
              <w:t>Prospectus Supplement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66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5520" w:type="dxa"/>
            <w:vAlign w:val="bottom"/>
            <w:gridSpan w:val="4"/>
            <w:vMerge w:val="restart"/>
          </w:tcPr>
          <w:p>
            <w:pPr>
              <w:spacing w:after="0"/>
              <w:rPr>
                <w:sz w:val="24"/>
                <w:szCs w:val="24"/>
                <w:color w:val="auto"/>
              </w:rPr>
            </w:pP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2660" w:type="dxa"/>
            <w:vAlign w:val="bottom"/>
            <w:tcBorders>
              <w:bottom w:val="single" w:sz="8" w:color="0000EE"/>
            </w:tcBorders>
            <w:gridSpan w:val="19"/>
            <w:vMerge w:val="continue"/>
          </w:tcPr>
          <w:p>
            <w:pPr>
              <w:spacing w:after="0"/>
              <w:rPr>
                <w:sz w:val="11"/>
                <w:szCs w:val="11"/>
                <w:color w:val="auto"/>
              </w:rPr>
            </w:pPr>
          </w:p>
        </w:tc>
        <w:tc>
          <w:tcPr>
            <w:tcW w:w="5520" w:type="dxa"/>
            <w:vAlign w:val="bottom"/>
            <w:gridSpan w:val="4"/>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S-ii</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40" w:type="dxa"/>
            <w:vAlign w:val="bottom"/>
            <w:tcBorders>
              <w:bottom w:val="single" w:sz="8" w:color="0000EE"/>
            </w:tcBorders>
            <w:gridSpan w:val="18"/>
          </w:tcPr>
          <w:p>
            <w:pPr>
              <w:spacing w:after="0" w:line="147" w:lineRule="exact"/>
              <w:rPr>
                <w:sz w:val="20"/>
                <w:szCs w:val="20"/>
                <w:color w:val="auto"/>
              </w:rPr>
            </w:pPr>
            <w:r>
              <w:rPr>
                <w:rFonts w:ascii="Times New Roman" w:cs="Times New Roman" w:eastAsia="Times New Roman" w:hAnsi="Times New Roman"/>
                <w:sz w:val="14"/>
                <w:szCs w:val="14"/>
                <w:color w:val="0000EE"/>
                <w:w w:val="98"/>
              </w:rPr>
              <w:t>NOTICE TO BENEFIT PLAN INVESTORS</w:t>
            </w:r>
          </w:p>
        </w:tc>
        <w:tc>
          <w:tcPr>
            <w:tcW w:w="5640" w:type="dxa"/>
            <w:vAlign w:val="bottom"/>
            <w:gridSpan w:val="5"/>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7"/>
        </w:trPr>
        <w:tc>
          <w:tcPr>
            <w:tcW w:w="226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w w:val="96"/>
              </w:rPr>
              <w:t>FORWARD LOOKING STATEMENTS</w:t>
            </w:r>
          </w:p>
        </w:tc>
        <w:tc>
          <w:tcPr>
            <w:tcW w:w="5920" w:type="dxa"/>
            <w:vAlign w:val="bottom"/>
            <w:gridSpan w:val="7"/>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SUMMARY</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760" w:type="dxa"/>
            <w:vAlign w:val="bottom"/>
            <w:tcBorders>
              <w:bottom w:val="single" w:sz="8" w:color="0000EE"/>
            </w:tcBorders>
            <w:gridSpan w:val="20"/>
          </w:tcPr>
          <w:p>
            <w:pPr>
              <w:spacing w:after="0" w:line="147" w:lineRule="exact"/>
              <w:rPr>
                <w:sz w:val="20"/>
                <w:szCs w:val="20"/>
                <w:color w:val="auto"/>
              </w:rPr>
            </w:pPr>
            <w:r>
              <w:rPr>
                <w:rFonts w:ascii="Times New Roman" w:cs="Times New Roman" w:eastAsia="Times New Roman" w:hAnsi="Times New Roman"/>
                <w:sz w:val="14"/>
                <w:szCs w:val="14"/>
                <w:color w:val="0000EE"/>
                <w:w w:val="97"/>
              </w:rPr>
              <w:t>SUMMARY HISTORICAL FINANCIAL DATA</w:t>
            </w:r>
          </w:p>
        </w:tc>
        <w:tc>
          <w:tcPr>
            <w:tcW w:w="542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S-4</w:t>
            </w:r>
          </w:p>
        </w:tc>
        <w:tc>
          <w:tcPr>
            <w:tcW w:w="0" w:type="dxa"/>
            <w:vAlign w:val="bottom"/>
          </w:tcPr>
          <w:p>
            <w:pPr>
              <w:spacing w:after="0"/>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2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6960" w:type="dxa"/>
            <w:vAlign w:val="bottom"/>
            <w:gridSpan w:val="16"/>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S-9</w:t>
            </w:r>
          </w:p>
        </w:tc>
        <w:tc>
          <w:tcPr>
            <w:tcW w:w="0" w:type="dxa"/>
            <w:vAlign w:val="bottom"/>
          </w:tcPr>
          <w:p>
            <w:pPr>
              <w:spacing w:after="0"/>
              <w:rPr>
                <w:sz w:val="1"/>
                <w:szCs w:val="1"/>
                <w:color w:val="auto"/>
              </w:rPr>
            </w:pPr>
          </w:p>
        </w:tc>
      </w:tr>
      <w:tr>
        <w:trPr>
          <w:trHeight w:val="147"/>
        </w:trPr>
        <w:tc>
          <w:tcPr>
            <w:tcW w:w="1140" w:type="dxa"/>
            <w:vAlign w:val="bottom"/>
            <w:tcBorders>
              <w:bottom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w w:val="96"/>
              </w:rPr>
              <w:t>CAPITALIZATION</w:t>
            </w:r>
          </w:p>
        </w:tc>
        <w:tc>
          <w:tcPr>
            <w:tcW w:w="7040" w:type="dxa"/>
            <w:vAlign w:val="bottom"/>
            <w:gridSpan w:val="17"/>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47"/>
        </w:trPr>
        <w:tc>
          <w:tcPr>
            <w:tcW w:w="1600" w:type="dxa"/>
            <w:vAlign w:val="bottom"/>
            <w:tcBorders>
              <w:bottom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NOTES</w:t>
            </w:r>
          </w:p>
        </w:tc>
        <w:tc>
          <w:tcPr>
            <w:tcW w:w="6580" w:type="dxa"/>
            <w:vAlign w:val="bottom"/>
            <w:gridSpan w:val="13"/>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47"/>
        </w:trPr>
        <w:tc>
          <w:tcPr>
            <w:tcW w:w="5440" w:type="dxa"/>
            <w:vAlign w:val="bottom"/>
            <w:tcBorders>
              <w:bottom w:val="single" w:sz="8" w:color="0000EE"/>
            </w:tcBorders>
            <w:gridSpan w:val="22"/>
          </w:tcPr>
          <w:p>
            <w:pPr>
              <w:spacing w:after="0" w:line="147" w:lineRule="exact"/>
              <w:rPr>
                <w:sz w:val="20"/>
                <w:szCs w:val="20"/>
                <w:color w:val="auto"/>
              </w:rPr>
            </w:pPr>
            <w:r>
              <w:rPr>
                <w:rFonts w:ascii="Times New Roman" w:cs="Times New Roman" w:eastAsia="Times New Roman" w:hAnsi="Times New Roman"/>
                <w:sz w:val="14"/>
                <w:szCs w:val="14"/>
                <w:color w:val="0000EE"/>
                <w:w w:val="98"/>
              </w:rPr>
              <w:t>UNITED STATES FEDERAL INCOME TAX CONSIDERATIONS FOR NON-U.S. HOLDERS</w:t>
            </w:r>
          </w:p>
        </w:tc>
        <w:tc>
          <w:tcPr>
            <w:tcW w:w="2740" w:type="dxa"/>
            <w:vAlign w:val="bottom"/>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S-24</w:t>
            </w:r>
          </w:p>
        </w:tc>
        <w:tc>
          <w:tcPr>
            <w:tcW w:w="0" w:type="dxa"/>
            <w:vAlign w:val="bottom"/>
          </w:tcPr>
          <w:p>
            <w:pPr>
              <w:spacing w:after="0"/>
              <w:rPr>
                <w:sz w:val="1"/>
                <w:szCs w:val="1"/>
                <w:color w:val="auto"/>
              </w:rPr>
            </w:pPr>
          </w:p>
        </w:tc>
      </w:tr>
      <w:tr>
        <w:trPr>
          <w:trHeight w:val="147"/>
        </w:trPr>
        <w:tc>
          <w:tcPr>
            <w:tcW w:w="108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UNDERWRITING</w:t>
            </w:r>
          </w:p>
        </w:tc>
        <w:tc>
          <w:tcPr>
            <w:tcW w:w="7100" w:type="dxa"/>
            <w:vAlign w:val="bottom"/>
            <w:gridSpan w:val="19"/>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S-27</w:t>
            </w:r>
          </w:p>
        </w:tc>
        <w:tc>
          <w:tcPr>
            <w:tcW w:w="0" w:type="dxa"/>
            <w:vAlign w:val="bottom"/>
          </w:tcPr>
          <w:p>
            <w:pPr>
              <w:spacing w:after="0"/>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S-32</w:t>
            </w:r>
          </w:p>
        </w:tc>
        <w:tc>
          <w:tcPr>
            <w:tcW w:w="0" w:type="dxa"/>
            <w:vAlign w:val="bottom"/>
          </w:tcPr>
          <w:p>
            <w:pPr>
              <w:spacing w:after="0"/>
              <w:rPr>
                <w:sz w:val="1"/>
                <w:szCs w:val="1"/>
                <w:color w:val="auto"/>
              </w:rPr>
            </w:pP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7060" w:type="dxa"/>
            <w:vAlign w:val="bottom"/>
            <w:gridSpan w:val="18"/>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S-32</w:t>
            </w:r>
          </w:p>
        </w:tc>
        <w:tc>
          <w:tcPr>
            <w:tcW w:w="0" w:type="dxa"/>
            <w:vAlign w:val="bottom"/>
          </w:tcPr>
          <w:p>
            <w:pPr>
              <w:spacing w:after="0"/>
              <w:rPr>
                <w:sz w:val="1"/>
                <w:szCs w:val="1"/>
                <w:color w:val="auto"/>
              </w:rPr>
            </w:pPr>
          </w:p>
        </w:tc>
      </w:tr>
      <w:tr>
        <w:trPr>
          <w:trHeight w:val="147"/>
        </w:trPr>
        <w:tc>
          <w:tcPr>
            <w:tcW w:w="296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5220" w:type="dxa"/>
            <w:vAlign w:val="bottom"/>
            <w:gridSpan w:val="2"/>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S-32</w:t>
            </w:r>
          </w:p>
        </w:tc>
        <w:tc>
          <w:tcPr>
            <w:tcW w:w="0" w:type="dxa"/>
            <w:vAlign w:val="bottom"/>
          </w:tcPr>
          <w:p>
            <w:pPr>
              <w:spacing w:after="0"/>
              <w:rPr>
                <w:sz w:val="1"/>
                <w:szCs w:val="1"/>
                <w:color w:val="auto"/>
              </w:rPr>
            </w:pPr>
          </w:p>
        </w:tc>
      </w:tr>
      <w:tr>
        <w:trPr>
          <w:trHeight w:val="315"/>
        </w:trPr>
        <w:tc>
          <w:tcPr>
            <w:tcW w:w="818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8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Page</w:t>
            </w:r>
          </w:p>
        </w:tc>
        <w:tc>
          <w:tcPr>
            <w:tcW w:w="0" w:type="dxa"/>
            <w:vAlign w:val="bottom"/>
          </w:tcPr>
          <w:p>
            <w:pPr>
              <w:spacing w:after="0"/>
              <w:rPr>
                <w:sz w:val="1"/>
                <w:szCs w:val="1"/>
                <w:color w:val="auto"/>
              </w:rPr>
            </w:pPr>
          </w:p>
        </w:tc>
      </w:tr>
      <w:tr>
        <w:trPr>
          <w:trHeight w:val="127"/>
        </w:trPr>
        <w:tc>
          <w:tcPr>
            <w:tcW w:w="8180" w:type="dxa"/>
            <w:vAlign w:val="bottom"/>
            <w:gridSpan w:val="23"/>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FORWARD-LOOKING STATEMENTS</w:t>
            </w: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2260" w:type="dxa"/>
            <w:vAlign w:val="bottom"/>
            <w:tcBorders>
              <w:top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4"/>
                <w:szCs w:val="14"/>
                <w:color w:val="0000EE"/>
              </w:rPr>
              <w:t>ABOUT NAVIENT CORPORATION</w:t>
            </w:r>
          </w:p>
        </w:tc>
        <w:tc>
          <w:tcPr>
            <w:tcW w:w="5920" w:type="dxa"/>
            <w:vAlign w:val="bottom"/>
            <w:gridSpan w:val="7"/>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2120" w:type="dxa"/>
            <w:vAlign w:val="bottom"/>
            <w:tcBorders>
              <w:top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6060" w:type="dxa"/>
            <w:vAlign w:val="bottom"/>
            <w:gridSpan w:val="9"/>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960" w:type="dxa"/>
            <w:vAlign w:val="bottom"/>
            <w:gridSpan w:val="3"/>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2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6960" w:type="dxa"/>
            <w:vAlign w:val="bottom"/>
            <w:gridSpan w:val="16"/>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7"/>
        </w:trPr>
        <w:tc>
          <w:tcPr>
            <w:tcW w:w="186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7"/>
              </w:rPr>
              <w:t>SECURITIES WE MAY OFFER</w:t>
            </w:r>
          </w:p>
        </w:tc>
        <w:tc>
          <w:tcPr>
            <w:tcW w:w="6320" w:type="dxa"/>
            <w:vAlign w:val="bottom"/>
            <w:gridSpan w:val="11"/>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7"/>
        </w:trPr>
        <w:tc>
          <w:tcPr>
            <w:tcW w:w="2340" w:type="dxa"/>
            <w:vAlign w:val="bottom"/>
            <w:tcBorders>
              <w:bottom w:val="single" w:sz="8" w:color="0000EE"/>
            </w:tcBorders>
            <w:gridSpan w:val="17"/>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5840" w:type="dxa"/>
            <w:vAlign w:val="bottom"/>
            <w:gridSpan w:val="6"/>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7"/>
        </w:trPr>
        <w:tc>
          <w:tcPr>
            <w:tcW w:w="222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5960" w:type="dxa"/>
            <w:vAlign w:val="bottom"/>
            <w:gridSpan w:val="8"/>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7"/>
        </w:trPr>
        <w:tc>
          <w:tcPr>
            <w:tcW w:w="192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6260" w:type="dxa"/>
            <w:vAlign w:val="bottom"/>
            <w:gridSpan w:val="10"/>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7"/>
        </w:trPr>
        <w:tc>
          <w:tcPr>
            <w:tcW w:w="156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6620" w:type="dxa"/>
            <w:vAlign w:val="bottom"/>
            <w:gridSpan w:val="15"/>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7"/>
        </w:trPr>
        <w:tc>
          <w:tcPr>
            <w:tcW w:w="8180" w:type="dxa"/>
            <w:vAlign w:val="bottom"/>
            <w:gridSpan w:val="23"/>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158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6600" w:type="dxa"/>
            <w:vAlign w:val="bottom"/>
            <w:gridSpan w:val="14"/>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4"/>
          </w:tcPr>
          <w:p>
            <w:pPr>
              <w:spacing w:after="0"/>
              <w:rPr>
                <w:sz w:val="12"/>
                <w:szCs w:val="12"/>
                <w:color w:val="auto"/>
              </w:rPr>
            </w:pPr>
          </w:p>
        </w:tc>
        <w:tc>
          <w:tcPr>
            <w:tcW w:w="7060" w:type="dxa"/>
            <w:vAlign w:val="bottom"/>
            <w:gridSpan w:val="18"/>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7"/>
        </w:trPr>
        <w:tc>
          <w:tcPr>
            <w:tcW w:w="2960" w:type="dxa"/>
            <w:vAlign w:val="bottom"/>
            <w:tcBorders>
              <w:bottom w:val="single" w:sz="8" w:color="0000EE"/>
            </w:tcBorders>
            <w:gridSpan w:val="21"/>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5220" w:type="dxa"/>
            <w:vAlign w:val="bottom"/>
            <w:gridSpan w:val="2"/>
          </w:tcPr>
          <w:p>
            <w:pPr>
              <w:spacing w:after="0"/>
              <w:rPr>
                <w:sz w:val="12"/>
                <w:szCs w:val="12"/>
                <w:color w:val="auto"/>
              </w:rPr>
            </w:pPr>
          </w:p>
        </w:tc>
        <w:tc>
          <w:tcPr>
            <w:tcW w:w="34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THIS PROSPECTUS SUPPLEMENT</w:t>
      </w:r>
    </w:p>
    <w:p>
      <w:pPr>
        <w:spacing w:after="0" w:line="176" w:lineRule="exact"/>
        <w:rPr>
          <w:sz w:val="20"/>
          <w:szCs w:val="20"/>
          <w:color w:val="auto"/>
        </w:rPr>
      </w:pPr>
    </w:p>
    <w:p>
      <w:pPr>
        <w:ind w:left="240" w:right="31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that we filed with the SEC using a shelf registration process. Under the shelf registration process, we may offer, issue and sell any combination of the securities described in the accompanying prospectus. In the accompanying prospectus, we provide you with a general description of the securities we may offer from time to time under our shelf registration statement. In this prospectus supplement, we provide you with specific information about the notes that we are selling in this offering. Both this prospectus supplement and the accompanying prospectus include important information about us, our debt securities and other information you should know before investing in the notes. This prospectus supplement also adds, updates and changes information contained in the accompanying prospectus. To the extent that any statement that we make in this prospectus supplement is inconsistent with the statements made in the accompanying prospectus, the statements made in the accompanying prospectus are deemed modified or superseded by the statements made in this prospectus supplement. You should read both this prospectus supplement and the accompanying prospectus as well as additional information described under “Where You Can Find More Information” on page S-32 of this prospectus supplement before investing in the notes.</w:t>
      </w:r>
    </w:p>
    <w:p>
      <w:pPr>
        <w:spacing w:after="0" w:line="143"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incorporated by reference or provided in this prospectus supplement and the accompanying prospectus or any free writing prospectus prepared by or on behalf of us. Neither we nor the underwriters have authorized anyone to provide you with additional or different information. If anyone provided you with additional or different information, you should not rely on it. Neither we nor the underwriters are making an offer to sell these securities in any jurisdiction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TO BENEFIT PLAN INVESTORS</w:t>
      </w:r>
    </w:p>
    <w:p>
      <w:pPr>
        <w:spacing w:after="0" w:line="17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If an investor is a benefit plan investor as defined in Section 3(42) of the Employee Retirement Income Security Act of 1974, as amended (“ERISA”), the benefit plan investor and the person making the decision on behalf of the benefit plan investor (the “Plan Fiduciary”), will be deemed to have represented and warranted that as long as the investor holds any notes, including any interest in a note, its acquisition, holding and disposition of the notes (or any interest) will not constitute or result in a non-exempt prohibited transaction under Section 406 of ERISA or Section 4975 of the Internal Revenue Code of 1986, as amended (the “Code”). Neither we nor the underwriters or any of our or their affiliates is hereby undertaking to provide impartial investment advice, or to give advice in a fiduciary capacity to a benefit plan investor, in connection with any investment in the notes.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6"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the accompanying prospectus and any information incorporated by reference herein or therein contain forward-looking statements relating to future events or our future results. These statements are forward-looking statements within the meaning of Section 27A of the Securities Act of 1933, as amended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supplement and involve many risks and uncertainties that could cause our actual</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8" w:right="1440" w:bottom="1440" w:gutter="0" w:footer="0" w:header="0"/>
        </w:sectPr>
      </w:pPr>
    </w:p>
    <w:bookmarkStart w:id="3" w:name="page4"/>
    <w:bookmarkEnd w:id="3"/>
    <w:p>
      <w:pPr>
        <w:ind w:left="240" w:right="27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results to differ materially from those expressed or implied in our forward-looking statements. Such risks and uncertainties are discussed more fully under the caption “Risk Factors” included in our Annual Report on Form 10-K for the year ended December 31, 2025 and include, but are not limited to the following:</w:t>
      </w:r>
    </w:p>
    <w:p>
      <w:pPr>
        <w:spacing w:after="0" w:line="63" w:lineRule="exact"/>
        <w:rPr>
          <w:sz w:val="20"/>
          <w:szCs w:val="20"/>
          <w:color w:val="auto"/>
        </w:rPr>
      </w:pPr>
    </w:p>
    <w:p>
      <w:pPr>
        <w:ind w:left="980" w:right="379" w:hanging="327"/>
        <w:spacing w:after="0" w:line="281"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the potential impact of artificial intelligence, inflation and interest rates on Navient and its clients and customers and on the creditworthiness of third parties;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defaults on education loans held by us;</w:t>
      </w:r>
    </w:p>
    <w:p>
      <w:pPr>
        <w:spacing w:after="0" w:line="100" w:lineRule="exact"/>
        <w:rPr>
          <w:rFonts w:ascii="Times New Roman" w:cs="Times New Roman" w:eastAsia="Times New Roman" w:hAnsi="Times New Roman"/>
          <w:sz w:val="14"/>
          <w:szCs w:val="14"/>
          <w:color w:val="auto"/>
        </w:rPr>
      </w:pPr>
    </w:p>
    <w:p>
      <w:pPr>
        <w:ind w:left="980" w:right="339" w:hanging="327"/>
        <w:spacing w:after="0" w:line="257"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69"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our credit ratings;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applicable laws, rules, regulations and government policies, as well as changing regulatory and governmental oversight;</w:t>
      </w:r>
    </w:p>
    <w:p>
      <w:pPr>
        <w:spacing w:after="0" w:line="100" w:lineRule="exact"/>
        <w:rPr>
          <w:rFonts w:ascii="Times New Roman" w:cs="Times New Roman" w:eastAsia="Times New Roman" w:hAnsi="Times New Roman"/>
          <w:sz w:val="14"/>
          <w:szCs w:val="14"/>
          <w:color w:val="auto"/>
        </w:rPr>
      </w:pPr>
    </w:p>
    <w:p>
      <w:pPr>
        <w:ind w:left="980" w:right="539" w:hanging="327"/>
        <w:spacing w:after="0" w:line="281"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characteristics of our assets do not always match those of our funding arrangements;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conditions or an inability to effectively manage our liquidity risk or access liquidity could negatively impact us;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availability of funding in the capital markets;</w:t>
      </w:r>
    </w:p>
    <w:p>
      <w:pPr>
        <w:spacing w:after="0" w:line="100"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earn Floor Income (as defined in our Annual Report on Form 10-K for the year ended December 31, 2025) and our ability to enter into hedges relative to that Floor Income are dependent on the future interest rate environment and therefore is variable;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derivatives exposes us to credit and market risk;</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continually and effectively align our cost structure with our business operations;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or breach of our operating systems, infrastructure or information technology systems;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any third party providing us material services or products or a breach or violation of law by one of these third parties;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new products, strategic initiatives and investments or divestitures that we pursue;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activism;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risk and social factors.</w:t>
      </w:r>
    </w:p>
    <w:p>
      <w:pPr>
        <w:spacing w:after="0" w:line="17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supplement are qualified by these cautionary statements and are made only as of the date of this document. We do not undertake any obligation to update or revise these forward-looking statements except as required by law.</w:t>
      </w:r>
    </w:p>
    <w:p>
      <w:pPr>
        <w:spacing w:after="0" w:line="140"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Given these risks and uncertainties, readers are cautioned not to place undue reliance on such forward-looking statements. For more information regarding these risks and uncertainties as well as certain additional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40" w:right="1440" w:bottom="1440" w:gutter="0" w:footer="0" w:header="0"/>
        </w:sectPr>
      </w:pPr>
    </w:p>
    <w:bookmarkStart w:id="4" w:name="page5"/>
    <w:bookmarkEnd w:id="4"/>
    <w:p>
      <w:pPr>
        <w:ind w:left="24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risks that we face, investors should review the risks described in this prospectus supplement and the accompanying prospectus and those incorporated by reference into this prospectus supplement and the accompanying prospectus, including those risks in our Annual Report on Form 10-K for the year ended December 31, 2025 and subsequent reports and registration statements filed from time to time with the SEC.</w:t>
      </w:r>
    </w:p>
    <w:p>
      <w:pPr>
        <w:spacing w:after="0" w:line="136"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In reviewing any agreements incorporated by reference in this prospectus supplement or the accompanying prospectus, please remember they are included to provide you with information regarding the terms of such agreement and are not intended to provide any other factual or disclosure information about us. The agreements may contain representations and warranties by us, which should not in all instances be treated as categorical statements of fact, but rather as a way of allocating the risk to one of the parties should those statements prove to be inaccurate. The representations and warranties were made only as of the date of the relevant agreement or such other date or dates as may be specified in such agreement and are subject to more recent developments. Accordingly, these representations and warranties alone may not describe the actual state of affairs as of the date they were made or at any other time.</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4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681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4681220"/>
                    </a:xfrm>
                    <a:prstGeom prst="rect">
                      <a:avLst/>
                    </a:prstGeom>
                    <a:noFill/>
                  </pic:spPr>
                </pic:pic>
              </a:graphicData>
            </a:graphic>
          </wp:anchor>
        </w:drawing>
        <w:t>SUMMARY</w:t>
      </w:r>
    </w:p>
    <w:p>
      <w:pPr>
        <w:spacing w:after="0" w:line="174" w:lineRule="exact"/>
        <w:rPr>
          <w:sz w:val="20"/>
          <w:szCs w:val="20"/>
          <w:color w:val="auto"/>
        </w:rPr>
      </w:pPr>
    </w:p>
    <w:p>
      <w:pPr>
        <w:ind w:left="380" w:right="419" w:firstLine="330"/>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more fully described elsewhere in this prospectus supplement and the accompanying prospectus. This summary does not contain all of the information you should consider before investing in the notes. You should read this prospectus supplement, the accompanying prospectus, any free writing prospectus and the documents incorporated by reference herein and therein carefully, especially the risks of investing in the notes discussed in “Risk Factors” below and in the incorporated documents. References herein to a fiscal year mean the fiscal year ended December 31, 2025.</w:t>
      </w:r>
    </w:p>
    <w:p>
      <w:pPr>
        <w:spacing w:after="0" w:line="223" w:lineRule="exact"/>
        <w:rPr>
          <w:sz w:val="20"/>
          <w:szCs w:val="20"/>
          <w:color w:val="auto"/>
        </w:rPr>
      </w:pPr>
    </w:p>
    <w:p>
      <w:pPr>
        <w:ind w:left="380" w:right="879" w:firstLine="330"/>
        <w:spacing w:after="0" w:line="284" w:lineRule="auto"/>
        <w:rPr>
          <w:sz w:val="20"/>
          <w:szCs w:val="20"/>
          <w:color w:val="auto"/>
        </w:rPr>
      </w:pPr>
      <w:r>
        <w:rPr>
          <w:rFonts w:ascii="Times New Roman" w:cs="Times New Roman" w:eastAsia="Times New Roman" w:hAnsi="Times New Roman"/>
          <w:sz w:val="14"/>
          <w:szCs w:val="14"/>
          <w:i w:val="1"/>
          <w:iCs w:val="1"/>
          <w:color w:val="auto"/>
        </w:rPr>
        <w:t>Throughout the remainder of this prospectus supplement, except as otherwise indicated, references to “we,” “us,” “our,” “Navient,” “Navient Corporation,” and the “Company” refer collectively to Navient Corporation and its consolidated subsidiaries.</w:t>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92" w:lineRule="exact"/>
        <w:rPr>
          <w:sz w:val="20"/>
          <w:szCs w:val="20"/>
          <w:color w:val="auto"/>
        </w:rPr>
      </w:pPr>
    </w:p>
    <w:p>
      <w:pPr>
        <w:ind w:left="380" w:right="399" w:firstLine="330"/>
        <w:spacing w:after="0" w:line="260" w:lineRule="auto"/>
        <w:rPr>
          <w:sz w:val="20"/>
          <w:szCs w:val="20"/>
          <w:color w:val="auto"/>
        </w:rPr>
      </w:pPr>
      <w:r>
        <w:rPr>
          <w:rFonts w:ascii="Times New Roman" w:cs="Times New Roman" w:eastAsia="Times New Roman" w:hAnsi="Times New Roman"/>
          <w:sz w:val="14"/>
          <w:szCs w:val="14"/>
          <w:color w:val="auto"/>
        </w:rPr>
        <w:t>We create long-term value for customers and investors with responsible lending, flexible refinancing, trusted servicing oversight, and decades of education finance and portfolio management expertise. Through our Earnest brand’s business, we help customers confidently achieve financial success through digital financial services. Our employees thrive in a culture of belonging, where they are supported and proud to deliver meaningful outcomes.</w:t>
      </w:r>
    </w:p>
    <w:p>
      <w:pPr>
        <w:spacing w:after="0" w:line="14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Our business consists of:</w:t>
      </w:r>
    </w:p>
    <w:p>
      <w:pPr>
        <w:spacing w:after="0" w:line="101" w:lineRule="exact"/>
        <w:rPr>
          <w:sz w:val="20"/>
          <w:szCs w:val="20"/>
          <w:color w:val="auto"/>
        </w:rPr>
      </w:pPr>
    </w:p>
    <w:p>
      <w:pPr>
        <w:ind w:left="1100" w:hanging="316"/>
        <w:spacing w:after="0"/>
        <w:tabs>
          <w:tab w:leader="none" w:pos="11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Lending</w:t>
      </w:r>
    </w:p>
    <w:p>
      <w:pPr>
        <w:spacing w:after="0" w:line="90" w:lineRule="exact"/>
        <w:rPr>
          <w:sz w:val="20"/>
          <w:szCs w:val="20"/>
          <w:color w:val="auto"/>
        </w:rPr>
      </w:pPr>
    </w:p>
    <w:p>
      <w:pPr>
        <w:ind w:left="1120" w:right="399"/>
        <w:spacing w:after="0" w:line="265" w:lineRule="auto"/>
        <w:rPr>
          <w:sz w:val="20"/>
          <w:szCs w:val="20"/>
          <w:color w:val="auto"/>
        </w:rPr>
      </w:pPr>
      <w:r>
        <w:rPr>
          <w:rFonts w:ascii="Times New Roman" w:cs="Times New Roman" w:eastAsia="Times New Roman" w:hAnsi="Times New Roman"/>
          <w:sz w:val="14"/>
          <w:szCs w:val="14"/>
          <w:color w:val="auto"/>
        </w:rPr>
        <w:t>We own and manage a portfolio of $15.6 billion of Private Education Loans. Through our Earnest brand we help students and families succeed with education lending and digital financial services, originating Earnest branded in-school student loans and refinancing products. In the first quarter of 2026, we originated $818 million of Private Education Loans.</w:t>
      </w:r>
    </w:p>
    <w:p>
      <w:pPr>
        <w:spacing w:after="0" w:line="63" w:lineRule="exact"/>
        <w:rPr>
          <w:sz w:val="20"/>
          <w:szCs w:val="20"/>
          <w:color w:val="auto"/>
        </w:rPr>
      </w:pPr>
    </w:p>
    <w:p>
      <w:pPr>
        <w:ind w:left="1100" w:hanging="316"/>
        <w:spacing w:after="0"/>
        <w:tabs>
          <w:tab w:leader="none" w:pos="11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Education Loans</w:t>
      </w:r>
    </w:p>
    <w:p>
      <w:pPr>
        <w:spacing w:after="0" w:line="90" w:lineRule="exact"/>
        <w:rPr>
          <w:sz w:val="20"/>
          <w:szCs w:val="20"/>
          <w:color w:val="auto"/>
        </w:rPr>
      </w:pPr>
    </w:p>
    <w:p>
      <w:pPr>
        <w:ind w:left="1120" w:right="419"/>
        <w:spacing w:after="0" w:line="281" w:lineRule="auto"/>
        <w:rPr>
          <w:sz w:val="20"/>
          <w:szCs w:val="20"/>
          <w:color w:val="auto"/>
        </w:rPr>
      </w:pPr>
      <w:r>
        <w:rPr>
          <w:rFonts w:ascii="Times New Roman" w:cs="Times New Roman" w:eastAsia="Times New Roman" w:hAnsi="Times New Roman"/>
          <w:sz w:val="14"/>
          <w:szCs w:val="14"/>
          <w:color w:val="auto"/>
        </w:rPr>
        <w:t>We own and manage a portfolio of $27.2 billion of federally guaranteed Federal Family Education Loan Program (FFELP) Loans. We support the success of our customers and ensure a compliant, efficient customer experience.</w:t>
      </w:r>
    </w:p>
    <w:p>
      <w:pPr>
        <w:spacing w:after="0" w:line="125" w:lineRule="exact"/>
        <w:rPr>
          <w:sz w:val="20"/>
          <w:szCs w:val="20"/>
          <w:color w:val="auto"/>
        </w:rPr>
      </w:pPr>
    </w:p>
    <w:p>
      <w:pPr>
        <w:ind w:left="380" w:right="739" w:firstLine="330"/>
        <w:spacing w:after="0" w:line="265" w:lineRule="auto"/>
        <w:rPr>
          <w:sz w:val="20"/>
          <w:szCs w:val="20"/>
          <w:color w:val="auto"/>
        </w:rPr>
      </w:pPr>
      <w:r>
        <w:rPr>
          <w:rFonts w:ascii="Times New Roman" w:cs="Times New Roman" w:eastAsia="Times New Roman" w:hAnsi="Times New Roman"/>
          <w:sz w:val="14"/>
          <w:szCs w:val="14"/>
          <w:color w:val="auto"/>
        </w:rPr>
        <w:t>We previously provided both healthcare and government business processing services. Our healthcare services business was sold in September 2024 and our government services business was sold in February 2025, marking the end of Navient providing business processing solutions.</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2" w:lineRule="exact"/>
        <w:rPr>
          <w:sz w:val="20"/>
          <w:szCs w:val="20"/>
          <w:color w:val="auto"/>
        </w:rPr>
      </w:pPr>
    </w:p>
    <w:p>
      <w:pPr>
        <w:ind w:left="380" w:right="499" w:firstLine="330"/>
        <w:spacing w:after="0" w:line="265" w:lineRule="auto"/>
        <w:rPr>
          <w:sz w:val="20"/>
          <w:szCs w:val="20"/>
          <w:color w:val="auto"/>
        </w:rPr>
      </w:pPr>
      <w:r>
        <w:rPr>
          <w:rFonts w:ascii="Times New Roman" w:cs="Times New Roman" w:eastAsia="Times New Roman" w:hAnsi="Times New Roman"/>
          <w:sz w:val="14"/>
          <w:szCs w:val="14"/>
          <w:color w:val="auto"/>
        </w:rPr>
        <w:t xml:space="preserve">Our principal executive offices are located at 13865 Sunrise Valley Drive, Herndon, Virginia 20171. Our telephone number is (302) 283-8000. Our website address is </w:t>
      </w:r>
      <w:r>
        <w:rPr>
          <w:rFonts w:ascii="Times New Roman" w:cs="Times New Roman" w:eastAsia="Times New Roman" w:hAnsi="Times New Roman"/>
          <w:sz w:val="14"/>
          <w:szCs w:val="14"/>
          <w:u w:val="single" w:color="auto"/>
          <w:color w:val="auto"/>
        </w:rPr>
        <w:t>www.navient.com</w:t>
      </w:r>
      <w:r>
        <w:rPr>
          <w:rFonts w:ascii="Times New Roman" w:cs="Times New Roman" w:eastAsia="Times New Roman" w:hAnsi="Times New Roman"/>
          <w:sz w:val="14"/>
          <w:szCs w:val="14"/>
          <w:color w:val="auto"/>
        </w:rPr>
        <w:t>. Information on, or accessible through, our website does not constitute part of this prospectus supplement or the accompanying prospectus.</w:t>
      </w:r>
    </w:p>
    <w:p>
      <w:pPr>
        <w:spacing w:after="0" w:line="136" w:lineRule="exact"/>
        <w:rPr>
          <w:sz w:val="20"/>
          <w:szCs w:val="20"/>
          <w:color w:val="auto"/>
        </w:rPr>
      </w:pPr>
    </w:p>
    <w:p>
      <w:pPr>
        <w:ind w:left="380" w:right="399" w:firstLine="330"/>
        <w:spacing w:after="0" w:line="281" w:lineRule="auto"/>
        <w:rPr>
          <w:sz w:val="20"/>
          <w:szCs w:val="20"/>
          <w:color w:val="auto"/>
        </w:rPr>
      </w:pPr>
      <w:r>
        <w:rPr>
          <w:rFonts w:ascii="Times New Roman" w:cs="Times New Roman" w:eastAsia="Times New Roman" w:hAnsi="Times New Roman"/>
          <w:sz w:val="14"/>
          <w:szCs w:val="14"/>
          <w:color w:val="auto"/>
        </w:rPr>
        <w:t>For a further discussion of our business, we urge you to read the documents incorporated by reference herein, including our Annual Report on Form 10-K for the year ended December 31, 2025. See “Where You Can Find More Information” in this prospectus supplement.</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4" w:right="1440" w:bottom="1440" w:gutter="0" w:footer="0" w:header="0"/>
        </w:sectPr>
      </w:pPr>
    </w:p>
    <w:bookmarkStart w:id="6" w:name="page7"/>
    <w:bookmarkEnd w:id="6"/>
    <w:tbl>
      <w:tblPr>
        <w:tblLayout w:type="fixed"/>
        <w:tblInd w:w="230" w:type="dxa"/>
        <w:tblCellMar>
          <w:top w:w="0" w:type="dxa"/>
          <w:left w:w="0" w:type="dxa"/>
          <w:bottom w:w="0" w:type="dxa"/>
          <w:right w:w="0" w:type="dxa"/>
        </w:tblCellMar>
      </w:tblPr>
      <w:tr>
        <w:trPr>
          <w:trHeight w:val="319"/>
        </w:trPr>
        <w:tc>
          <w:tcPr>
            <w:tcW w:w="2740" w:type="dxa"/>
            <w:vAlign w:val="bottom"/>
            <w:tcBorders>
              <w:top w:val="single" w:sz="8" w:color="auto"/>
              <w:left w:val="single" w:sz="8" w:color="auto"/>
            </w:tcBorders>
          </w:tcPr>
          <w:p>
            <w:pPr>
              <w:spacing w:after="0"/>
              <w:rPr>
                <w:sz w:val="24"/>
                <w:szCs w:val="24"/>
                <w:color w:val="auto"/>
              </w:rPr>
            </w:pPr>
          </w:p>
        </w:tc>
        <w:tc>
          <w:tcPr>
            <w:tcW w:w="5820" w:type="dxa"/>
            <w:vAlign w:val="bottom"/>
            <w:tcBorders>
              <w:top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6"/>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Issuer</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Navient Corporation</w:t>
            </w:r>
          </w:p>
        </w:tc>
      </w:tr>
      <w:tr>
        <w:trPr>
          <w:trHeight w:val="460"/>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Securities Offered</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$500 million aggregate principal amount of 9.375% Senior Notes due 2031.</w:t>
            </w:r>
          </w:p>
        </w:tc>
      </w:tr>
      <w:tr>
        <w:trPr>
          <w:trHeight w:val="351"/>
        </w:trPr>
        <w:tc>
          <w:tcPr>
            <w:tcW w:w="2740" w:type="dxa"/>
            <w:vAlign w:val="bottom"/>
            <w:tcBorders>
              <w:left w:val="single" w:sz="8" w:color="auto"/>
            </w:tcBorders>
          </w:tcPr>
          <w:p>
            <w:pPr>
              <w:spacing w:after="0"/>
              <w:rPr>
                <w:sz w:val="24"/>
                <w:szCs w:val="2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We will issue the notes under a base indenture, dated as of July 18, 2014, between us and</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Bank of New York Mellon, as trustee, as supplemented by a supplemental indenture to</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be entered into between us and the trustee.</w:t>
            </w:r>
          </w:p>
        </w:tc>
      </w:tr>
      <w:tr>
        <w:trPr>
          <w:trHeight w:val="356"/>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Maturity Date</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notes will mature on October 15, 2031.</w:t>
            </w:r>
          </w:p>
        </w:tc>
      </w:tr>
      <w:tr>
        <w:trPr>
          <w:trHeight w:val="366"/>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Interest Rate</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9.375% per year.</w:t>
            </w:r>
          </w:p>
        </w:tc>
      </w:tr>
      <w:tr>
        <w:trPr>
          <w:trHeight w:val="366"/>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Interest Payment Dates</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April 15 and October 15 of each year, commencing on October 15, 2026.</w:t>
            </w:r>
          </w:p>
        </w:tc>
      </w:tr>
      <w:tr>
        <w:trPr>
          <w:trHeight w:val="351"/>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Optional Redemption</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Prior to July 15, 2031 (three months prior to their maturity date) (the “Par Call Date”), the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Company may redeem the notes at its option, in whole or in part, at any time and from time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to time, at a redemption price (expressed as a percentage of principal amount and rounded</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to three decimal places) equal to the greater of: (1) (a) the sum of the present values of the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remaining scheduled payments of principal and interest thereon discounted to the</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redemption date (assuming the notes matured on the Par Call Date) on a semi-annual basis</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(assuming a 360-day year consisting of twelve 30-day months) at the Treasury Rate (as</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defined herein) plus 50 basis points less (b) interest accrued to the date of redemption, and</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(2) 100% of the principal amount of the notes to be redeemed, plus, in either case, accrued</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and unpaid interest thereon to the redemption date.</w:t>
            </w:r>
          </w:p>
        </w:tc>
      </w:tr>
      <w:tr>
        <w:trPr>
          <w:trHeight w:val="341"/>
        </w:trPr>
        <w:tc>
          <w:tcPr>
            <w:tcW w:w="2740" w:type="dxa"/>
            <w:vAlign w:val="bottom"/>
            <w:tcBorders>
              <w:left w:val="single" w:sz="8" w:color="auto"/>
            </w:tcBorders>
          </w:tcPr>
          <w:p>
            <w:pPr>
              <w:spacing w:after="0"/>
              <w:rPr>
                <w:sz w:val="24"/>
                <w:szCs w:val="2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On or after the Par Call Date, the Company may redeem the notes, in whole or in part, at</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any time and from time to time, at a redemption price equal to 100% of the principal</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amount of the notes being redeemed plus accrued and unpaid interest thereon to the</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redemption date. See “Description of Notes—Optional Redemption.”</w:t>
            </w:r>
          </w:p>
        </w:tc>
      </w:tr>
      <w:tr>
        <w:trPr>
          <w:trHeight w:val="341"/>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Change of Control Triggering Event</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Upon the occurrence of both (1) a Change of Conrol (as defined herein) of us and (2) a</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downgrade of the notes by at least one modifier by any two of the three Rating Agencies</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(as defined herein) within a specified period, unless we have exercised our optional</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redemption right, if any, to redeem the notes in full, we will offer to repurchase any and all</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of each holder’s notes at a price in cash equal to 101% of the aggregate principal amount of</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notes repurchased, plus accrued and unpaid interest, if any, thereon, to, but not</w:t>
            </w:r>
          </w:p>
        </w:tc>
      </w:tr>
      <w:tr>
        <w:trPr>
          <w:trHeight w:val="167"/>
        </w:trPr>
        <w:tc>
          <w:tcPr>
            <w:tcW w:w="2740" w:type="dxa"/>
            <w:vAlign w:val="bottom"/>
            <w:tcBorders>
              <w:left w:val="single" w:sz="8" w:color="auto"/>
            </w:tcBorders>
          </w:tcPr>
          <w:p>
            <w:pPr>
              <w:spacing w:after="0"/>
              <w:rPr>
                <w:sz w:val="14"/>
                <w:szCs w:val="14"/>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including, the date of repurchase. See “Description of Notes—Repurchase Upon a Change</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of Control” in this prospectus supplement.</w:t>
            </w:r>
          </w:p>
        </w:tc>
      </w:tr>
      <w:tr>
        <w:trPr>
          <w:trHeight w:val="341"/>
        </w:trPr>
        <w:tc>
          <w:tcPr>
            <w:tcW w:w="27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Ranking</w:t>
            </w: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The notes will be our senior unsecured debt and will rank equally with all of our existing</w:t>
            </w:r>
          </w:p>
        </w:tc>
      </w:tr>
      <w:tr>
        <w:trPr>
          <w:trHeight w:val="182"/>
        </w:trPr>
        <w:tc>
          <w:tcPr>
            <w:tcW w:w="2740" w:type="dxa"/>
            <w:vAlign w:val="bottom"/>
            <w:tcBorders>
              <w:left w:val="single" w:sz="8" w:color="auto"/>
            </w:tcBorders>
          </w:tcPr>
          <w:p>
            <w:pPr>
              <w:spacing w:after="0"/>
              <w:rPr>
                <w:sz w:val="15"/>
                <w:szCs w:val="15"/>
                <w:color w:val="auto"/>
              </w:rPr>
            </w:pPr>
          </w:p>
        </w:tc>
        <w:tc>
          <w:tcPr>
            <w:tcW w:w="58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and future unsecured and unsubordinated debt.</w:t>
            </w:r>
          </w:p>
        </w:tc>
      </w:tr>
      <w:tr>
        <w:trPr>
          <w:trHeight w:val="121"/>
        </w:trPr>
        <w:tc>
          <w:tcPr>
            <w:tcW w:w="2740" w:type="dxa"/>
            <w:vAlign w:val="bottom"/>
            <w:tcBorders>
              <w:left w:val="single" w:sz="8" w:color="auto"/>
              <w:bottom w:val="single" w:sz="8" w:color="auto"/>
            </w:tcBorders>
          </w:tcPr>
          <w:p>
            <w:pPr>
              <w:spacing w:after="0"/>
              <w:rPr>
                <w:sz w:val="10"/>
                <w:szCs w:val="10"/>
                <w:color w:val="auto"/>
              </w:rPr>
            </w:pPr>
          </w:p>
        </w:tc>
        <w:tc>
          <w:tcPr>
            <w:tcW w:w="5820" w:type="dxa"/>
            <w:vAlign w:val="bottom"/>
            <w:tcBorders>
              <w:bottom w:val="single" w:sz="8" w:color="auto"/>
              <w:right w:val="single" w:sz="8" w:color="auto"/>
            </w:tcBorders>
          </w:tcPr>
          <w:p>
            <w:pPr>
              <w:spacing w:after="0"/>
              <w:rPr>
                <w:sz w:val="10"/>
                <w:szCs w:val="10"/>
                <w:color w:val="auto"/>
              </w:rPr>
            </w:pPr>
          </w:p>
        </w:tc>
      </w:tr>
      <w:tr>
        <w:trPr>
          <w:trHeight w:val="278"/>
        </w:trPr>
        <w:tc>
          <w:tcPr>
            <w:tcW w:w="2740" w:type="dxa"/>
            <w:vAlign w:val="bottom"/>
          </w:tcPr>
          <w:p>
            <w:pPr>
              <w:spacing w:after="0"/>
              <w:rPr>
                <w:sz w:val="24"/>
                <w:szCs w:val="24"/>
                <w:color w:val="auto"/>
              </w:rPr>
            </w:pPr>
          </w:p>
        </w:tc>
        <w:tc>
          <w:tcPr>
            <w:tcW w:w="5820" w:type="dxa"/>
            <w:vAlign w:val="bottom"/>
          </w:tcPr>
          <w:p>
            <w:pPr>
              <w:ind w:left="1440"/>
              <w:spacing w:after="0"/>
              <w:rPr>
                <w:sz w:val="20"/>
                <w:szCs w:val="20"/>
                <w:color w:val="auto"/>
              </w:rPr>
            </w:pPr>
            <w:r>
              <w:rPr>
                <w:rFonts w:ascii="Times New Roman" w:cs="Times New Roman" w:eastAsia="Times New Roman" w:hAnsi="Times New Roman"/>
                <w:sz w:val="14"/>
                <w:szCs w:val="14"/>
                <w:color w:val="auto"/>
              </w:rPr>
              <w:t>S-2</w:t>
            </w:r>
          </w:p>
        </w:tc>
      </w:tr>
    </w:tbl>
    <w:p>
      <w:pPr>
        <w:ind w:left="144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7" w:name="page8"/>
    <w:bookmarkEnd w:id="7"/>
    <w:tbl>
      <w:tblPr>
        <w:tblLayout w:type="fixed"/>
        <w:tblInd w:w="230" w:type="dxa"/>
        <w:tblCellMar>
          <w:top w:w="0" w:type="dxa"/>
          <w:left w:w="0" w:type="dxa"/>
          <w:bottom w:w="0" w:type="dxa"/>
          <w:right w:w="0" w:type="dxa"/>
        </w:tblCellMar>
      </w:tblPr>
      <w:tr>
        <w:trPr>
          <w:trHeight w:val="304"/>
        </w:trPr>
        <w:tc>
          <w:tcPr>
            <w:tcW w:w="3200" w:type="dxa"/>
            <w:vAlign w:val="bottom"/>
            <w:tcBorders>
              <w:top w:val="single" w:sz="8" w:color="auto"/>
              <w:left w:val="single" w:sz="8" w:color="auto"/>
            </w:tcBorders>
          </w:tcPr>
          <w:p>
            <w:pPr>
              <w:spacing w:after="0"/>
              <w:rPr>
                <w:sz w:val="24"/>
                <w:szCs w:val="24"/>
                <w:color w:val="auto"/>
              </w:rPr>
            </w:pPr>
          </w:p>
        </w:tc>
        <w:tc>
          <w:tcPr>
            <w:tcW w:w="53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will be effectively subordinated to all of our existing and future secured debt to</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extent of the assets securing that debt and to all the debt and other liabilities of our</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subsidiaries.</w:t>
            </w:r>
          </w:p>
        </w:tc>
      </w:tr>
      <w:tr>
        <w:trPr>
          <w:trHeight w:val="341"/>
        </w:trPr>
        <w:tc>
          <w:tcPr>
            <w:tcW w:w="3200" w:type="dxa"/>
            <w:vAlign w:val="bottom"/>
            <w:tcBorders>
              <w:left w:val="single" w:sz="8" w:color="auto"/>
            </w:tcBorders>
          </w:tcPr>
          <w:p>
            <w:pPr>
              <w:spacing w:after="0"/>
              <w:rPr>
                <w:sz w:val="24"/>
                <w:szCs w:val="2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As of March 31, 2026, (i) we had approximately $5.3 billion aggregate principal amount of</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unsecured senior indebtedness outstanding with which the notes will rank pari passu and</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(ii) our subsidiaries had no unsecured senior indebtedness outstanding.</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Further Issues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At any time and from time to time, without notice to or consent of the holders, we may also</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issue additional debt securities of the same tenor, coupon and other terms of the notes</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(except for the issue date and public offering price), so that such debt securities and the</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notes offered hereby together form a single series.</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Certain Covenants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indenture governing the notes will contain covenants that limit our ability to</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consolidate, merge or transfer all or substantially all of our assets. These covenants are</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subject to important exceptions and qualifications, which are described in the “Description</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 Notes” section of this prospectus supplement.</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Use of Proceeds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We estimate that the net proceeds from this offering, after deducting estimated offering</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expenses of approximately $1,475,000, will be approximately $494,150,000. We intend to</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use the net proceeds from this offering for general corporate purposes, including debt</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repurchases which could include redemptions, open market debt repurchases or tender</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offers.</w:t>
            </w:r>
          </w:p>
        </w:tc>
      </w:tr>
      <w:tr>
        <w:trPr>
          <w:trHeight w:val="34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United States Federal Income Tax Considerations for</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You should consult your tax advisor with respect to the U.S. federal income tax</w:t>
            </w:r>
          </w:p>
        </w:tc>
      </w:tr>
      <w:tr>
        <w:trPr>
          <w:trHeight w:val="167"/>
        </w:trPr>
        <w:tc>
          <w:tcPr>
            <w:tcW w:w="32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Non-U.S. Holders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considerations of owning the notes in light of your own particular situation and with</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respect to any tax considerations arising under the laws of any state, local, foreign or other</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taxing jurisdiction. See “United States Federal Income Tax Considerations for Non-U.S.</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Holders.”</w:t>
            </w:r>
          </w:p>
        </w:tc>
      </w:tr>
      <w:tr>
        <w:trPr>
          <w:trHeight w:val="356"/>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Governing Law</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notes and the indenture will be governed by the laws of the state of New York.</w:t>
            </w:r>
          </w:p>
        </w:tc>
      </w:tr>
      <w:tr>
        <w:trPr>
          <w:trHeight w:val="366"/>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Trustee, Registrar and Paying Agent</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The Bank of New York Mellon.</w:t>
            </w:r>
          </w:p>
        </w:tc>
      </w:tr>
      <w:tr>
        <w:trPr>
          <w:trHeight w:val="351"/>
        </w:trPr>
        <w:tc>
          <w:tcPr>
            <w:tcW w:w="320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Risk Factors</w:t>
            </w: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See “Risk Factors” beginning on page S-6 of this prospectus supplement and other</w:t>
            </w:r>
          </w:p>
        </w:tc>
      </w:tr>
      <w:tr>
        <w:trPr>
          <w:trHeight w:val="167"/>
        </w:trPr>
        <w:tc>
          <w:tcPr>
            <w:tcW w:w="3200" w:type="dxa"/>
            <w:vAlign w:val="bottom"/>
            <w:tcBorders>
              <w:left w:val="single" w:sz="8" w:color="auto"/>
            </w:tcBorders>
          </w:tcPr>
          <w:p>
            <w:pPr>
              <w:spacing w:after="0"/>
              <w:rPr>
                <w:sz w:val="14"/>
                <w:szCs w:val="14"/>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information included or incorporated by reference in this prospectus supplement and the</w:t>
            </w:r>
          </w:p>
        </w:tc>
      </w:tr>
      <w:tr>
        <w:trPr>
          <w:trHeight w:val="182"/>
        </w:trPr>
        <w:tc>
          <w:tcPr>
            <w:tcW w:w="3200" w:type="dxa"/>
            <w:vAlign w:val="bottom"/>
            <w:tcBorders>
              <w:left w:val="single" w:sz="8" w:color="auto"/>
            </w:tcBorders>
          </w:tcPr>
          <w:p>
            <w:pPr>
              <w:spacing w:after="0"/>
              <w:rPr>
                <w:sz w:val="15"/>
                <w:szCs w:val="15"/>
                <w:color w:val="auto"/>
              </w:rPr>
            </w:pPr>
          </w:p>
        </w:tc>
        <w:tc>
          <w:tcPr>
            <w:tcW w:w="5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accompanying prospectus, including the section entitled “Risk Factors.”</w:t>
            </w:r>
          </w:p>
        </w:tc>
      </w:tr>
      <w:tr>
        <w:trPr>
          <w:trHeight w:val="121"/>
        </w:trPr>
        <w:tc>
          <w:tcPr>
            <w:tcW w:w="3200" w:type="dxa"/>
            <w:vAlign w:val="bottom"/>
            <w:tcBorders>
              <w:left w:val="single" w:sz="8" w:color="auto"/>
              <w:bottom w:val="single" w:sz="8" w:color="auto"/>
            </w:tcBorders>
          </w:tcPr>
          <w:p>
            <w:pPr>
              <w:spacing w:after="0"/>
              <w:rPr>
                <w:sz w:val="10"/>
                <w:szCs w:val="10"/>
                <w:color w:val="auto"/>
              </w:rPr>
            </w:pPr>
          </w:p>
        </w:tc>
        <w:tc>
          <w:tcPr>
            <w:tcW w:w="5360" w:type="dxa"/>
            <w:vAlign w:val="bottom"/>
            <w:tcBorders>
              <w:bottom w:val="single" w:sz="8" w:color="auto"/>
              <w:right w:val="single" w:sz="8" w:color="auto"/>
            </w:tcBorders>
          </w:tcPr>
          <w:p>
            <w:pPr>
              <w:spacing w:after="0"/>
              <w:rPr>
                <w:sz w:val="10"/>
                <w:szCs w:val="10"/>
                <w:color w:val="auto"/>
              </w:rPr>
            </w:pPr>
          </w:p>
        </w:tc>
      </w:tr>
      <w:tr>
        <w:trPr>
          <w:trHeight w:val="278"/>
        </w:trPr>
        <w:tc>
          <w:tcPr>
            <w:tcW w:w="3200" w:type="dxa"/>
            <w:vAlign w:val="bottom"/>
          </w:tcPr>
          <w:p>
            <w:pPr>
              <w:spacing w:after="0"/>
              <w:rPr>
                <w:sz w:val="24"/>
                <w:szCs w:val="24"/>
                <w:color w:val="auto"/>
              </w:rPr>
            </w:pPr>
          </w:p>
        </w:tc>
        <w:tc>
          <w:tcPr>
            <w:tcW w:w="536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S-3</w:t>
            </w:r>
          </w:p>
        </w:tc>
      </w:tr>
    </w:tbl>
    <w:p>
      <w:pPr>
        <w:ind w:left="980"/>
        <w:spacing w:after="0"/>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5358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5358765"/>
                    </a:xfrm>
                    <a:prstGeom prst="rect">
                      <a:avLst/>
                    </a:prstGeom>
                    <a:noFill/>
                  </pic:spPr>
                </pic:pic>
              </a:graphicData>
            </a:graphic>
          </wp:anchor>
        </w:drawing>
        <w:t>SUMMARY HISTORICAL FINANCIAL DATA</w:t>
      </w:r>
    </w:p>
    <w:p>
      <w:pPr>
        <w:spacing w:after="0" w:line="176" w:lineRule="exact"/>
        <w:rPr>
          <w:sz w:val="20"/>
          <w:szCs w:val="20"/>
          <w:color w:val="auto"/>
        </w:rPr>
      </w:pPr>
    </w:p>
    <w:p>
      <w:pPr>
        <w:ind w:left="380" w:right="479" w:firstLine="330"/>
        <w:spacing w:after="0" w:line="260" w:lineRule="auto"/>
        <w:rPr>
          <w:sz w:val="20"/>
          <w:szCs w:val="20"/>
          <w:color w:val="auto"/>
        </w:rPr>
      </w:pPr>
      <w:r>
        <w:rPr>
          <w:rFonts w:ascii="Times New Roman" w:cs="Times New Roman" w:eastAsia="Times New Roman" w:hAnsi="Times New Roman"/>
          <w:sz w:val="14"/>
          <w:szCs w:val="14"/>
          <w:color w:val="auto"/>
        </w:rPr>
        <w:t>You should read the summary historical consolidated financial data set forth below in conjunction with “Management’s Discussion and Analysis of Financial Condition and Results of Operations” and the consolidated financial statements and the related notes included in our Annual Report on Form 10-K for the year ended December 31, 2025 and our Quarterly Report on Form 10-Q for the three months ended March 31, 2026, each of which is incorporated by reference in this prospectus supplement and the accompanying prospectus.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4"/>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8"/>
              </w:rPr>
              <w:t>Years Ended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gridSpan w:val="5"/>
          </w:tcPr>
          <w:p>
            <w:pPr>
              <w:jc w:val="right"/>
              <w:ind w:right="219"/>
              <w:spacing w:after="0"/>
              <w:rPr>
                <w:sz w:val="20"/>
                <w:szCs w:val="20"/>
                <w:color w:val="auto"/>
              </w:rPr>
            </w:pPr>
            <w:r>
              <w:rPr>
                <w:rFonts w:ascii="Times New Roman" w:cs="Times New Roman" w:eastAsia="Times New Roman" w:hAnsi="Times New Roman"/>
                <w:sz w:val="11"/>
                <w:szCs w:val="11"/>
                <w:b w:val="1"/>
                <w:bCs w:val="1"/>
                <w:color w:val="auto"/>
              </w:rPr>
              <w:t>March 31, (Unaudited)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00" w:type="dxa"/>
            <w:vAlign w:val="bottom"/>
            <w:gridSpan w:val="11"/>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December 31, (Audited)</w:t>
            </w:r>
          </w:p>
        </w:tc>
        <w:tc>
          <w:tcPr>
            <w:tcW w:w="0" w:type="dxa"/>
            <w:vAlign w:val="bottom"/>
          </w:tcPr>
          <w:p>
            <w:pPr>
              <w:spacing w:after="0"/>
              <w:rPr>
                <w:sz w:val="1"/>
                <w:szCs w:val="1"/>
                <w:color w:val="auto"/>
              </w:rPr>
            </w:pPr>
          </w:p>
        </w:tc>
      </w:tr>
      <w:tr>
        <w:trPr>
          <w:trHeight w:val="106"/>
        </w:trPr>
        <w:tc>
          <w:tcPr>
            <w:tcW w:w="160" w:type="dxa"/>
            <w:vAlign w:val="bottom"/>
          </w:tcPr>
          <w:p>
            <w:pPr>
              <w:spacing w:after="0"/>
              <w:rPr>
                <w:sz w:val="9"/>
                <w:szCs w:val="9"/>
                <w:color w:val="auto"/>
              </w:rPr>
            </w:pPr>
          </w:p>
        </w:tc>
        <w:tc>
          <w:tcPr>
            <w:tcW w:w="47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60" w:type="dxa"/>
            <w:vAlign w:val="bottom"/>
            <w:tcBorders>
              <w:top w:val="single" w:sz="8" w:color="auto"/>
              <w:bottom w:val="single" w:sz="8" w:color="auto"/>
            </w:tcBorders>
          </w:tcPr>
          <w:p>
            <w:pPr>
              <w:jc w:val="right"/>
              <w:ind w:right="32"/>
              <w:spacing w:after="0" w:line="106" w:lineRule="exact"/>
              <w:rPr>
                <w:sz w:val="20"/>
                <w:szCs w:val="20"/>
                <w:color w:val="auto"/>
              </w:rPr>
            </w:pPr>
            <w:r>
              <w:rPr>
                <w:rFonts w:ascii="Times New Roman" w:cs="Times New Roman" w:eastAsia="Times New Roman" w:hAnsi="Times New Roman"/>
                <w:sz w:val="11"/>
                <w:szCs w:val="11"/>
                <w:b w:val="1"/>
                <w:bCs w:val="1"/>
                <w:color w:val="auto"/>
              </w:rPr>
              <w:t>2026</w:t>
            </w:r>
          </w:p>
        </w:tc>
        <w:tc>
          <w:tcPr>
            <w:tcW w:w="3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jc w:val="right"/>
              <w:ind w:right="7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Borders>
              <w:top w:val="single" w:sz="8" w:color="auto"/>
              <w:bottom w:val="single" w:sz="8" w:color="CCEEFF"/>
            </w:tcBorders>
          </w:tcPr>
          <w:p>
            <w:pPr>
              <w:spacing w:after="0"/>
              <w:rPr>
                <w:sz w:val="9"/>
                <w:szCs w:val="9"/>
                <w:color w:val="auto"/>
              </w:rPr>
            </w:pPr>
          </w:p>
        </w:tc>
        <w:tc>
          <w:tcPr>
            <w:tcW w:w="18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Borders>
              <w:top w:val="single" w:sz="8" w:color="auto"/>
              <w:bottom w:val="single" w:sz="8" w:color="CCEEFF"/>
            </w:tcBorders>
          </w:tcPr>
          <w:p>
            <w:pPr>
              <w:spacing w:after="0"/>
              <w:rPr>
                <w:sz w:val="9"/>
                <w:szCs w:val="9"/>
                <w:color w:val="auto"/>
              </w:rPr>
            </w:pPr>
          </w:p>
        </w:tc>
        <w:tc>
          <w:tcPr>
            <w:tcW w:w="100" w:type="dxa"/>
            <w:vAlign w:val="bottom"/>
            <w:tcBorders>
              <w:top w:val="single" w:sz="8" w:color="auto"/>
              <w:bottom w:val="single" w:sz="8" w:color="CCEEFF"/>
            </w:tcBorders>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11"/>
              <w:spacing w:after="0" w:line="106" w:lineRule="exact"/>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Borders>
              <w:bottom w:val="single" w:sz="8" w:color="CCEEFF"/>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47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Private Education Loans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6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1,122</w:t>
            </w:r>
          </w:p>
        </w:tc>
        <w:tc>
          <w:tcPr>
            <w:tcW w:w="12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1,259</w:t>
            </w:r>
          </w:p>
        </w:tc>
        <w:tc>
          <w:tcPr>
            <w:tcW w:w="1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1,369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FFELP Loans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1,903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2,396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2,897</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Cash and investments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3,809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4,419</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2,589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3,273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3,557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Less: provisions for loan losses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 after provisions for loan losses</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Other 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Servicing revenue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Asset recovery and business processing revenue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 on sale of subsidiaries,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Losses on debt repurchases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Gains (losses) on derivative and hedging activities,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other income</w:t>
            </w:r>
          </w:p>
        </w:tc>
        <w:tc>
          <w:tcPr>
            <w:tcW w:w="12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6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Salaries and benefits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Goodwill and acquired intangible asset impairment and amortization expense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Restructuring/other reorganization expenses</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expenses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before income tax expense (benefit)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60" w:type="dxa"/>
            <w:vAlign w:val="bottom"/>
            <w:vMerge w:val="continue"/>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Basic earnings (loss) per common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3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 common shares outstanding</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Diluted earnings (loss) per common share</w:t>
            </w: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60" w:type="dxa"/>
            <w:vAlign w:val="bottom"/>
          </w:tcPr>
          <w:p>
            <w:pPr>
              <w:spacing w:after="0"/>
              <w:rPr>
                <w:sz w:val="12"/>
                <w:szCs w:val="12"/>
                <w:color w:val="auto"/>
              </w:rPr>
            </w:pPr>
          </w:p>
        </w:tc>
        <w:tc>
          <w:tcPr>
            <w:tcW w:w="47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Average common and common equivalent shares outstanding</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3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Dividends per common share</w:t>
            </w:r>
          </w:p>
        </w:tc>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60" w:type="dxa"/>
            <w:vAlign w:val="bottom"/>
            <w:tcBorders>
              <w:bottom w:val="single" w:sz="8" w:color="auto"/>
            </w:tcBorders>
          </w:tcPr>
          <w:p>
            <w:pPr>
              <w:spacing w:after="0"/>
              <w:rPr>
                <w:sz w:val="8"/>
                <w:szCs w:val="8"/>
                <w:color w:val="auto"/>
              </w:rPr>
            </w:pPr>
          </w:p>
        </w:tc>
        <w:tc>
          <w:tcPr>
            <w:tcW w:w="4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60" w:type="dxa"/>
            <w:vAlign w:val="bottom"/>
          </w:tcPr>
          <w:p>
            <w:pPr>
              <w:spacing w:after="0"/>
              <w:rPr>
                <w:sz w:val="24"/>
                <w:szCs w:val="24"/>
                <w:color w:val="auto"/>
              </w:rPr>
            </w:pPr>
          </w:p>
        </w:tc>
        <w:tc>
          <w:tcPr>
            <w:tcW w:w="4720" w:type="dxa"/>
            <w:vAlign w:val="bottom"/>
          </w:tcPr>
          <w:p>
            <w:pPr>
              <w:ind w:left="4020"/>
              <w:spacing w:after="0"/>
              <w:rPr>
                <w:sz w:val="20"/>
                <w:szCs w:val="20"/>
                <w:color w:val="auto"/>
              </w:rPr>
            </w:pPr>
            <w:r>
              <w:rPr>
                <w:rFonts w:ascii="Times New Roman" w:cs="Times New Roman" w:eastAsia="Times New Roman" w:hAnsi="Times New Roman"/>
                <w:sz w:val="14"/>
                <w:szCs w:val="14"/>
                <w:color w:val="auto"/>
              </w:rPr>
              <w:t>S-4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4"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4142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4142740"/>
                    </a:xfrm>
                    <a:prstGeom prst="rect">
                      <a:avLst/>
                    </a:prstGeom>
                    <a:noFill/>
                  </pic:spPr>
                </pic:pic>
              </a:graphicData>
            </a:graphic>
          </wp:anchor>
        </w:drawing>
        <w:t>CONSOLIDATED BALANCE SHEETS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p>
      <w:pPr>
        <w:spacing w:after="0" w:line="164"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1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6"/>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80" w:type="dxa"/>
            <w:vAlign w:val="bottom"/>
          </w:tcPr>
          <w:p>
            <w:pPr>
              <w:spacing w:after="0"/>
              <w:rPr>
                <w:sz w:val="11"/>
                <w:szCs w:val="11"/>
                <w:color w:val="auto"/>
              </w:rPr>
            </w:pPr>
          </w:p>
        </w:tc>
        <w:tc>
          <w:tcPr>
            <w:tcW w:w="1500" w:type="dxa"/>
            <w:vAlign w:val="bottom"/>
            <w:gridSpan w:val="8"/>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(Audited)</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6"/>
          </w:tcPr>
          <w:p>
            <w:pPr>
              <w:jc w:val="right"/>
              <w:ind w:right="440"/>
              <w:spacing w:after="0" w:line="115"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0"/>
                <w:szCs w:val="10"/>
                <w:color w:val="auto"/>
              </w:rPr>
            </w:pPr>
          </w:p>
        </w:tc>
        <w:tc>
          <w:tcPr>
            <w:tcW w:w="15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60" w:type="dxa"/>
            <w:vAlign w:val="bottom"/>
          </w:tcPr>
          <w:p>
            <w:pPr>
              <w:spacing w:after="0"/>
              <w:rPr>
                <w:sz w:val="11"/>
                <w:szCs w:val="11"/>
                <w:color w:val="auto"/>
              </w:rPr>
            </w:pPr>
          </w:p>
        </w:tc>
        <w:tc>
          <w:tcPr>
            <w:tcW w:w="518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2026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5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Assets</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51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Private Education Loans (net of allowance for losses of $314, $397, $364 and $441,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15,649</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15,690</w:t>
            </w:r>
          </w:p>
        </w:tc>
        <w:tc>
          <w:tcPr>
            <w:tcW w:w="16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15,451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15,716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FFELP Loans (net of allowance for losses of $165, $182, $173 and $180, respectively)</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27,237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30,244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28,141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30,852</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acquired intangible assets, net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48,004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50,950</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48,681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51,789</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3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4,855</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5,073</w:t>
            </w:r>
          </w:p>
        </w:tc>
        <w:tc>
          <w:tcPr>
            <w:tcW w:w="14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Long-term borrowings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39,240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42,872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8"/>
              </w:rPr>
              <w:t>40,633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3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liabilities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45,625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48,361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46,282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49,148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5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Common stock, par value $0.01 per share; 1.125 billion shares authorized: 468 million,</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467 million, 467 million and 465 million shares issued, respectively</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0" w:type="dxa"/>
            <w:vAlign w:val="bottom"/>
          </w:tcPr>
          <w:p>
            <w:pPr>
              <w:spacing w:after="0"/>
              <w:rPr>
                <w:sz w:val="13"/>
                <w:szCs w:val="13"/>
                <w:color w:val="auto"/>
              </w:rPr>
            </w:pPr>
          </w:p>
        </w:tc>
        <w:tc>
          <w:tcPr>
            <w:tcW w:w="5180" w:type="dxa"/>
            <w:vAlign w:val="bottom"/>
            <w:shd w:val="clear" w:color="auto" w:fill="CCEEFF"/>
          </w:tcPr>
          <w:p>
            <w:pPr>
              <w:spacing w:after="0" w:line="153" w:lineRule="exact"/>
              <w:rPr>
                <w:sz w:val="20"/>
                <w:szCs w:val="20"/>
                <w:color w:val="auto"/>
              </w:rPr>
            </w:pPr>
            <w:r>
              <w:rPr>
                <w:rFonts w:ascii="Times New Roman" w:cs="Times New Roman" w:eastAsia="Times New Roman" w:hAnsi="Times New Roman"/>
                <w:sz w:val="14"/>
                <w:szCs w:val="14"/>
                <w:color w:val="auto"/>
              </w:rPr>
              <w:t>Accumulated other comprehensive income (net of tax expense of $2, $0, $1 and $1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respectively)</w:t>
            </w: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before treasury stock</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8,084</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Less: Common stock held in treasury at cost: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374 million, 365 million, 371 million and 362 million shares, respectively</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(5,562)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(5,443)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 equity</w:t>
            </w:r>
          </w:p>
        </w:tc>
        <w:tc>
          <w:tcPr>
            <w:tcW w:w="3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60" w:type="dxa"/>
            <w:vAlign w:val="bottom"/>
          </w:tcPr>
          <w:p>
            <w:pPr>
              <w:spacing w:after="0"/>
              <w:rPr>
                <w:sz w:val="14"/>
                <w:szCs w:val="14"/>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48,004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50,950</w:t>
            </w:r>
          </w:p>
        </w:tc>
        <w:tc>
          <w:tcPr>
            <w:tcW w:w="1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48,681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51,789</w:t>
            </w:r>
          </w:p>
        </w:tc>
        <w:tc>
          <w:tcPr>
            <w:tcW w:w="80" w:type="dxa"/>
            <w:vAlign w:val="bottom"/>
            <w:shd w:val="clear" w:color="auto" w:fill="CCEEFF"/>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60" w:type="dxa"/>
            <w:vAlign w:val="bottom"/>
            <w:tcBorders>
              <w:bottom w:val="single" w:sz="8" w:color="auto"/>
            </w:tcBorders>
          </w:tcPr>
          <w:p>
            <w:pPr>
              <w:spacing w:after="0"/>
              <w:rPr>
                <w:sz w:val="8"/>
                <w:szCs w:val="8"/>
                <w:color w:val="auto"/>
              </w:rPr>
            </w:pPr>
          </w:p>
        </w:tc>
        <w:tc>
          <w:tcPr>
            <w:tcW w:w="51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8"/>
        </w:trPr>
        <w:tc>
          <w:tcPr>
            <w:tcW w:w="160" w:type="dxa"/>
            <w:vAlign w:val="bottom"/>
          </w:tcPr>
          <w:p>
            <w:pPr>
              <w:spacing w:after="0"/>
              <w:rPr>
                <w:sz w:val="24"/>
                <w:szCs w:val="24"/>
                <w:color w:val="auto"/>
              </w:rPr>
            </w:pPr>
          </w:p>
        </w:tc>
        <w:tc>
          <w:tcPr>
            <w:tcW w:w="5180" w:type="dxa"/>
            <w:vAlign w:val="bottom"/>
          </w:tcPr>
          <w:p>
            <w:pPr>
              <w:ind w:left="4020"/>
              <w:spacing w:after="0"/>
              <w:rPr>
                <w:sz w:val="20"/>
                <w:szCs w:val="20"/>
                <w:color w:val="auto"/>
              </w:rPr>
            </w:pPr>
            <w:r>
              <w:rPr>
                <w:rFonts w:ascii="Times New Roman" w:cs="Times New Roman" w:eastAsia="Times New Roman" w:hAnsi="Times New Roman"/>
                <w:sz w:val="14"/>
                <w:szCs w:val="14"/>
                <w:color w:val="auto"/>
              </w:rPr>
              <w:t>S-5</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8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 FACTORS</w:t>
      </w:r>
    </w:p>
    <w:p>
      <w:pPr>
        <w:spacing w:after="0" w:line="174"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i w:val="1"/>
          <w:iCs w:val="1"/>
          <w:color w:val="auto"/>
        </w:rPr>
        <w:t>Any investment in the notes involves a high degree of risk. You should carefully consider the risks described below and all of the information contained in this prospectus supplement, the accompanying prospectus, any free writing prospectus and the documents incorporated by reference herein and therein before deciding whether to purchase the notes. In addition, you should carefully consider, among other things, the matters discussed under “Risk Factors” and “Legal Proceedings” in our Annual Report on Form 10-K for the year ended December 31, 2025, our Quarterly Report on Form 10-Q for the quarter ended March 31, 2026 and in other documents that we file from time to time with the SEC, all of which are incorporated by reference in this prospectus supplement and the accompanying prospectus. The risks and uncertainties described below are not the only risks and uncertainties we face. Additional risks and uncertainties not presently known to us or that we currently deem immaterial may also impair our business operations. If any of the following risks actually occur, our business, financial condition and results of operations would suffer. The risks discussed below also include forward-looking statements and our actual results may differ substantially from those discussed in these forward-looking statements. See “Forward-Looking Statements” in this prospectus supplement and the accompanying prospectus.</w:t>
      </w:r>
    </w:p>
    <w:p>
      <w:pPr>
        <w:spacing w:after="0" w:line="2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Our debt is structurally subordinated to the debt and other liabilities of our subsidiaries.</w:t>
      </w:r>
    </w:p>
    <w:p>
      <w:pPr>
        <w:spacing w:after="0" w:line="92"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notes are obligations exclusively of Navient Corporation. We are a holding company and, accordingly, substantially all of our operations are conducted through our subsidiaries. As a result, our debt is “structurally subordinated” to all existing and future debt, trade creditors, and other liabilities of our subsidiaries. Our rights, and hence the rights of our creditors, to participate in any distribution of assets of any subsidiary upon its liquidation or reorganization or otherwise would be subject to the prior claims of that subsidiary’s creditors, except to the extent that our claims as a creditor of such subsidiary may be recognized. The indenture that governs the notes does not restrict our or our subsidiaries’ ability to incur indebtedness, including secured indebtedness, to pay dividends or make distributions on, or redeem or repurchase our equity securities, or to engage in highly leveraged transactions that would increase the level of our indebtedness.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We depend upon our subsidiaries to service our debt.</w:t>
      </w:r>
    </w:p>
    <w:p>
      <w:pPr>
        <w:spacing w:after="0" w:line="92"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Our cash flow and our ability to service our debt, including the notes, is dependent upon the earnings of our subsidiaries. Our subsidiaries are separate and distinct legal entities. They have no obligation to pay any amounts due under the notes or to provide us with funds for our payment obligations. Payment to us by our subsidiaries will also be contingent upon our subsidiaries’ earnings and other business considerations.</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Our substantial indebtedness could adversely affect our financial condition.</w:t>
      </w:r>
    </w:p>
    <w:p>
      <w:pPr>
        <w:spacing w:after="0" w:line="9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We will have a substantial amount of indebtedness, which could limit our ability to obtain additional financing for working capital, capital expenditures, stock repurchases, acquisitions, debt service requirements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 and/or factors could have an adverse effect on our results of operations and financial condition.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We may issue additional notes.</w:t>
      </w:r>
    </w:p>
    <w:p>
      <w:pPr>
        <w:spacing w:after="0" w:line="92" w:lineRule="exact"/>
        <w:rPr>
          <w:sz w:val="20"/>
          <w:szCs w:val="20"/>
          <w:color w:val="auto"/>
        </w:rPr>
      </w:pPr>
    </w:p>
    <w:p>
      <w:pPr>
        <w:ind w:left="240" w:right="399" w:firstLine="341"/>
        <w:spacing w:after="0" w:line="260" w:lineRule="auto"/>
        <w:rPr>
          <w:sz w:val="20"/>
          <w:szCs w:val="20"/>
          <w:color w:val="auto"/>
        </w:rPr>
      </w:pPr>
      <w:r>
        <w:rPr>
          <w:rFonts w:ascii="Times New Roman" w:cs="Times New Roman" w:eastAsia="Times New Roman" w:hAnsi="Times New Roman"/>
          <w:sz w:val="14"/>
          <w:szCs w:val="14"/>
          <w:color w:val="auto"/>
        </w:rPr>
        <w:t>Under the terms of the indenture that governs the notes, we may from time to time without notice to, or the consent of, the holders of the applicable series of notes, create and issue additional notes of a new or existing series, which notes, if of an existing series, will be equal in rank to the notes of that series in all material respects so that the new notes may be consolidated and form a single series with such notes and have the same terms as to status, redemption or otherwise as such notes (except for the issue date and public offering price).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8"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Redemption may adversely affect your return on your notes.</w:t>
      </w:r>
    </w:p>
    <w:p>
      <w:pPr>
        <w:spacing w:after="0" w:line="92"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The notes are redeemable at our option, and therefore we may choose to redeem the notes at times when prevailing interest rates are relatively low. As a result, you may not be able to reinvest the proceeds you receive from the redemption in a comparable security at an effective interest rate as high as the interest rate on your notes being redeemed. Our ability to redeem the notes before the maturity date may affect the market value of the notes at any time when potential purchasers believe we are likely to redeem the notes.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notes may not develop.</w:t>
      </w:r>
    </w:p>
    <w:p>
      <w:pPr>
        <w:spacing w:after="0" w:line="92" w:lineRule="exact"/>
        <w:rPr>
          <w:sz w:val="20"/>
          <w:szCs w:val="20"/>
          <w:color w:val="auto"/>
        </w:rPr>
      </w:pPr>
    </w:p>
    <w:p>
      <w:pPr>
        <w:ind w:left="240" w:right="419" w:firstLine="341"/>
        <w:spacing w:after="0" w:line="255" w:lineRule="auto"/>
        <w:rPr>
          <w:sz w:val="20"/>
          <w:szCs w:val="20"/>
          <w:color w:val="auto"/>
        </w:rPr>
      </w:pPr>
      <w:r>
        <w:rPr>
          <w:rFonts w:ascii="Times New Roman" w:cs="Times New Roman" w:eastAsia="Times New Roman" w:hAnsi="Times New Roman"/>
          <w:sz w:val="14"/>
          <w:szCs w:val="14"/>
          <w:color w:val="auto"/>
        </w:rPr>
        <w:t>The notes are a new issue of securities for which there is no established trading market. We do not intend to apply for listing of the notes on any securities exchange or for inclusion of the notes on any automated dealer quotation system. As a result, an active trading market for the notes may not develop and any such market, if it were to develop, may not be liquid or sustainable for any period of time. Future trading prices of the notes will depend on many factors, including, among other things, prevailing interest rates, the then-current ratings assigned to the notes, the market for similar securities and our performance. Any trading market that develops would be affected by many factors independent of and in addition to the foregoing, including:</w:t>
      </w:r>
    </w:p>
    <w:p>
      <w:pPr>
        <w:spacing w:after="0" w:line="72" w:lineRule="exact"/>
        <w:rPr>
          <w:sz w:val="20"/>
          <w:szCs w:val="20"/>
          <w:color w:val="auto"/>
        </w:rPr>
      </w:pPr>
    </w:p>
    <w:p>
      <w:pPr>
        <w:ind w:left="980" w:hanging="327"/>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remaining to the maturity of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amount of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related to redemption of the notes;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direction and volatility of market interest rates generally.</w:t>
      </w:r>
    </w:p>
    <w:p>
      <w:pPr>
        <w:spacing w:after="0" w:line="174"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The underwriters have advised us that they currently intend to make a market in the notes, but they are not obligated to do so and may cease market-making at any time without notice, which could further negatively impact your ability to sell the notes or the prevailing market price at the time you choose to sell.</w:t>
      </w:r>
    </w:p>
    <w:p>
      <w:pPr>
        <w:spacing w:after="0" w:line="218" w:lineRule="exact"/>
        <w:rPr>
          <w:sz w:val="20"/>
          <w:szCs w:val="20"/>
          <w:color w:val="auto"/>
        </w:rPr>
      </w:pPr>
    </w:p>
    <w:p>
      <w:pPr>
        <w:ind w:left="580" w:right="31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rating assigned by a rating agency to the notes, or changes in the financial and credit markets, could cause the liquidity or market value of the notes to decline significantly.</w:t>
      </w:r>
    </w:p>
    <w:p>
      <w:pPr>
        <w:spacing w:after="0" w:line="40" w:lineRule="exact"/>
        <w:rPr>
          <w:sz w:val="20"/>
          <w:szCs w:val="20"/>
          <w:color w:val="auto"/>
        </w:rPr>
      </w:pPr>
    </w:p>
    <w:p>
      <w:pPr>
        <w:jc w:val="both"/>
        <w:ind w:left="240" w:right="679" w:firstLine="341"/>
        <w:spacing w:after="0" w:line="265" w:lineRule="auto"/>
        <w:rPr>
          <w:sz w:val="20"/>
          <w:szCs w:val="20"/>
          <w:color w:val="auto"/>
        </w:rPr>
      </w:pPr>
      <w:r>
        <w:rPr>
          <w:rFonts w:ascii="Times New Roman" w:cs="Times New Roman" w:eastAsia="Times New Roman" w:hAnsi="Times New Roman"/>
          <w:sz w:val="14"/>
          <w:szCs w:val="14"/>
          <w:color w:val="auto"/>
        </w:rPr>
        <w:t>We expect that the notes will be rated by one or more rating agencies. Any rating assigned to the notes may not remain, may be lowered or withdrawn entirely by a rating agency if, in that rating agency’s judgment, future circumstances relating to the basis of the rating, such as adverse changes in our business, warrant a change to the rating assigned.</w:t>
      </w:r>
    </w:p>
    <w:p>
      <w:pPr>
        <w:spacing w:after="0" w:line="136"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In addition, the condition of the financial and credit markets and prevailing interest rates have fluctuated in the past and are likely to fluctuate in the future. Any ratings downgrade of the notes or further disruptions in the financial and credit markets and future fluctuations in these markets and prevailing interest rates may have an adverse effect on the market value of the notes.</w:t>
      </w:r>
    </w:p>
    <w:p>
      <w:pPr>
        <w:spacing w:after="0" w:line="218" w:lineRule="exact"/>
        <w:rPr>
          <w:sz w:val="20"/>
          <w:szCs w:val="20"/>
          <w:color w:val="auto"/>
        </w:rPr>
      </w:pPr>
    </w:p>
    <w:p>
      <w:pPr>
        <w:ind w:left="580" w:right="719"/>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The provisions of the notes relating to change of control transactions will not necessarily protect you in the event of a highly leveraged transaction.</w:t>
      </w:r>
    </w:p>
    <w:p>
      <w:pPr>
        <w:spacing w:after="0" w:line="40"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change of control provisions in the terms of the notes will not necessarily afford you protection in the event of a highly leveraged transaction that may adversely affect you, including a takeover, reorganization, recapitalization, restructuring, merger or other similar transactions involving us. These transactions may not involve a change in voting power or beneficial ownership or result in a downgrade in the ratings of the notes, or, even if they do, may not necessarily constitute a Change of Control Triggering Event that affords you the protections described in this prospectus supplement. As a result, we could enter into any such transaction even though the transaction could increase the total amount of our outstanding indebtedness, adversely affect our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8" w:right="1440" w:bottom="1440" w:gutter="0" w:footer="0" w:header="0"/>
        </w:sectPr>
      </w:pPr>
    </w:p>
    <w:bookmarkStart w:id="12" w:name="page13"/>
    <w:bookmarkEnd w:id="12"/>
    <w:p>
      <w:pPr>
        <w:jc w:val="both"/>
        <w:ind w:left="240" w:right="4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capital structure or credit rating or otherwise adversely affect the holders of the notes. Except as described under “Description of Notes—Repurchase Upon a Change of Control,” the indenture does not contain provisions that permit the holders of the notes to require us to repurchase the notes in the event of a takeover, reorganization, recapitalization, restructuring, merger or similar transaction.</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repurchase all of the notes upon a change of control, which would result in a default under each series of notes.</w:t>
      </w:r>
    </w:p>
    <w:p>
      <w:pPr>
        <w:spacing w:after="0" w:line="92" w:lineRule="exact"/>
        <w:rPr>
          <w:sz w:val="20"/>
          <w:szCs w:val="20"/>
          <w:color w:val="auto"/>
        </w:rPr>
      </w:pPr>
    </w:p>
    <w:p>
      <w:pPr>
        <w:ind w:left="240" w:right="419" w:firstLine="341"/>
        <w:spacing w:after="0" w:line="260" w:lineRule="auto"/>
        <w:rPr>
          <w:sz w:val="20"/>
          <w:szCs w:val="20"/>
          <w:color w:val="auto"/>
        </w:rPr>
      </w:pPr>
      <w:r>
        <w:rPr>
          <w:rFonts w:ascii="Times New Roman" w:cs="Times New Roman" w:eastAsia="Times New Roman" w:hAnsi="Times New Roman"/>
          <w:sz w:val="14"/>
          <w:szCs w:val="14"/>
          <w:color w:val="auto"/>
        </w:rPr>
        <w:t>We will be required to offer to repurchase the notes upon the occurrence of a Change of Control Triggering Event as provided in the indenture governing the notes. However,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indenture.</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Illiquid market conditions may occur from time to time.</w:t>
      </w:r>
    </w:p>
    <w:p>
      <w:pPr>
        <w:spacing w:after="0" w:line="92"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From time to time, the secondary market for your notes may be adversely affected by periods of general market illiquidity or by events in the global financial markets in general or in the securities market in particular. Events involving limited liquidity, defaults, non-performance or other adverse developments that affect financial institutions or other companies in the financial services industry or the financial services industry generally, or concerns or rumors about any events of these kinds or other similar risks, have in the past and may in the future lead to market-wide liquidity problems. Specifically, if banks or financial institutions enter receivership or become insolvent in the future in response to financial conditions affecting the banking system or financial markets, the liquidity of the securities market may decline. Accordingly, you may not be able to sell your notes when you want to do so or you may be unable to obtain the price that you wish to receive for your notes and, as a result, you may suffer a loss on your investment.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40"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OF PROCEEDS</w:t>
      </w:r>
    </w:p>
    <w:p>
      <w:pPr>
        <w:spacing w:after="0" w:line="176" w:lineRule="exact"/>
        <w:rPr>
          <w:sz w:val="20"/>
          <w:szCs w:val="20"/>
          <w:color w:val="auto"/>
        </w:rPr>
      </w:pPr>
    </w:p>
    <w:p>
      <w:pPr>
        <w:ind w:left="240" w:right="539" w:firstLine="341"/>
        <w:spacing w:after="0" w:line="265" w:lineRule="auto"/>
        <w:rPr>
          <w:sz w:val="20"/>
          <w:szCs w:val="20"/>
          <w:color w:val="auto"/>
        </w:rPr>
      </w:pPr>
      <w:r>
        <w:rPr>
          <w:rFonts w:ascii="Times New Roman" w:cs="Times New Roman" w:eastAsia="Times New Roman" w:hAnsi="Times New Roman"/>
          <w:sz w:val="14"/>
          <w:szCs w:val="14"/>
          <w:color w:val="auto"/>
        </w:rPr>
        <w:t>We estimate that the net proceeds from this offering, after deducting estimated offering expenses of approximately $1,475,000, will be approximately $494,150,000. We intend to use the net proceeds from this offering for general corporate purposes, including debt repurchases which could include redemptions, open market debt repurchases or tender offers.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8"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CAPITALIZATION</w:t>
      </w:r>
    </w:p>
    <w:p>
      <w:pPr>
        <w:spacing w:after="0" w:line="17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 following table sets forth our cash and cash equivalents and our capitalization as of March 31, 2026 on an actual basis and as adjusted basis to give effect to this offering and the application of the net proceeds of this offering as described under “Use of Proceeds.” This table should be read in conjunction with “Management’s Discussion and Analysis of Financial Condition and Results of Operations” and the consolidated financial statements and notes thereto included in our Quarterly Report on Form 10-Q for the quarter ended March 31, 2026, which is incorporated by reference in this prospectus supplement and the accompanying prospectus.</w:t>
      </w:r>
    </w:p>
    <w:p>
      <w:pPr>
        <w:spacing w:after="0" w:line="159" w:lineRule="exact"/>
        <w:rPr>
          <w:sz w:val="20"/>
          <w:szCs w:val="20"/>
          <w:color w:val="auto"/>
        </w:rPr>
      </w:pPr>
    </w:p>
    <w:tbl>
      <w:tblPr>
        <w:tblLayout w:type="fixed"/>
        <w:tblInd w:w="126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7"/>
          </w:tcPr>
          <w:p>
            <w:pPr>
              <w:ind w:left="180"/>
              <w:spacing w:after="0"/>
              <w:rPr>
                <w:sz w:val="20"/>
                <w:szCs w:val="20"/>
                <w:color w:val="auto"/>
              </w:rPr>
            </w:pPr>
            <w:r>
              <w:rPr>
                <w:rFonts w:ascii="Times New Roman" w:cs="Times New Roman" w:eastAsia="Times New Roman" w:hAnsi="Times New Roman"/>
                <w:sz w:val="11"/>
                <w:szCs w:val="11"/>
                <w:b w:val="1"/>
                <w:bCs w:val="1"/>
                <w:color w:val="auto"/>
              </w:rPr>
              <w:t>As of March 31, 2026</w:t>
            </w:r>
          </w:p>
        </w:tc>
      </w:tr>
      <w:tr>
        <w:trPr>
          <w:trHeight w:val="106"/>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3"/>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Actual</w:t>
            </w: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gridSpan w:val="2"/>
          </w:tcPr>
          <w:p>
            <w:pPr>
              <w:spacing w:after="0" w:line="106" w:lineRule="exact"/>
              <w:rPr>
                <w:sz w:val="20"/>
                <w:szCs w:val="20"/>
                <w:color w:val="auto"/>
              </w:rPr>
            </w:pPr>
            <w:r>
              <w:rPr>
                <w:rFonts w:ascii="Times New Roman" w:cs="Times New Roman" w:eastAsia="Times New Roman" w:hAnsi="Times New Roman"/>
                <w:sz w:val="11"/>
                <w:szCs w:val="11"/>
                <w:b w:val="1"/>
                <w:bCs w:val="1"/>
                <w:color w:val="auto"/>
                <w:w w:val="96"/>
              </w:rPr>
              <w:t>As Adjusted</w:t>
            </w:r>
          </w:p>
        </w:tc>
        <w:tc>
          <w:tcPr>
            <w:tcW w:w="80" w:type="dxa"/>
            <w:vAlign w:val="bottom"/>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488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(In millions, except share and per share amounts)</w:t>
            </w: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621</w:t>
            </w:r>
          </w:p>
        </w:tc>
        <w:tc>
          <w:tcPr>
            <w:tcW w:w="240" w:type="dxa"/>
            <w:vAlign w:val="bottom"/>
          </w:tcPr>
          <w:p>
            <w:pPr>
              <w:spacing w:after="0"/>
              <w:rPr>
                <w:sz w:val="14"/>
                <w:szCs w:val="14"/>
                <w:color w:val="auto"/>
              </w:rPr>
            </w:pP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1,115</w:t>
            </w: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1,510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80" w:type="dxa"/>
            <w:vAlign w:val="bottom"/>
            <w:shd w:val="clear" w:color="auto" w:fill="CCEEFF"/>
          </w:tcPr>
          <w:p>
            <w:pPr>
              <w:spacing w:after="0"/>
              <w:rPr>
                <w:sz w:val="14"/>
                <w:szCs w:val="14"/>
                <w:color w:val="auto"/>
              </w:rPr>
            </w:pPr>
          </w:p>
        </w:tc>
      </w:tr>
      <w:tr>
        <w:trPr>
          <w:trHeight w:val="168"/>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w:t>
            </w:r>
          </w:p>
        </w:tc>
        <w:tc>
          <w:tcPr>
            <w:tcW w:w="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5,870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line="167" w:lineRule="exact"/>
              <w:rPr>
                <w:sz w:val="20"/>
                <w:szCs w:val="20"/>
                <w:color w:val="auto"/>
              </w:rPr>
            </w:pPr>
            <w:r>
              <w:rPr>
                <w:rFonts w:ascii="Times New Roman" w:cs="Times New Roman" w:eastAsia="Times New Roman" w:hAnsi="Times New Roman"/>
                <w:sz w:val="13"/>
                <w:szCs w:val="13"/>
                <w:color w:val="auto"/>
              </w:rPr>
              <w:t>Long-term borrowings</w:t>
            </w:r>
            <w:r>
              <w:rPr>
                <w:rFonts w:ascii="Times New Roman" w:cs="Times New Roman" w:eastAsia="Times New Roman" w:hAnsi="Times New Roman"/>
                <w:sz w:val="19"/>
                <w:szCs w:val="19"/>
                <w:color w:val="auto"/>
                <w:vertAlign w:val="superscript"/>
              </w:rPr>
              <w:t>(1)</w:t>
            </w:r>
          </w:p>
        </w:tc>
        <w:tc>
          <w:tcPr>
            <w:tcW w:w="6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8"/>
              </w:rPr>
              <w:t>39,240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39,240</w:t>
            </w: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offered hereby</w:t>
            </w:r>
          </w:p>
        </w:tc>
        <w:tc>
          <w:tcPr>
            <w:tcW w:w="60" w:type="dxa"/>
            <w:vAlign w:val="bottom"/>
            <w:shd w:val="clear" w:color="auto" w:fill="CCEEFF"/>
          </w:tcPr>
          <w:p>
            <w:pPr>
              <w:spacing w:after="0"/>
              <w:rPr>
                <w:sz w:val="14"/>
                <w:szCs w:val="14"/>
                <w:color w:val="auto"/>
              </w:rPr>
            </w:pPr>
          </w:p>
        </w:tc>
        <w:tc>
          <w:tcPr>
            <w:tcW w:w="6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r>
      <w:tr>
        <w:trPr>
          <w:trHeight w:val="168"/>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debt</w:t>
            </w:r>
          </w:p>
        </w:tc>
        <w:tc>
          <w:tcPr>
            <w:tcW w:w="6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45,110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45,610</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8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Common stock, par value $0.01 per share; 1.125 billion shares authorized;</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468 million shares issued</w:t>
            </w:r>
          </w:p>
        </w:tc>
        <w:tc>
          <w:tcPr>
            <w:tcW w:w="6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w:t>
            </w: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3,407</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3,407</w:t>
            </w:r>
          </w:p>
        </w:tc>
        <w:tc>
          <w:tcPr>
            <w:tcW w:w="8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60" w:type="dxa"/>
            <w:vAlign w:val="bottom"/>
          </w:tcPr>
          <w:p>
            <w:pPr>
              <w:spacing w:after="0"/>
              <w:rPr>
                <w:sz w:val="14"/>
                <w:szCs w:val="1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4,552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4,552</w:t>
            </w:r>
          </w:p>
        </w:tc>
        <w:tc>
          <w:tcPr>
            <w:tcW w:w="8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(net of tax expense of $2)</w:t>
            </w:r>
          </w:p>
        </w:tc>
        <w:tc>
          <w:tcPr>
            <w:tcW w:w="6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2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Treasury stock at cost; 374 million shares</w:t>
            </w:r>
          </w:p>
        </w:tc>
        <w:tc>
          <w:tcPr>
            <w:tcW w:w="6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(5,589)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(5,589)</w:t>
            </w:r>
          </w:p>
        </w:tc>
      </w:tr>
      <w:tr>
        <w:trPr>
          <w:trHeight w:val="167"/>
        </w:trPr>
        <w:tc>
          <w:tcPr>
            <w:tcW w:w="20" w:type="dxa"/>
            <w:vAlign w:val="bottom"/>
          </w:tcPr>
          <w:p>
            <w:pPr>
              <w:spacing w:after="0"/>
              <w:rPr>
                <w:sz w:val="14"/>
                <w:szCs w:val="14"/>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80" w:type="dxa"/>
            <w:vAlign w:val="bottom"/>
            <w:shd w:val="clear" w:color="auto" w:fill="CCEEFF"/>
          </w:tcPr>
          <w:p>
            <w:pPr>
              <w:spacing w:after="0"/>
              <w:rPr>
                <w:sz w:val="14"/>
                <w:szCs w:val="14"/>
                <w:color w:val="auto"/>
              </w:rPr>
            </w:pPr>
          </w:p>
        </w:tc>
      </w:tr>
      <w:tr>
        <w:trPr>
          <w:trHeight w:val="168"/>
        </w:trPr>
        <w:tc>
          <w:tcPr>
            <w:tcW w:w="4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capitalization</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47,489</w:t>
            </w: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47,989</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80010</wp:posOffset>
            </wp:positionV>
            <wp:extent cx="59817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8170" cy="6350"/>
                    </a:xfrm>
                    <a:prstGeom prst="rect">
                      <a:avLst/>
                    </a:prstGeom>
                    <a:noFill/>
                  </pic:spPr>
                </pic:pic>
              </a:graphicData>
            </a:graphic>
          </wp:anchor>
        </w:drawing>
      </w:r>
    </w:p>
    <w:p>
      <w:pPr>
        <w:spacing w:after="0" w:line="122" w:lineRule="exact"/>
        <w:rPr>
          <w:sz w:val="20"/>
          <w:szCs w:val="20"/>
          <w:color w:val="auto"/>
        </w:rPr>
      </w:pPr>
    </w:p>
    <w:p>
      <w:pPr>
        <w:ind w:left="240"/>
        <w:spacing w:after="0"/>
        <w:tabs>
          <w:tab w:leader="none" w:pos="540" w:val="left"/>
        </w:tabs>
        <w:rPr>
          <w:sz w:val="20"/>
          <w:szCs w:val="20"/>
          <w:color w:val="auto"/>
        </w:rPr>
      </w:pPr>
      <w:r>
        <w:rPr>
          <w:rFonts w:ascii="Times New Roman" w:cs="Times New Roman" w:eastAsia="Times New Roman" w:hAnsi="Times New Roman"/>
          <w:sz w:val="14"/>
          <w:szCs w:val="14"/>
          <w:color w:val="auto"/>
        </w:rPr>
        <w:t>(1)</w:t>
        <w:tab/>
        <w:t>Long-term borrowings, excluding the notes offered 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8"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NOTES</w:t>
      </w:r>
    </w:p>
    <w:p>
      <w:pPr>
        <w:spacing w:after="0" w:line="176" w:lineRule="exact"/>
        <w:rPr>
          <w:sz w:val="20"/>
          <w:szCs w:val="20"/>
          <w:color w:val="auto"/>
        </w:rPr>
      </w:pPr>
    </w:p>
    <w:p>
      <w:pPr>
        <w:ind w:left="240" w:right="299" w:firstLine="341"/>
        <w:spacing w:after="0" w:line="286" w:lineRule="auto"/>
        <w:rPr>
          <w:sz w:val="20"/>
          <w:szCs w:val="20"/>
          <w:color w:val="auto"/>
        </w:rPr>
      </w:pPr>
      <w:r>
        <w:rPr>
          <w:rFonts w:ascii="Times New Roman" w:cs="Times New Roman" w:eastAsia="Times New Roman" w:hAnsi="Times New Roman"/>
          <w:sz w:val="13"/>
          <w:szCs w:val="13"/>
          <w:color w:val="auto"/>
        </w:rPr>
        <w:t>The following description is only a summary of certain provisions of the Indenture and the notes, copies of which are available upon request to us at the address set forth under “Where You Can Find More Information.” In this description, the term “Navient” refers only to Navient Corporation and not to any of its subsidiaries or affiliates. Certain capitalized terms used in this description but not defined below have the meanings assigned to them in the Indenture. We urge you to read the Indenture and the notes because they, and not this description, define your rights as holders of the notes.</w:t>
      </w:r>
    </w:p>
    <w:p>
      <w:pPr>
        <w:spacing w:after="0" w:line="2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Navient will issue the notes as a series of debt securities under a base indenture, dated as of July 18, 2014, between Navient, as the company, and The Bank of New York Mellon, as trustee (the “Trustee”), as supplemented by a supplemental indenture to be entered into between Navient and the Trustee. The term “Indenture” in this description of notes refers to the base indenture as supplemented by the supplemental indenture.</w:t>
      </w:r>
    </w:p>
    <w:p>
      <w:pPr>
        <w:spacing w:after="0" w:line="136"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The notes will mature on October 15, 2031. Interest (computed on the basis of a 360-day year consisting of twelve 30-day months) on the notes will accrue at the rate of 9.375% per year and will be payable semi-annually in arrears on each April 15 and October 15, commencing on October 15, 2026; interest payable on each interest payment date will include interest accrued from May 29, 2026, or from the most recent interest payment date to which interest has been paid or duly provided for.</w:t>
      </w:r>
    </w:p>
    <w:p>
      <w:pPr>
        <w:spacing w:after="0" w:line="140"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Navient will make each interest payment to the holders of record of the notes on the immediately preceding April 1 and October 1, as the case may be, commencing on October 1, 2026. The registered holder of a note will be treated as the owner of it for all purposes. Only registered holders will have rights under the Indenture.</w:t>
      </w:r>
    </w:p>
    <w:p>
      <w:pPr>
        <w:spacing w:after="0" w:line="136"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The notes will be senior, unsecured obligations of Navient and will rank equally with all of Navient’s other existing and future unsecured and unsubordinated indebtedness. As of March 31, 2026, (i) we had an approximately $5.3 billion aggregate principal amount of unsecured senior indebtedness outstanding with which the notes will rank pari passu and (ii) our subsidiaries had no unsecured senior indebtedness outstanding.</w:t>
      </w:r>
    </w:p>
    <w:p>
      <w:pPr>
        <w:spacing w:after="0" w:line="136" w:lineRule="exact"/>
        <w:rPr>
          <w:sz w:val="20"/>
          <w:szCs w:val="20"/>
          <w:color w:val="auto"/>
        </w:rPr>
      </w:pPr>
    </w:p>
    <w:p>
      <w:pPr>
        <w:ind w:left="240" w:right="299" w:firstLine="341"/>
        <w:spacing w:after="0" w:line="321" w:lineRule="auto"/>
        <w:rPr>
          <w:sz w:val="20"/>
          <w:szCs w:val="20"/>
          <w:color w:val="auto"/>
        </w:rPr>
      </w:pPr>
      <w:r>
        <w:rPr>
          <w:rFonts w:ascii="Times New Roman" w:cs="Times New Roman" w:eastAsia="Times New Roman" w:hAnsi="Times New Roman"/>
          <w:sz w:val="13"/>
          <w:szCs w:val="13"/>
          <w:color w:val="auto"/>
        </w:rPr>
        <w:t>The notes will be represented by global notes, which will be deposited with, or on behalf of, The Depository Trust Company (“DTC”), New York, New York, and registered in the name of DTC’s nominee. Each note represented by a Global Security is referred to herein as a “Book-Entry Note.”</w:t>
      </w:r>
    </w:p>
    <w:p>
      <w:pPr>
        <w:spacing w:after="0" w:line="10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Indenture does not limit the amount of notes or other debt securities of Navient that may be issued under the Indenture. Navient may also at any time and from time to time, without notice to or consent of the holders, issue additional debt securities of the same tenor, coupon and other terms as the notes, (except for the issue date and public offering price) so that such debt securities and the notes offered pursuant to this prospectus supplement and the accompanying prospectus shall form a single series. References herein to the notes shall include (unless the context otherwise requires) any further notes issued as described in this paragraph.</w:t>
      </w:r>
    </w:p>
    <w:p>
      <w:pPr>
        <w:spacing w:after="0" w:line="143"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Unless otherwise provided and except with respect to Book-Entry Notes, principal of and premium, if any, and interest, if any, on the notes will be payable, and the transfer of notes will be registrable, at the Corporate Trust Office of the Trustee, except that, at the option of Navient, interest may be paid by mailing a check to the holder of the notes entitled thereto or, in accordance with arrangements satisfactory to the Trustee, at the option of the holder of the notes by wire transfer to an account designated by such holder.</w:t>
      </w:r>
    </w:p>
    <w:p>
      <w:pPr>
        <w:spacing w:after="0" w:line="140" w:lineRule="exact"/>
        <w:rPr>
          <w:sz w:val="20"/>
          <w:szCs w:val="20"/>
          <w:color w:val="auto"/>
        </w:rPr>
      </w:pPr>
    </w:p>
    <w:p>
      <w:pPr>
        <w:ind w:left="240" w:right="499" w:firstLine="341"/>
        <w:spacing w:after="0" w:line="281" w:lineRule="auto"/>
        <w:rPr>
          <w:sz w:val="20"/>
          <w:szCs w:val="20"/>
          <w:color w:val="auto"/>
        </w:rPr>
      </w:pPr>
      <w:r>
        <w:rPr>
          <w:rFonts w:ascii="Times New Roman" w:cs="Times New Roman" w:eastAsia="Times New Roman" w:hAnsi="Times New Roman"/>
          <w:sz w:val="14"/>
          <w:szCs w:val="14"/>
          <w:color w:val="auto"/>
        </w:rPr>
        <w:t>For a description of payments of principal of, and premium, if any, and interest on, and transfer of, Book-Entry Notes and exchanges of global notes representing Book-Entry Notes, see “—Book-Entry, Delivery and Form.”</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8" w:right="1440" w:bottom="1440" w:gutter="0" w:footer="0" w:header="0"/>
        </w:sectPr>
      </w:pPr>
    </w:p>
    <w:bookmarkStart w:id="16" w:name="page17"/>
    <w:bookmarkEnd w:id="16"/>
    <w:p>
      <w:pPr>
        <w:ind w:left="240" w:right="559" w:firstLine="341"/>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notes will be issued only in fully registered form without coupons only in denominations of $2,000 and in integral multiples of $1,000 in excess thereof.</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92" w:lineRule="exact"/>
        <w:rPr>
          <w:sz w:val="20"/>
          <w:szCs w:val="20"/>
          <w:color w:val="auto"/>
        </w:rPr>
      </w:pPr>
    </w:p>
    <w:p>
      <w:pPr>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Prior to July 15, 2031 (three months prior to their maturity date), the Par Call Date, the Company may redeem the notes at its option, in whole or in part, at any time and from time to time, at a redemption price (expressed as a percentage of principal amount and rounded to three decimal places) equal to the greater of:</w:t>
      </w:r>
    </w:p>
    <w:p>
      <w:pPr>
        <w:spacing w:after="0" w:line="63" w:lineRule="exact"/>
        <w:rPr>
          <w:sz w:val="20"/>
          <w:szCs w:val="20"/>
          <w:color w:val="auto"/>
        </w:rPr>
      </w:pPr>
    </w:p>
    <w:p>
      <w:pPr>
        <w:jc w:val="both"/>
        <w:ind w:left="980" w:right="359" w:hanging="411"/>
        <w:spacing w:after="0" w:line="265" w:lineRule="auto"/>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50 basis points less (b) interest accrued to the date of redemption, and</w:t>
      </w:r>
    </w:p>
    <w:p>
      <w:pPr>
        <w:spacing w:after="0" w:line="63"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notes to be redeemed,</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plus, in either case, accrued and unpaid interest thereon to the redemption date.</w:t>
      </w:r>
    </w:p>
    <w:p>
      <w:pPr>
        <w:spacing w:after="0" w:line="174" w:lineRule="exact"/>
        <w:rPr>
          <w:sz w:val="20"/>
          <w:szCs w:val="20"/>
          <w:color w:val="auto"/>
        </w:rPr>
      </w:pPr>
    </w:p>
    <w:p>
      <w:pPr>
        <w:ind w:left="240" w:right="479" w:firstLine="341"/>
        <w:spacing w:after="0" w:line="281" w:lineRule="auto"/>
        <w:rPr>
          <w:sz w:val="20"/>
          <w:szCs w:val="20"/>
          <w:color w:val="auto"/>
        </w:rPr>
      </w:pPr>
      <w:r>
        <w:rPr>
          <w:rFonts w:ascii="Times New Roman" w:cs="Times New Roman" w:eastAsia="Times New Roman" w:hAnsi="Times New Roman"/>
          <w:sz w:val="14"/>
          <w:szCs w:val="14"/>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For purposes of determining the optional redemption price, the following definitions are applicable:</w:t>
      </w:r>
    </w:p>
    <w:p>
      <w:pPr>
        <w:spacing w:after="0" w:line="174" w:lineRule="exact"/>
        <w:rPr>
          <w:sz w:val="20"/>
          <w:szCs w:val="20"/>
          <w:color w:val="auto"/>
        </w:rPr>
      </w:pPr>
    </w:p>
    <w:p>
      <w:pPr>
        <w:ind w:left="240" w:right="799" w:firstLine="341"/>
        <w:spacing w:after="0" w:line="281" w:lineRule="auto"/>
        <w:rPr>
          <w:sz w:val="20"/>
          <w:szCs w:val="20"/>
          <w:color w:val="auto"/>
        </w:rPr>
      </w:pPr>
      <w:r>
        <w:rPr>
          <w:rFonts w:ascii="Times New Roman" w:cs="Times New Roman" w:eastAsia="Times New Roman" w:hAnsi="Times New Roman"/>
          <w:sz w:val="14"/>
          <w:szCs w:val="14"/>
          <w:color w:val="auto"/>
        </w:rPr>
        <w:t>“Treasury Rate” means, with respect to any redemption date, the yield determined by the Company in accordance with the following two paragraphs.</w:t>
      </w:r>
    </w:p>
    <w:p>
      <w:pPr>
        <w:spacing w:after="0" w:line="125"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w:t>
      </w:r>
    </w:p>
    <w:p>
      <w:pPr>
        <w:spacing w:after="0" w:line="72" w:lineRule="exact"/>
        <w:rPr>
          <w:sz w:val="20"/>
          <w:szCs w:val="20"/>
          <w:color w:val="auto"/>
        </w:rPr>
      </w:pPr>
    </w:p>
    <w:p>
      <w:pPr>
        <w:ind w:left="980" w:right="779" w:hanging="411"/>
        <w:spacing w:after="0" w:line="281"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yield for the Treasury constant maturity on H.15 exactly equal to the period from the redemption date to the Par Call Date (the “Remaining Life”); or</w:t>
      </w:r>
    </w:p>
    <w:p>
      <w:pPr>
        <w:spacing w:after="0" w:line="52" w:lineRule="exact"/>
        <w:rPr>
          <w:rFonts w:ascii="Times New Roman" w:cs="Times New Roman" w:eastAsia="Times New Roman" w:hAnsi="Times New Roman"/>
          <w:sz w:val="14"/>
          <w:szCs w:val="14"/>
          <w:color w:val="auto"/>
        </w:rPr>
      </w:pPr>
    </w:p>
    <w:p>
      <w:pPr>
        <w:ind w:left="980" w:right="279" w:hanging="411"/>
        <w:spacing w:after="0" w:line="260"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w:t>
      </w:r>
    </w:p>
    <w:p>
      <w:pPr>
        <w:spacing w:after="0" w:line="66" w:lineRule="exact"/>
        <w:rPr>
          <w:rFonts w:ascii="Times New Roman" w:cs="Times New Roman" w:eastAsia="Times New Roman" w:hAnsi="Times New Roman"/>
          <w:sz w:val="14"/>
          <w:szCs w:val="14"/>
          <w:color w:val="auto"/>
        </w:rPr>
      </w:pPr>
    </w:p>
    <w:p>
      <w:pPr>
        <w:ind w:left="980" w:right="539" w:hanging="411"/>
        <w:spacing w:after="0" w:line="281"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there is no such Treasury constant maturity on H.15 shorter than or longer than the Remaining Life, the yield for the single Treasury constant maturity on H.15 closest to the Remaining Life.</w:t>
      </w:r>
    </w:p>
    <w:p>
      <w:pPr>
        <w:spacing w:after="0" w:line="125"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25"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0" w:right="1440" w:bottom="1440" w:gutter="0" w:footer="0" w:header="0"/>
        </w:sectPr>
      </w:pPr>
    </w:p>
    <w:bookmarkStart w:id="17" w:name="page18"/>
    <w:bookmarkEnd w:id="17"/>
    <w:p>
      <w:pPr>
        <w:ind w:left="240" w:right="27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45"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may rely upon the redemption price contained in any such notice and the Trustee shall not be responsible for, or be liable in connection with, the calculation of such redemption price (or any component thereof) or for determining whether manifest error has occurred.</w:t>
      </w:r>
    </w:p>
    <w:p>
      <w:pPr>
        <w:spacing w:after="0" w:line="140"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notes to be redeemed.</w:t>
      </w:r>
    </w:p>
    <w:p>
      <w:pPr>
        <w:spacing w:after="0" w:line="125"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46" w:lineRule="exact"/>
        <w:rPr>
          <w:sz w:val="20"/>
          <w:szCs w:val="20"/>
          <w:color w:val="auto"/>
        </w:rPr>
      </w:pPr>
    </w:p>
    <w:p>
      <w:pPr>
        <w:ind w:left="240" w:right="499" w:firstLine="341"/>
        <w:spacing w:after="0" w:line="281" w:lineRule="auto"/>
        <w:rPr>
          <w:sz w:val="20"/>
          <w:szCs w:val="20"/>
          <w:color w:val="auto"/>
        </w:rPr>
      </w:pPr>
      <w:r>
        <w:rPr>
          <w:rFonts w:ascii="Times New Roman" w:cs="Times New Roman" w:eastAsia="Times New Roman" w:hAnsi="Times New Roman"/>
          <w:sz w:val="14"/>
          <w:szCs w:val="14"/>
          <w:color w:val="auto"/>
        </w:rPr>
        <w:t>Unless the Company defaults in payment of the redemption price, on and after the redemption date interest will cease to accrue on the notes or portions thereof called for redemption.</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Repurchase Upon a Change of Control</w:t>
      </w:r>
    </w:p>
    <w:p>
      <w:pPr>
        <w:spacing w:after="0" w:line="92"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If a Change of Control Triggering Event occurs, unless we have exercised our right, if any, to redeem the notes in full, we will offer (the “Change of Control Offer”) to repurchase any and all of each holder’s notes (equal to $2,000 or an integral multiple of $1,000 above that amount) at a repurchase price in cash equal to 101% of the aggregate principal amount of the notes repurchased plus accrued and unpaid interest, if any, thereon, to, but not including, the date of repurchase (the “Change of Control Payment”). Within 30 days following any Change of Control Triggering Event, we will be required to mail a notice to holders, with a copy to the Trustee, describing the transaction or transactions that constitute the Change of Control Triggering Event and offering to repurchase the notes on the date specified in the notice, which date will be no less than 30 days and no more than 60 days from the date such notice is mailed (the “Change of Control Payment Date”), pursuant to the procedures described in such notice.</w:t>
      </w:r>
    </w:p>
    <w:p>
      <w:pPr>
        <w:spacing w:after="0" w:line="147"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We must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40" w:right="1440" w:bottom="1440" w:gutter="0" w:footer="0" w:header="0"/>
        </w:sectPr>
      </w:pPr>
    </w:p>
    <w:bookmarkStart w:id="18" w:name="page19"/>
    <w:bookmarkEnd w:id="18"/>
    <w:p>
      <w:pPr>
        <w:ind w:left="240" w:right="39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any securities laws or regulations conflict with the Change of Control repurchase provisions of the notes, we will be required to comply with the applicable securities laws and regulations and will not be deemed to have breached our obligations under the Change of Control repurchase provisions of the notes by virtue of such conflicts.</w:t>
      </w:r>
    </w:p>
    <w:p>
      <w:pPr>
        <w:spacing w:after="0" w:line="136" w:lineRule="exact"/>
        <w:rPr>
          <w:sz w:val="20"/>
          <w:szCs w:val="20"/>
          <w:color w:val="auto"/>
        </w:rPr>
      </w:pPr>
    </w:p>
    <w:p>
      <w:pPr>
        <w:ind w:left="240" w:right="299" w:firstLine="341"/>
        <w:spacing w:after="0" w:line="254" w:lineRule="auto"/>
        <w:rPr>
          <w:sz w:val="20"/>
          <w:szCs w:val="20"/>
          <w:color w:val="auto"/>
        </w:rPr>
      </w:pPr>
      <w:r>
        <w:rPr>
          <w:rFonts w:ascii="Times New Roman" w:cs="Times New Roman" w:eastAsia="Times New Roman" w:hAnsi="Times New Roman"/>
          <w:sz w:val="14"/>
          <w:szCs w:val="14"/>
          <w:color w:val="auto"/>
        </w:rPr>
        <w:t>We will not be required to offer to repurchase the notes upon the occurrence of a Change of Control Triggering Event if a third party makes such an offer in the manner, at the times and otherwise in compliance with the requirements for an offer made by us and the third party repurchases on the applicable date all notes properly tendered and not withdrawn under its offer; provided that for all purposes of the notes and the Indenture governing the notes, a failure by such third party to comply with the requirements of such offer and to complete such offer shall be treated as a failure by us to comply with our obligations to offer to repurchase the notes unless we promptly make an offer to repurchase the notes at 101% of the principal amount thereof plus accrued and unpaid interest, if any, thereon, to, but not including, the date of repurchase, which shall be no later than 30 days after the third party’s scheduled Change of Control Payment Date.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On the Change of Control Payment Date, we will be required, to the extent lawful, to:</w:t>
      </w:r>
    </w:p>
    <w:p>
      <w:pPr>
        <w:spacing w:after="0" w:line="101" w:lineRule="exact"/>
        <w:rPr>
          <w:sz w:val="20"/>
          <w:szCs w:val="20"/>
          <w:color w:val="auto"/>
        </w:rPr>
      </w:pPr>
    </w:p>
    <w:p>
      <w:pPr>
        <w:ind w:left="980" w:hanging="327"/>
        <w:spacing w:after="0"/>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or cause a third party to accept for payment all notes properly tendered pursuant to the Change of Control Offer;</w:t>
      </w:r>
    </w:p>
    <w:p>
      <w:pPr>
        <w:spacing w:after="0" w:line="100" w:lineRule="exact"/>
        <w:rPr>
          <w:rFonts w:ascii="Times New Roman" w:cs="Times New Roman" w:eastAsia="Times New Roman" w:hAnsi="Times New Roman"/>
          <w:sz w:val="14"/>
          <w:szCs w:val="14"/>
          <w:color w:val="auto"/>
        </w:rPr>
      </w:pPr>
    </w:p>
    <w:p>
      <w:pPr>
        <w:ind w:left="980" w:right="459" w:hanging="327"/>
        <w:spacing w:after="0" w:line="281" w:lineRule="auto"/>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or cause a third party to deposit with the paying agent an amount equal to the Change of Control Payment in respect of all notes properly tendered; and</w:t>
      </w:r>
    </w:p>
    <w:p>
      <w:pPr>
        <w:spacing w:after="0" w:line="52"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notes properly accepted, together with an officer’s certificate stating the principal amount of notes being repurchased.</w:t>
      </w:r>
    </w:p>
    <w:p>
      <w:pPr>
        <w:spacing w:after="0" w:line="125"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If holders of not less than 90% in aggregate principal amount of the outstanding notes validly tender and do not withdraw such notes in a Change of Control Offer and we, or any third party making a Change of Control Offer in lieu of us as described above, purchases all of the notes validly tendered and not withdrawn by such holders, we or such third party will have the right, upon not less than 10 days nor more than 60 days’ prior notice, provided that such notice is given not more than 30 days following such purchase pursuant to the Change of Control Offer described above, to redeem all notes that remain outstanding following such purchase on a date (the “Second Change of Control Payment Date”) at a price in cash equal to the applicable Change of Control Payment in respect of the Second Change of Control Payment Date.</w:t>
      </w:r>
    </w:p>
    <w:p>
      <w:pPr>
        <w:spacing w:after="0" w:line="146"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definition of Change of Control includes a phrase relating to the direct or indirect sale, lease, transfer, conveyance or other disposition of “all or substantially all” of the properties or assets of Navient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Navient and its subsidiaries taken as a whole to another Person (as defined in the Indenture governing the notes) or group may be uncertain.</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For purposes of the foregoing discussion of the applicable Change of Control provisions, the following definitions are applicable:</w:t>
      </w:r>
    </w:p>
    <w:p>
      <w:pPr>
        <w:spacing w:after="0" w:line="174"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t>“Board of Directors” means the board of directors or comparable governing body of Navient Corporation; provided that if Navient Corporation is a wholly-owned subsidiary of another person, the Board of Directors means the board of directors or comparable governing body of such person.</w:t>
      </w:r>
    </w:p>
    <w:p>
      <w:pPr>
        <w:spacing w:after="0" w:line="125" w:lineRule="exact"/>
        <w:rPr>
          <w:sz w:val="20"/>
          <w:szCs w:val="20"/>
          <w:color w:val="auto"/>
        </w:rPr>
      </w:pPr>
    </w:p>
    <w:p>
      <w:pPr>
        <w:jc w:val="both"/>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“Change of Control” means the occurrence of any of the following: (1) direct or indirect sale, transfer, conveyance or other disposition (other than by way of merger or consolidation), in one or a series of related transactions, of all or substantially all of the properties or assets of Navient Corporation and its subsidiaries taken</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40" w:right="1440"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as a whole to any “person” (as that term is used in Section 13(d)(3) of the Exchange Act) other than to Navient Corporation or one of its subsidiaries;</w:t>
      </w:r>
    </w:p>
    <w:p>
      <w:pPr>
        <w:spacing w:after="0" w:line="21" w:lineRule="exact"/>
        <w:rPr>
          <w:sz w:val="20"/>
          <w:szCs w:val="20"/>
          <w:color w:val="auto"/>
        </w:rPr>
      </w:pPr>
    </w:p>
    <w:p>
      <w:pPr>
        <w:ind w:left="240" w:right="239" w:hanging="5"/>
        <w:spacing w:after="0" w:line="249" w:lineRule="auto"/>
        <w:tabs>
          <w:tab w:leader="none" w:pos="43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any transaction (including, without limitation, any merger or consolidation) the result of which is that any “person” (as that term is used in Section 13(d)(3) of the Exchange Act) other than Navient Corporation or one of its subsidiaries becomes the beneficial owner, directly or indirectly, of more than 50% of the then-outstanding number of shares of Navient Corporation’s voting stock; (3) Navient Corporation consolidates with, or merges with or into, any “person” (as that term is used in Section 13(d)(3) of the Exchange Act), or any “person” (as that term is used in</w:t>
      </w:r>
    </w:p>
    <w:p>
      <w:pPr>
        <w:spacing w:after="0" w:line="1" w:lineRule="exact"/>
        <w:rPr>
          <w:rFonts w:ascii="Times New Roman" w:cs="Times New Roman" w:eastAsia="Times New Roman" w:hAnsi="Times New Roman"/>
          <w:sz w:val="14"/>
          <w:szCs w:val="14"/>
          <w:color w:val="auto"/>
        </w:rPr>
      </w:pPr>
    </w:p>
    <w:p>
      <w:pPr>
        <w:ind w:left="240" w:right="29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13(d)(3) of the Exchange Act) consolidates with, or merges with or into, Navient Corporation, in any such event pursuant to a transaction in which any of the outstanding voting stock of Navient Corporation or such other “person” (as that term is used in Section 13(d)(3) of the Exchange Act) is converted into or exchanged for cash, securities or other property, other than any such transaction where the shares of the voting stock of Navient Corporation outstanding immediately prior to such transaction constitute, or are converted into or exchanged for, a majority of the voting stock of the surviving “person” (as that term is used in Section 13(d)(3) of the Exchange Act) immediately after giving effect to such transaction; (4) the first day on which a majority of the members of Navient Corporation’s Board of Directors are not Continuing Directors; or (5) the adoption of a plan relating to the liquidation or dissolution of Navient Corporation; provided, however, that a transaction will not be deemed to involve a Change of Control if (A) we become a wholly owned subsidiary of a holding company and (B) (x) the holders of the voting stock of such holding company immediately following that transaction are substantially the same as the holders of Navient Corporation’s voting stock immediately prior to that transaction or (y) no person (other than a holding company satisfying the requirements of this sentence) becomes the beneficial owner of more than 50% of the then-outstanding number of shares of the voting stock of such holding company. For purposes of this definition, “voting stock” means capital stock or other equity interests of any class or kind the holders of which are ordinarily, in the absence of contingencies, entitled to vote for the election of directors (or persons performing similar functions) of Navient Corporation or the applicable holding company, even if the right to vote has been suspended by the happening of such a contingency.</w:t>
      </w:r>
    </w:p>
    <w:p>
      <w:pPr>
        <w:spacing w:after="0" w:line="14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“Change of Control Triggering Event” means the occurrence of both (i) a Change of Control and (ii) a Ratings Downgrade Event.</w:t>
      </w:r>
    </w:p>
    <w:p>
      <w:pPr>
        <w:spacing w:after="0" w:line="174"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“Continuing Directors” means, as of any date of determination, any member of the Board of Directors of Navient Corporation who (1) was a member of the Board of Directors of Navient Corporation on the date of the issuance of the notes; or (2) was nominated for election or elected to the Board of Directors of Navient Corporation with the approval of a majority of the Continuing Directors who were members of such Board of Directors of Navient Corporation at the time of such nomination or election (either by specific vote or by approval of Navient Corporation’s proxy statement in which such member was named as a nominee for election as a director).</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“Fitch” means Fitch Ratings, Inc., or any successor rating agency.</w:t>
      </w:r>
    </w:p>
    <w:p>
      <w:pPr>
        <w:spacing w:after="0" w:line="174" w:lineRule="exact"/>
        <w:rPr>
          <w:sz w:val="20"/>
          <w:szCs w:val="20"/>
          <w:color w:val="auto"/>
        </w:rPr>
      </w:pPr>
    </w:p>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t>“Investment Grade Rating” means a rating by Moody’s equal to or higher than Baa3 (or the equivalent under a successor rating category of Moody’s), a rating by S&amp;P equal to or higher than BBB- (or the equivalent under any successor rating category of S&amp;P), a rating by Fitch equal to or higher than BBB- (or the equivalent under any successor rating category of Fitch),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Agencies.”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“Moody’s” means Moody’s Investors Service, Inc., or any successor rating agency.</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“Navient Corporation” means Navient Corporation, or any successor.</w:t>
      </w:r>
    </w:p>
    <w:p>
      <w:pPr>
        <w:spacing w:after="0" w:line="174" w:lineRule="exact"/>
        <w:rPr>
          <w:sz w:val="20"/>
          <w:szCs w:val="20"/>
          <w:color w:val="auto"/>
        </w:rPr>
      </w:pPr>
    </w:p>
    <w:p>
      <w:pPr>
        <w:ind w:left="240" w:right="419" w:firstLine="341"/>
        <w:spacing w:after="0" w:line="281" w:lineRule="auto"/>
        <w:rPr>
          <w:sz w:val="20"/>
          <w:szCs w:val="20"/>
          <w:color w:val="auto"/>
        </w:rPr>
      </w:pPr>
      <w:r>
        <w:rPr>
          <w:rFonts w:ascii="Times New Roman" w:cs="Times New Roman" w:eastAsia="Times New Roman" w:hAnsi="Times New Roman"/>
          <w:sz w:val="14"/>
          <w:szCs w:val="14"/>
          <w:color w:val="auto"/>
        </w:rPr>
        <w:t>“Rating Agencies” means (1) Moody’s, S&amp;P and Fitch; and (2) if any or all of Moody’s, S&amp;P or Fitch ceases to rate the notes or fails to make a rating of the notes publicly available for reasons outside of our control,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240" w:right="1440" w:bottom="1440" w:gutter="0" w:footer="0" w:header="0"/>
        </w:sectPr>
      </w:pPr>
    </w:p>
    <w:bookmarkStart w:id="20" w:name="page21"/>
    <w:bookmarkEnd w:id="20"/>
    <w:p>
      <w:pPr>
        <w:ind w:left="240" w:right="49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 “nationally recognized statistical rating organization” within the meaning of Section 3(a)(62) under the Exchange Act, that we select (pursuant to a resolution of the Board of Directors) as a replacement agency for any of Moody’s, S&amp;P or Fitch, or all of them, as the case may be.</w:t>
      </w:r>
    </w:p>
    <w:p>
      <w:pPr>
        <w:spacing w:after="0" w:line="125"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“Ratings Downgrade Event” means, on any date during the Trigger Period, the notes being downgraded by at least one modifier (a modifier being plus, neutral or minus for S&amp;P or Fitch, 1, 2 or 3 for Moody’s and a similar modifier by any other Rating Agency) by any two of the three Rating Agencies from the rating on the notes by each such Rating Agency on the date prior to the first day of the Trigger Period; provided that no Ratings Downgrade Event shall be deemed to occur, if either (i) the rating on the notes by each Rating Agency that downgraded its rating is an Investment Grade Rating after the downgrade or (ii) in respect of a particular Change of Control, the Rating Agency or Agencies (as applicable) that downgraded the notes announce or confirm or inform the Trustee in writing that the reduction was not the result, in whole or in part, of any event or circumstance comprised of, or arising as a result of, or in respect of, the applicable Change of Control.</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“S&amp;P” means S&amp;P Global Ratings, or any successor rating agency.</w:t>
      </w:r>
    </w:p>
    <w:p>
      <w:pPr>
        <w:spacing w:after="0" w:line="174"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“Trigger Period” means the period commencing one day prior to the first public announcement by Navient Corporation of a Change of Control or an arrangement that could result in a Change of Control and ending 60 days following consummation of the Change of Control (which period will be extended following consummation of a Change of Control for so long as the rating of the notes is under announced consideration for possible downgrade by any of the Rating Agencies as the result, in whole or in part, of any event or circumstance comprised of, or arising as a result of, or in respect of, the applicable Change of Control).</w:t>
      </w:r>
    </w:p>
    <w:p>
      <w:pPr>
        <w:spacing w:after="0" w:line="2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The Indenture will contain certain covenants, including, among others, those described below. Except as set forth below, Navient will not be restricted by the Indenture from incurring any type of indebtedness or other obligation, from paying dividends or making distributions on its capital stock or from purchasing or redeeming its capital stock. In addition, except as described under “—Repurchase Upon a Change of Control,” the Indenture will not contain any provisions that would require Navient to repurchase or redeem or otherwise modify the terms of any of the notes upon a change in control or other events involving Navient which may adversely affect the creditworthiness of the notes. The Indenture will not restrict the ability of Navient or its subsidiaries to transfer assets to and among Navient’s subsidiaries.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Merger, Consolidation and Sale of Assets</w:t>
      </w:r>
    </w:p>
    <w:p>
      <w:pPr>
        <w:spacing w:after="0" w:line="92" w:lineRule="exact"/>
        <w:rPr>
          <w:sz w:val="20"/>
          <w:szCs w:val="20"/>
          <w:color w:val="auto"/>
        </w:rPr>
      </w:pPr>
    </w:p>
    <w:p>
      <w:pPr>
        <w:ind w:left="240" w:right="539" w:firstLine="341"/>
        <w:spacing w:after="0" w:line="281" w:lineRule="auto"/>
        <w:rPr>
          <w:sz w:val="20"/>
          <w:szCs w:val="20"/>
          <w:color w:val="auto"/>
        </w:rPr>
      </w:pPr>
      <w:r>
        <w:rPr>
          <w:rFonts w:ascii="Times New Roman" w:cs="Times New Roman" w:eastAsia="Times New Roman" w:hAnsi="Times New Roman"/>
          <w:sz w:val="14"/>
          <w:szCs w:val="14"/>
          <w:color w:val="auto"/>
        </w:rPr>
        <w:t>Navient will not consolidate or merge with or into any other entity, or sell, convey, transfer or lease all or substantially all its assets to another entity, unless:</w:t>
      </w:r>
    </w:p>
    <w:p>
      <w:pPr>
        <w:spacing w:after="0" w:line="52" w:lineRule="exact"/>
        <w:rPr>
          <w:sz w:val="20"/>
          <w:szCs w:val="20"/>
          <w:color w:val="auto"/>
        </w:rPr>
      </w:pPr>
    </w:p>
    <w:p>
      <w:pPr>
        <w:ind w:left="980" w:right="379" w:hanging="327"/>
        <w:spacing w:after="0" w:line="295" w:lineRule="auto"/>
        <w:tabs>
          <w:tab w:leader="none" w:pos="9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Navient shall be the continuing entity, or the successor, transferee or lessee entity (if other than Navient) shall be organized and existing under the laws of the United States or any state thereof and expressly assume prior to or simultaneously with such consolidation, merger, sale, conveyance, transfer or lease, all obligations under the Indenture and the notes to be performed or observed by Navient;</w:t>
      </w:r>
    </w:p>
    <w:p>
      <w:pPr>
        <w:spacing w:after="0" w:line="45" w:lineRule="exact"/>
        <w:rPr>
          <w:rFonts w:ascii="Times New Roman" w:cs="Times New Roman" w:eastAsia="Times New Roman" w:hAnsi="Times New Roman"/>
          <w:sz w:val="13"/>
          <w:szCs w:val="13"/>
          <w:color w:val="auto"/>
        </w:rPr>
      </w:pPr>
    </w:p>
    <w:p>
      <w:pPr>
        <w:ind w:left="980" w:right="259" w:hanging="327"/>
        <w:spacing w:after="0" w:line="281"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such consolidation, merger, sale, conveyance, transfer or lease Navient or the successor, transferee or lessee entity would not be in default in the performance of any covenant or condition of the Indenture; and</w:t>
      </w:r>
    </w:p>
    <w:p>
      <w:pPr>
        <w:spacing w:after="0" w:line="52" w:lineRule="exact"/>
        <w:rPr>
          <w:rFonts w:ascii="Times New Roman" w:cs="Times New Roman" w:eastAsia="Times New Roman" w:hAnsi="Times New Roman"/>
          <w:sz w:val="14"/>
          <w:szCs w:val="14"/>
          <w:color w:val="auto"/>
        </w:rPr>
      </w:pPr>
    </w:p>
    <w:p>
      <w:pPr>
        <w:ind w:left="980" w:right="259" w:hanging="327"/>
        <w:spacing w:after="0" w:line="265"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Navient shall have delivered to the Trustee an officer’s certificate and an opinion of counsel, each stating that such consolidation, merger, conveyance or transfer and such supplemental indenture comply with the relevant section of the Indenture and that all conditions precedent provided for relating to such transaction have been complied with.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40" w:right="1440"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Events of Default</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An Event of Default with respect to the notes is defined as follows:</w:t>
      </w:r>
    </w:p>
    <w:p>
      <w:pPr>
        <w:spacing w:after="0" w:line="101" w:lineRule="exact"/>
        <w:rPr>
          <w:sz w:val="20"/>
          <w:szCs w:val="20"/>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the notes, which continues for 30 days;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premium, if any, on the notes at maturity, redemption, acceleration or otherwise;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sinking fund installment, if any, which continues for 30 days;</w:t>
      </w:r>
    </w:p>
    <w:p>
      <w:pPr>
        <w:spacing w:after="0" w:line="100" w:lineRule="exact"/>
        <w:rPr>
          <w:rFonts w:ascii="Times New Roman" w:cs="Times New Roman" w:eastAsia="Times New Roman" w:hAnsi="Times New Roman"/>
          <w:sz w:val="14"/>
          <w:szCs w:val="14"/>
          <w:color w:val="auto"/>
        </w:rPr>
      </w:pPr>
    </w:p>
    <w:p>
      <w:pPr>
        <w:ind w:left="980" w:right="259" w:hanging="327"/>
        <w:spacing w:after="0" w:line="260" w:lineRule="auto"/>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or breach of any covenant of Navient in the Indenture (other than a default in the performance or breach of a covenant included in the Indenture solely for the benefit of debt securities of Navient other than the notes offered pursuant to this prospectus supplement), which continues for 90 days after written notice has been given to Navient by the Trustee or to Navient and the Trustee by the holders of at least 25% in aggregate principal amount of the notes then outstanding; and</w:t>
      </w:r>
    </w:p>
    <w:p>
      <w:pPr>
        <w:spacing w:after="0" w:line="66"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Navient.</w:t>
      </w:r>
    </w:p>
    <w:p>
      <w:pPr>
        <w:spacing w:after="0" w:line="174"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The Indenture provides that, if any Event of Default with respect to the notes occurs and is continuing, either the Trustee or the holders of not less than 25% in principal amount of the notes then outstanding may declare the principal amount of (and all accrued and unpaid interest and premium, if any, on) all notes to be due and payable immediately, but under certain conditions such declaration may be rescinded and annulled and past defaults (except, unless theretofore cured, a default in payment of principal of or premium, if any, or interest, if any, on the notes and certain other specified defaults) may be waived by the holders of not less than a majority in principal amount of the notes on behalf of the holders of all the notes.</w:t>
      </w:r>
    </w:p>
    <w:p>
      <w:pPr>
        <w:spacing w:after="0" w:line="143"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Within 90 days after the occurrence of a default, and if known to the Trustee, the Trustee shall give notice to the holders of the notes of the default, unless such default shall have been cured or waived before the giving of such notice. Except in the case of a default in payment of the principal of, premium, if any, or interest on the notes, the Trustee shall be protected in withholding such notice, if the Trustee in good faith determines that the withholding of such notice is in the interests of the holders. For purposes of the provision described in this paragraph, the term default with respect to any notes means any event which is, or after notice or lapse of time or both, would become an “Event of Default” specified in the Indenture with respect to the notes.</w:t>
      </w:r>
    </w:p>
    <w:p>
      <w:pPr>
        <w:spacing w:after="0" w:line="146" w:lineRule="exact"/>
        <w:rPr>
          <w:sz w:val="20"/>
          <w:szCs w:val="20"/>
          <w:color w:val="auto"/>
        </w:rPr>
      </w:pPr>
    </w:p>
    <w:p>
      <w:pPr>
        <w:ind w:left="240" w:right="339" w:firstLine="341"/>
        <w:spacing w:after="0" w:line="254" w:lineRule="auto"/>
        <w:rPr>
          <w:sz w:val="20"/>
          <w:szCs w:val="20"/>
          <w:color w:val="auto"/>
        </w:rPr>
      </w:pPr>
      <w:r>
        <w:rPr>
          <w:rFonts w:ascii="Times New Roman" w:cs="Times New Roman" w:eastAsia="Times New Roman" w:hAnsi="Times New Roman"/>
          <w:sz w:val="14"/>
          <w:szCs w:val="14"/>
          <w:color w:val="auto"/>
        </w:rPr>
        <w:t>The Trustee is required, during an Event of Default, to act with the standard of care provided in the Trust Indenture Act of 1939, as amended (the “Trust Indenture Act”). The Indenture provides that the holders of a majority in principal amount of the notes may direct the time, method and place of conducting any proceeding for any remedy available to the Trustee, or exercising any trust or power conferred on the Trustee with respect to the notes. However, the Indenture contains a provision entitling the Trustee to be indemnified to its satisfaction by holders of the notes before proceeding to exercise any right or power vested in it under the Indenture at the request or direction of the holders of the notes. The terms of the indemnification required by the Trustee will depend on the nature of the right or power requested or directed to be exercised by the holders and the circumstances that exist at that time. Generally, the Trustee would expect to be fully protected for all actions.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2" w:lineRule="exact"/>
        <w:rPr>
          <w:sz w:val="20"/>
          <w:szCs w:val="20"/>
          <w:color w:val="auto"/>
        </w:rPr>
      </w:pPr>
    </w:p>
    <w:p>
      <w:pPr>
        <w:ind w:left="240" w:right="599" w:firstLine="341"/>
        <w:spacing w:after="0" w:line="281" w:lineRule="auto"/>
        <w:rPr>
          <w:sz w:val="20"/>
          <w:szCs w:val="20"/>
          <w:color w:val="auto"/>
        </w:rPr>
      </w:pPr>
      <w:r>
        <w:rPr>
          <w:rFonts w:ascii="Times New Roman" w:cs="Times New Roman" w:eastAsia="Times New Roman" w:hAnsi="Times New Roman"/>
          <w:sz w:val="14"/>
          <w:szCs w:val="14"/>
          <w:color w:val="auto"/>
        </w:rPr>
        <w:t>Modifications and amendments may be made by Navient and the Trustee to the Indenture, without the consent of any holder of the notes, to, among other things:</w:t>
      </w:r>
    </w:p>
    <w:p>
      <w:pPr>
        <w:spacing w:after="0" w:line="52" w:lineRule="exact"/>
        <w:rPr>
          <w:sz w:val="20"/>
          <w:szCs w:val="20"/>
          <w:color w:val="auto"/>
        </w:rPr>
      </w:pPr>
    </w:p>
    <w:p>
      <w:pPr>
        <w:ind w:left="980" w:hanging="327"/>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the covenants and agreements of Navient and to add Events of Default, in each case for the protection or benefit of the holders;</w:t>
      </w:r>
    </w:p>
    <w:p>
      <w:pPr>
        <w:spacing w:after="0" w:line="100" w:lineRule="exact"/>
        <w:rPr>
          <w:rFonts w:ascii="Times New Roman" w:cs="Times New Roman" w:eastAsia="Times New Roman" w:hAnsi="Times New Roman"/>
          <w:sz w:val="14"/>
          <w:szCs w:val="14"/>
          <w:color w:val="auto"/>
        </w:rPr>
      </w:pPr>
    </w:p>
    <w:p>
      <w:pPr>
        <w:ind w:left="980" w:right="759" w:hanging="327"/>
        <w:spacing w:after="0" w:line="281"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corporation to Navient, or successive successions, and the assumption by such successor of the covenants and obligations of Navient;</w:t>
      </w:r>
    </w:p>
    <w:p>
      <w:pPr>
        <w:spacing w:after="0" w:line="52" w:lineRule="exact"/>
        <w:rPr>
          <w:rFonts w:ascii="Times New Roman" w:cs="Times New Roman" w:eastAsia="Times New Roman" w:hAnsi="Times New Roman"/>
          <w:sz w:val="14"/>
          <w:szCs w:val="14"/>
          <w:color w:val="auto"/>
        </w:rPr>
      </w:pPr>
    </w:p>
    <w:p>
      <w:pPr>
        <w:jc w:val="both"/>
        <w:ind w:left="980" w:right="559" w:hanging="327"/>
        <w:spacing w:after="0" w:line="321" w:lineRule="auto"/>
        <w:tabs>
          <w:tab w:leader="none" w:pos="9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evidence and provide for the acceptance of appointment under the Indenture by a successor Trustee and to add to or change any of the provisions of the Indenture as shall be necessary for or facilitate the administration of the trusts thereunder by more than one Trustee;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8" w:right="1440" w:bottom="1440" w:gutter="0" w:footer="0" w:header="0"/>
        </w:sectPr>
      </w:pPr>
    </w:p>
    <w:bookmarkStart w:id="22" w:name="page23"/>
    <w:bookmarkEnd w:id="22"/>
    <w:p>
      <w:pPr>
        <w:ind w:left="980" w:right="519" w:hanging="327"/>
        <w:spacing w:after="0" w:line="281"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secure the notes or to add guarantors or co-obligors with respect to the notes or release guarantors from their guarantees of the notes in accordance with the terms of the notes;</w:t>
      </w:r>
    </w:p>
    <w:p>
      <w:pPr>
        <w:spacing w:after="0" w:line="52" w:lineRule="exact"/>
        <w:rPr>
          <w:rFonts w:ascii="Times New Roman" w:cs="Times New Roman" w:eastAsia="Times New Roman" w:hAnsi="Times New Roman"/>
          <w:sz w:val="14"/>
          <w:szCs w:val="14"/>
          <w:color w:val="auto"/>
        </w:rPr>
      </w:pPr>
    </w:p>
    <w:p>
      <w:pPr>
        <w:ind w:left="980" w:right="379" w:hanging="327"/>
        <w:spacing w:after="0" w:line="265"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or inconsistency or to correct or supplement any provision contained in the Indenture which may be defective or inconsistent with any other provision in the Indenture or to conform the terms in the Indenture to the description of the terms of the notes in the prospectus supplement;</w:t>
      </w:r>
    </w:p>
    <w:p>
      <w:pPr>
        <w:spacing w:after="0" w:line="63" w:lineRule="exact"/>
        <w:rPr>
          <w:rFonts w:ascii="Times New Roman" w:cs="Times New Roman" w:eastAsia="Times New Roman" w:hAnsi="Times New Roman"/>
          <w:sz w:val="14"/>
          <w:szCs w:val="14"/>
          <w:color w:val="auto"/>
        </w:rPr>
      </w:pPr>
    </w:p>
    <w:p>
      <w:pPr>
        <w:ind w:left="980" w:right="379" w:hanging="327"/>
        <w:spacing w:after="0" w:line="281"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or eliminate any provision of the Indenture as shall be necessary or desirable in accordance with any amendments to the Trust Indenture Act;</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that does not adversely affect in any material respect the interests of the holders of the notes;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securities in addition to certificated securities; or</w:t>
      </w:r>
    </w:p>
    <w:p>
      <w:pPr>
        <w:spacing w:after="0" w:line="100" w:lineRule="exact"/>
        <w:rPr>
          <w:rFonts w:ascii="Times New Roman" w:cs="Times New Roman" w:eastAsia="Times New Roman" w:hAnsi="Times New Roman"/>
          <w:sz w:val="14"/>
          <w:szCs w:val="14"/>
          <w:color w:val="auto"/>
        </w:rPr>
      </w:pPr>
    </w:p>
    <w:p>
      <w:pPr>
        <w:ind w:left="980" w:right="479" w:hanging="327"/>
        <w:spacing w:after="0" w:line="281" w:lineRule="auto"/>
        <w:tabs>
          <w:tab w:leader="none" w:pos="9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or facilitate the defeasance and discharge of the notes provided that any such action shall not adversely affect the interests of the holders of the notes or any other series of securities issued under the Indenture.</w:t>
      </w:r>
    </w:p>
    <w:p>
      <w:pPr>
        <w:spacing w:after="0" w:line="125" w:lineRule="exact"/>
        <w:rPr>
          <w:sz w:val="20"/>
          <w:szCs w:val="20"/>
          <w:color w:val="auto"/>
        </w:rPr>
      </w:pPr>
    </w:p>
    <w:p>
      <w:pPr>
        <w:ind w:left="240" w:right="419" w:firstLine="341"/>
        <w:spacing w:after="0" w:line="260" w:lineRule="auto"/>
        <w:rPr>
          <w:sz w:val="20"/>
          <w:szCs w:val="20"/>
          <w:color w:val="auto"/>
        </w:rPr>
      </w:pPr>
      <w:r>
        <w:rPr>
          <w:rFonts w:ascii="Times New Roman" w:cs="Times New Roman" w:eastAsia="Times New Roman" w:hAnsi="Times New Roman"/>
          <w:sz w:val="14"/>
          <w:szCs w:val="14"/>
          <w:color w:val="auto"/>
        </w:rPr>
        <w:t>The Indenture contains provisions permitting Navient and the Trustee, with the consent of the holders of a majority in aggregate in principal amount of the notes then outstanding to execute supplemental indentures adding any provisions to or changing or eliminating any of the provisions of the Indenture or modifying the rights of the holders of the notes, except that no such supplemental indenture may, without the consent of the holder of each note affected thereby:</w:t>
      </w:r>
    </w:p>
    <w:p>
      <w:pPr>
        <w:spacing w:after="0" w:line="66" w:lineRule="exact"/>
        <w:rPr>
          <w:sz w:val="20"/>
          <w:szCs w:val="20"/>
          <w:color w:val="auto"/>
        </w:rPr>
      </w:pPr>
    </w:p>
    <w:p>
      <w:pPr>
        <w:ind w:left="980" w:right="319" w:hanging="327"/>
        <w:spacing w:after="0" w:line="265" w:lineRule="auto"/>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 the stated maturity of the principal of, or any installment of interest on, the notes, or reduce the principal amount thereof or interest thereon or any premium payable on redemption of the notes or change the currency in which the principal of and premium, if any, or interest on the notes is denominated or payable;</w:t>
      </w:r>
    </w:p>
    <w:p>
      <w:pPr>
        <w:spacing w:after="0" w:line="63" w:lineRule="exact"/>
        <w:rPr>
          <w:rFonts w:ascii="Times New Roman" w:cs="Times New Roman" w:eastAsia="Times New Roman" w:hAnsi="Times New Roman"/>
          <w:sz w:val="14"/>
          <w:szCs w:val="14"/>
          <w:color w:val="auto"/>
        </w:rPr>
      </w:pPr>
    </w:p>
    <w:p>
      <w:pPr>
        <w:ind w:left="980" w:right="559" w:hanging="327"/>
        <w:spacing w:after="0" w:line="281" w:lineRule="auto"/>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notes, the consent of whose holders is required for any supplemental indenture or for waiver of compliance with certain provisions of the Indenture or certain defaults thereunder;</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holders of the notes required to consent to any waiver of defaults, covenants or supplemental indentures;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without the written consent of the Trustee, the rights, duties or immunities of the Trustee.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holders of a majority in aggregate principal amount of the outstanding notes may, on behalf of all the holders of all notes:</w:t>
      </w:r>
    </w:p>
    <w:p>
      <w:pPr>
        <w:spacing w:after="0" w:line="101" w:lineRule="exact"/>
        <w:rPr>
          <w:sz w:val="20"/>
          <w:szCs w:val="20"/>
          <w:color w:val="auto"/>
        </w:rPr>
      </w:pPr>
    </w:p>
    <w:p>
      <w:pPr>
        <w:ind w:left="980" w:hanging="327"/>
        <w:spacing w:after="0"/>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compliance by Navient with certain restrictive provisions of the Indenture, as detailed in the Indenture; or</w:t>
      </w:r>
    </w:p>
    <w:p>
      <w:pPr>
        <w:spacing w:after="0" w:line="100" w:lineRule="exact"/>
        <w:rPr>
          <w:rFonts w:ascii="Times New Roman" w:cs="Times New Roman" w:eastAsia="Times New Roman" w:hAnsi="Times New Roman"/>
          <w:sz w:val="14"/>
          <w:szCs w:val="14"/>
          <w:color w:val="auto"/>
        </w:rPr>
      </w:pPr>
    </w:p>
    <w:p>
      <w:pPr>
        <w:ind w:left="980" w:right="299" w:hanging="327"/>
        <w:spacing w:after="0" w:line="265" w:lineRule="auto"/>
        <w:tabs>
          <w:tab w:leader="none" w:pos="9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past default or event of default under the Indenture and its consequences, except a default or event of default in the payment of any amount due with respect to any note, or in respect of any provision which under the Indenture cannot be modified or amended without the consent of the holder of each outstanding note affected.</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Indenture will cease to be of further effect with respect to the notes if:</w:t>
      </w:r>
    </w:p>
    <w:p>
      <w:pPr>
        <w:spacing w:after="0" w:line="101" w:lineRule="exact"/>
        <w:rPr>
          <w:sz w:val="20"/>
          <w:szCs w:val="20"/>
          <w:color w:val="auto"/>
        </w:rPr>
      </w:pPr>
    </w:p>
    <w:p>
      <w:pPr>
        <w:ind w:left="980" w:right="479" w:hanging="327"/>
        <w:spacing w:after="0" w:line="281" w:lineRule="auto"/>
        <w:tabs>
          <w:tab w:leader="none" w:pos="9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notes (other than destroyed, lost or stolen notes which have been replaced or paid and notes, the payment for which has been held in trust and thereafter repaid to Navient or discharged from such trust) have been delivered to the Trustee for cancellation; 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40" w:right="1440" w:bottom="1440" w:gutter="0" w:footer="0" w:header="0"/>
        </w:sectPr>
      </w:pPr>
    </w:p>
    <w:bookmarkStart w:id="23" w:name="page24"/>
    <w:bookmarkEnd w:id="23"/>
    <w:p>
      <w:pPr>
        <w:ind w:left="980" w:right="379" w:hanging="327"/>
        <w:spacing w:after="0" w:line="257"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all notes not previously delivered to the Trustee for cancellation have become due and payable or are by their terms to become due and payable at their stated maturity within one year or, if redeemable at the option of Navient, are to be called for redemption within one year under arrangements satisfactory to the Trustee and Navient has deposited with the Trustee, as trust funds, an amount sufficient to pay and discharge the entire indebtedness on the notes for principal and any premium and interest to the date of such deposit or to maturity or redemption, as the case may be.</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Such trust may only be established if:</w:t>
      </w:r>
    </w:p>
    <w:p>
      <w:pPr>
        <w:spacing w:after="0" w:line="101" w:lineRule="exact"/>
        <w:rPr>
          <w:sz w:val="20"/>
          <w:szCs w:val="20"/>
          <w:color w:val="auto"/>
        </w:rPr>
      </w:pPr>
    </w:p>
    <w:p>
      <w:pPr>
        <w:ind w:left="980" w:hanging="327"/>
        <w:spacing w:after="0"/>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Navient has paid or caused to be paid all other sums payable by Navient under the Indenture; and</w:t>
      </w:r>
    </w:p>
    <w:p>
      <w:pPr>
        <w:spacing w:after="0" w:line="100" w:lineRule="exact"/>
        <w:rPr>
          <w:rFonts w:ascii="Times New Roman" w:cs="Times New Roman" w:eastAsia="Times New Roman" w:hAnsi="Times New Roman"/>
          <w:sz w:val="14"/>
          <w:szCs w:val="14"/>
          <w:color w:val="auto"/>
        </w:rPr>
      </w:pPr>
    </w:p>
    <w:p>
      <w:pPr>
        <w:ind w:left="980" w:right="399" w:hanging="327"/>
        <w:spacing w:after="0" w:line="321" w:lineRule="auto"/>
        <w:tabs>
          <w:tab w:leader="none" w:pos="9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Navient has delivered to the Trustee an officer’s certificate and an opinion of counsel, each stating that all conditions precedent provided for in the Indenture relating to the satisfaction and discharge of the Indenture with respect to the notes have been complied with.</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9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Indenture provides that the terms of the notes may provide Navient with the option to discharge its indebtedness represented by such notes or to cease to be obligated to comply with certain covenants under the Indenture. Navient, in order to exercise such option, will be required to deposit with the Trustee money and/or U.S. government obligations which, through the payment of interest and principal in respect thereof in accordance with their terms, will provide money in an amount sufficient to pay the principal of and premium, if any, and interest on, the notes at the stated maturity of such payments in accordance with the terms of the Indenture and such notes.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Such trust may only be established if:</w:t>
      </w:r>
    </w:p>
    <w:p>
      <w:pPr>
        <w:spacing w:after="0" w:line="101" w:lineRule="exact"/>
        <w:rPr>
          <w:sz w:val="20"/>
          <w:szCs w:val="20"/>
          <w:color w:val="auto"/>
        </w:rPr>
      </w:pPr>
    </w:p>
    <w:p>
      <w:pPr>
        <w:ind w:left="980" w:right="279" w:hanging="327"/>
        <w:spacing w:after="0" w:line="265"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that with notice or lapse of time or both would become an event of default shall have occurred and be continuing on the date of such deposit (other than a default resulting from the borrowing of funds and the grant of any related liens to be applied to such deposit);</w:t>
      </w:r>
    </w:p>
    <w:p>
      <w:pPr>
        <w:spacing w:after="0" w:line="63"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Navient has delivered to the Trustee:</w:t>
      </w:r>
    </w:p>
    <w:p>
      <w:pPr>
        <w:spacing w:after="0" w:line="100" w:lineRule="exact"/>
        <w:rPr>
          <w:rFonts w:ascii="Times New Roman" w:cs="Times New Roman" w:eastAsia="Times New Roman" w:hAnsi="Times New Roman"/>
          <w:sz w:val="14"/>
          <w:szCs w:val="14"/>
          <w:color w:val="auto"/>
        </w:rPr>
      </w:pPr>
    </w:p>
    <w:p>
      <w:pPr>
        <w:ind w:left="980" w:right="279" w:hanging="327"/>
        <w:spacing w:after="0" w:line="265"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stating that the holders of the notes will not recognize income, gain or loss for U.S. federal income tax purposes as a result of Navient’s exercise of this defeasance option and will be subject to U.S. federal income tax on the same amounts and in the same manner and at the same times as would have been the case if Navient had not exercised this option; and</w:t>
      </w:r>
    </w:p>
    <w:p>
      <w:pPr>
        <w:spacing w:after="0" w:line="63" w:lineRule="exact"/>
        <w:rPr>
          <w:rFonts w:ascii="Times New Roman" w:cs="Times New Roman" w:eastAsia="Times New Roman" w:hAnsi="Times New Roman"/>
          <w:sz w:val="14"/>
          <w:szCs w:val="14"/>
          <w:color w:val="auto"/>
        </w:rPr>
      </w:pPr>
    </w:p>
    <w:p>
      <w:pPr>
        <w:ind w:left="980" w:right="399" w:hanging="327"/>
        <w:spacing w:after="0" w:line="281"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notes being discharged, accompanied by a ruling to that effect received from or published by the U.S. Internal Revenue Service (the “IRS”).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Trustee may resign or be removed with respect to the notes and a successor trustee may be appointed to act with respect to such notes.</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92" w:lineRule="exact"/>
        <w:rPr>
          <w:sz w:val="20"/>
          <w:szCs w:val="20"/>
          <w:color w:val="auto"/>
        </w:rPr>
      </w:pPr>
    </w:p>
    <w:p>
      <w:pPr>
        <w:ind w:left="240" w:right="319" w:firstLine="341"/>
        <w:spacing w:after="0" w:line="321" w:lineRule="auto"/>
        <w:rPr>
          <w:sz w:val="20"/>
          <w:szCs w:val="20"/>
          <w:color w:val="auto"/>
        </w:rPr>
      </w:pPr>
      <w:r>
        <w:rPr>
          <w:rFonts w:ascii="Times New Roman" w:cs="Times New Roman" w:eastAsia="Times New Roman" w:hAnsi="Times New Roman"/>
          <w:sz w:val="13"/>
          <w:szCs w:val="13"/>
          <w:color w:val="auto"/>
        </w:rPr>
        <w:t>The notes will be represented by one or more permanent global notes in definitive, fully registered form without interest coupons. Upon issuance, the notes will be deposited with The Bank of New York Mellon, as Trustee, as custodian for DTC, and registered in the name of DTC or its nominee.</w:t>
      </w:r>
    </w:p>
    <w:p>
      <w:pPr>
        <w:spacing w:after="0" w:line="102" w:lineRule="exact"/>
        <w:rPr>
          <w:sz w:val="20"/>
          <w:szCs w:val="20"/>
          <w:color w:val="auto"/>
        </w:rPr>
      </w:pPr>
    </w:p>
    <w:p>
      <w:pPr>
        <w:jc w:val="both"/>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Ownership of beneficial interests in a global note will be limited to persons who have accounts with DTC, which we refer to as “participants,” or persons who hold interests through participants. Ownership of beneficial interests in a global note will be shown on, and the transfer of that ownership will be effected only through,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40" w:right="1440" w:bottom="1440" w:gutter="0" w:footer="0" w:header="0"/>
        </w:sectPr>
      </w:pPr>
    </w:p>
    <w:bookmarkStart w:id="24" w:name="page25"/>
    <w:bookmarkEnd w:id="24"/>
    <w:p>
      <w:pPr>
        <w:ind w:left="240" w:right="379"/>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records maintained by DTC or its nominee (with respect to interests of participants) and the records of participants (with respect to interests of persons other than participants).</w:t>
      </w:r>
    </w:p>
    <w:p>
      <w:pPr>
        <w:spacing w:after="0" w:line="125"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So long as DTC, or its nominee, is the registered owner or holder of any of the notes, DTC or that nominee as the case may be, will be considered the sole owner or holder of such notes represented by the global note for all purposes under the Indenture and the notes. No beneficial owner of an interest in a global note will be able to transfer such interest except in accordance with DTC’s applicable procedures, in addition to those provided for under the Indenture.</w:t>
      </w:r>
    </w:p>
    <w:p>
      <w:pPr>
        <w:spacing w:after="0" w:line="140"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Payments of the principal of, and interest on, a global note will be made to DTC or its nominee, as the case may be, as the registered owner thereof. None of the Trustee, any paying agent, or we, or any of their or our agents, will have any responsibility or liability for any aspect of the records relating to or payments made on account of beneficial ownership interests in a global note or for maintaining, supervising or reviewing any records relating to such beneficial ownership interests.</w:t>
      </w:r>
    </w:p>
    <w:p>
      <w:pPr>
        <w:spacing w:after="0" w:line="140" w:lineRule="exact"/>
        <w:rPr>
          <w:sz w:val="20"/>
          <w:szCs w:val="20"/>
          <w:color w:val="auto"/>
        </w:rPr>
      </w:pPr>
    </w:p>
    <w:p>
      <w:pPr>
        <w:ind w:left="240" w:right="519" w:firstLine="341"/>
        <w:spacing w:after="0" w:line="257" w:lineRule="auto"/>
        <w:rPr>
          <w:sz w:val="20"/>
          <w:szCs w:val="20"/>
          <w:color w:val="auto"/>
        </w:rPr>
      </w:pPr>
      <w:r>
        <w:rPr>
          <w:rFonts w:ascii="Times New Roman" w:cs="Times New Roman" w:eastAsia="Times New Roman" w:hAnsi="Times New Roman"/>
          <w:sz w:val="14"/>
          <w:szCs w:val="14"/>
          <w:color w:val="auto"/>
        </w:rPr>
        <w:t>We expect that DTC or its nominee, upon receipt of any payment of principal or interest in respect of a global note, will credit participants’ accounts with payments in amounts proportionate to their respective beneficial interests in the principal amount of such global note as shown on the records of DTC or its nominee. We also expect that payments by participants to owners of beneficial interests in such global note held through such participants will be governed by standing instructions and customary practices, as is now the case with securities held for the accounts of customers registered in the names of nominees for such customers. Such payments will be the responsibility of such participants.</w:t>
      </w:r>
    </w:p>
    <w:p>
      <w:pPr>
        <w:spacing w:after="0" w:line="143" w:lineRule="exact"/>
        <w:rPr>
          <w:sz w:val="20"/>
          <w:szCs w:val="20"/>
          <w:color w:val="auto"/>
        </w:rPr>
      </w:pPr>
    </w:p>
    <w:p>
      <w:pPr>
        <w:ind w:left="240" w:right="459" w:firstLine="341"/>
        <w:spacing w:after="0" w:line="281" w:lineRule="auto"/>
        <w:rPr>
          <w:sz w:val="20"/>
          <w:szCs w:val="20"/>
          <w:color w:val="auto"/>
        </w:rPr>
      </w:pPr>
      <w:r>
        <w:rPr>
          <w:rFonts w:ascii="Times New Roman" w:cs="Times New Roman" w:eastAsia="Times New Roman" w:hAnsi="Times New Roman"/>
          <w:sz w:val="14"/>
          <w:szCs w:val="14"/>
          <w:color w:val="auto"/>
        </w:rPr>
        <w:t>Transfers between participants in DTC will be effected in the ordinary way in accordance with DTC rules and procedures and will be settled in same-day funds.</w:t>
      </w:r>
    </w:p>
    <w:p>
      <w:pPr>
        <w:spacing w:after="0" w:line="125" w:lineRule="exact"/>
        <w:rPr>
          <w:sz w:val="20"/>
          <w:szCs w:val="20"/>
          <w:color w:val="auto"/>
        </w:rPr>
      </w:pPr>
    </w:p>
    <w:p>
      <w:pPr>
        <w:ind w:left="240" w:right="399" w:firstLine="341"/>
        <w:spacing w:after="0" w:line="260" w:lineRule="auto"/>
        <w:rPr>
          <w:sz w:val="20"/>
          <w:szCs w:val="20"/>
          <w:color w:val="auto"/>
        </w:rPr>
      </w:pPr>
      <w:r>
        <w:rPr>
          <w:rFonts w:ascii="Times New Roman" w:cs="Times New Roman" w:eastAsia="Times New Roman" w:hAnsi="Times New Roman"/>
          <w:sz w:val="14"/>
          <w:szCs w:val="14"/>
          <w:color w:val="auto"/>
        </w:rPr>
        <w:t>We expect that DTC will take any action permitted to be taken by a holder of notes only at the direction of one or more participants to whose account the DTC interests in a global note is credited and only in respect of such portion of the aggregate principal amount of notes as to which such participant or participants has or have given such direction. However, if there is an event of default under the notes, DTC will exchange the applicable global note for certificated notes, which it will distribute to its participants.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 global note is exchangeable for definitive notes in registered certificated form if:</w:t>
      </w:r>
    </w:p>
    <w:p>
      <w:pPr>
        <w:spacing w:after="0" w:line="101" w:lineRule="exact"/>
        <w:rPr>
          <w:sz w:val="20"/>
          <w:szCs w:val="20"/>
          <w:color w:val="auto"/>
        </w:rPr>
      </w:pPr>
    </w:p>
    <w:p>
      <w:pPr>
        <w:ind w:left="980" w:right="87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(i) notifies us that it is unwilling or unable to continue as depositary for the global notes, and we fail to appoint a successor depositary, or (ii) has ceased to be a clearing agency registered under the Exchange Act;</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our option, we notify the Trustee in writing that we have elected to cause the issuance of the certificated securities;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occurred and is continuing a default or event of default with respect to the notes.</w:t>
      </w:r>
    </w:p>
    <w:p>
      <w:pPr>
        <w:spacing w:after="0" w:line="100" w:lineRule="exact"/>
        <w:rPr>
          <w:rFonts w:ascii="Times New Roman" w:cs="Times New Roman" w:eastAsia="Times New Roman" w:hAnsi="Times New Roman"/>
          <w:sz w:val="14"/>
          <w:szCs w:val="14"/>
          <w:color w:val="auto"/>
        </w:rPr>
      </w:pPr>
    </w:p>
    <w:p>
      <w:pPr>
        <w:ind w:left="980" w:right="339" w:hanging="327"/>
        <w:spacing w:after="0" w:line="281"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beneficial interests in a global note may be exchanged for certificated securities upon prior written notice given to the Trustee by or on behalf of DTC in accordance with the Indenture.</w:t>
      </w:r>
    </w:p>
    <w:p>
      <w:pPr>
        <w:spacing w:after="0" w:line="125" w:lineRule="exact"/>
        <w:rPr>
          <w:sz w:val="20"/>
          <w:szCs w:val="20"/>
          <w:color w:val="auto"/>
        </w:rPr>
      </w:pPr>
    </w:p>
    <w:p>
      <w:pPr>
        <w:ind w:left="240" w:right="379" w:firstLine="341"/>
        <w:spacing w:after="0" w:line="260" w:lineRule="auto"/>
        <w:rPr>
          <w:sz w:val="20"/>
          <w:szCs w:val="20"/>
          <w:color w:val="auto"/>
        </w:rPr>
      </w:pPr>
      <w:r>
        <w:rPr>
          <w:rFonts w:ascii="Times New Roman" w:cs="Times New Roman" w:eastAsia="Times New Roman" w:hAnsi="Times New Roman"/>
          <w:sz w:val="14"/>
          <w:szCs w:val="14"/>
          <w:color w:val="auto"/>
        </w:rPr>
        <w:t>In all cases, certificated securities delivered in exchange for any beneficial interests in global notes will be registered in the names, and issued in any approved denominations, requested by or on behalf of the depositary (in accordance with its customary procedures). Certificated securities may be presented for registration, transfer and exchange at The Bank of New York Mellon, New York, New York, or the office or agency designated for such purpose.</w:t>
      </w:r>
    </w:p>
    <w:p>
      <w:pPr>
        <w:spacing w:after="0" w:line="140"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DTC has advised us that: DTC is a limited purpose trust company organized under the laws of the State of New York, a “banking organization” within the meaning of New York Banking Law, a member of the Federal</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240" w:right="1440" w:bottom="1440" w:gutter="0" w:footer="0" w:header="0"/>
        </w:sectPr>
      </w:pPr>
    </w:p>
    <w:bookmarkStart w:id="25" w:name="page26"/>
    <w:bookmarkEnd w:id="25"/>
    <w:p>
      <w:pPr>
        <w:ind w:left="240" w:right="4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Reserve System, a “clearing corporation” within the meaning of the Uniform Commercial Code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thereby eliminating the need for physical movement of certificates. Indirect access to the DTC system is available to others such as banks, brokers, dealers and trust companies and certain other organizations that clear through or maintain a custodial relationship with a participant, either directly or indirectly, whom we refer to as indirect participants.</w:t>
      </w:r>
    </w:p>
    <w:p>
      <w:pPr>
        <w:spacing w:after="0" w:line="146"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Although DTC is expected to follow the foregoing procedures in order to facilitate transfers of interests in a global note among participants of DTC, they are under no obligation to perform or continue to perform such procedures, and such procedures may be discontinued at any time. None of the Trustee, the paying agent, or we, or any of their or our agents, will have any responsibility for the performance by DTC or its participants or indirect participants of their respective obligations under the rules and procedures governing their operations.</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Same Day Settlement and Payment</w:t>
      </w:r>
    </w:p>
    <w:p>
      <w:pPr>
        <w:spacing w:after="0" w:line="92"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We will make payments in respect of the notes (including principal, interest and premium, if any) at the Corporate Trust Office of the Trustee except that, at the option of Navient, we will make payments of interest by check mailed to the registered address of the holder of the notes entitled thereto or, in accordance with arrangements satisfactory to the Trustee, at the option of the holder of the notes by wire transfer to an account designated by such holder. The notes represented by the global notes are expected to trade in DTC’s Same Day Funds Settlement System, and any permitted secondary market trading activity in the notes will, therefore, be required by DTC to be settled in immediately available funds. We expect that secondary trading in any certificated securities will also be settled in immediately available funds.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Euroclear and Clearstream</w:t>
      </w:r>
    </w:p>
    <w:p>
      <w:pPr>
        <w:spacing w:after="0" w:line="92"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Investors may hold interests in the notes outside the United States through Euroclear or Clearstream if they are participants in those systems, or indirectly through organizations which are participants in those systems.</w:t>
      </w:r>
    </w:p>
    <w:p>
      <w:pPr>
        <w:spacing w:after="0" w:line="125"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The following is based on information furnished by Euroclear or Clearstream, as the case may be.</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Euroclear has advised us that:</w:t>
      </w:r>
    </w:p>
    <w:p>
      <w:pPr>
        <w:spacing w:after="0" w:line="101" w:lineRule="exact"/>
        <w:rPr>
          <w:sz w:val="20"/>
          <w:szCs w:val="20"/>
          <w:color w:val="auto"/>
        </w:rPr>
      </w:pPr>
    </w:p>
    <w:p>
      <w:pPr>
        <w:ind w:left="980" w:right="379" w:hanging="327"/>
        <w:spacing w:after="0" w:line="265"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63" w:lineRule="exact"/>
        <w:rPr>
          <w:rFonts w:ascii="Times New Roman" w:cs="Times New Roman" w:eastAsia="Times New Roman" w:hAnsi="Times New Roman"/>
          <w:sz w:val="14"/>
          <w:szCs w:val="14"/>
          <w:color w:val="auto"/>
        </w:rPr>
      </w:pPr>
    </w:p>
    <w:p>
      <w:pPr>
        <w:ind w:left="980" w:right="599" w:hanging="327"/>
        <w:spacing w:after="0" w:line="281"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includes various other services, including securities lending and borrowing and interfaces with domestic markets in several countries;</w:t>
      </w:r>
    </w:p>
    <w:p>
      <w:pPr>
        <w:spacing w:after="0" w:line="52" w:lineRule="exact"/>
        <w:rPr>
          <w:rFonts w:ascii="Times New Roman" w:cs="Times New Roman" w:eastAsia="Times New Roman" w:hAnsi="Times New Roman"/>
          <w:sz w:val="14"/>
          <w:szCs w:val="14"/>
          <w:color w:val="auto"/>
        </w:rPr>
      </w:pPr>
    </w:p>
    <w:p>
      <w:pPr>
        <w:ind w:left="980" w:right="399" w:hanging="327"/>
        <w:spacing w:after="0" w:line="281"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is operated by Euroclear Bank S.A./ N.V., as operator of the Euroclear System (the “Euroclear Operator”), under contract with Euroclear Clearance Systems S.C., a Belgian cooperative corporation (the “Cooperative”);</w:t>
      </w:r>
    </w:p>
    <w:p>
      <w:pPr>
        <w:spacing w:after="0" w:line="52" w:lineRule="exact"/>
        <w:rPr>
          <w:rFonts w:ascii="Times New Roman" w:cs="Times New Roman" w:eastAsia="Times New Roman" w:hAnsi="Times New Roman"/>
          <w:sz w:val="14"/>
          <w:szCs w:val="14"/>
          <w:color w:val="auto"/>
        </w:rPr>
      </w:pPr>
    </w:p>
    <w:p>
      <w:pPr>
        <w:ind w:left="980" w:right="379" w:hanging="327"/>
        <w:spacing w:after="0" w:line="260" w:lineRule="auto"/>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underwriters of securities offered by this prospectus supplement;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9019"/>
          </w:cols>
          <w:pgMar w:left="1440" w:top="240" w:right="1440" w:bottom="1440" w:gutter="0" w:footer="0" w:header="0"/>
        </w:sectPr>
      </w:pPr>
    </w:p>
    <w:bookmarkStart w:id="26" w:name="page27"/>
    <w:bookmarkEnd w:id="26"/>
    <w:p>
      <w:pPr>
        <w:ind w:left="980" w:right="779" w:hanging="327"/>
        <w:spacing w:after="0" w:line="281"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Indirect access to Euroclear is also available to other firms that clear through or maintain a custodial relationship with a Euroclear participant, either directly or indirectly;</w:t>
      </w:r>
    </w:p>
    <w:p>
      <w:pPr>
        <w:spacing w:after="0" w:line="52" w:lineRule="exact"/>
        <w:rPr>
          <w:rFonts w:ascii="Times New Roman" w:cs="Times New Roman" w:eastAsia="Times New Roman" w:hAnsi="Times New Roman"/>
          <w:sz w:val="14"/>
          <w:szCs w:val="14"/>
          <w:color w:val="auto"/>
        </w:rPr>
      </w:pPr>
    </w:p>
    <w:p>
      <w:pPr>
        <w:ind w:left="980" w:right="319" w:hanging="327"/>
        <w:spacing w:after="0" w:line="265"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w:t>
      </w:r>
    </w:p>
    <w:p>
      <w:pPr>
        <w:spacing w:after="0" w:line="63" w:lineRule="exact"/>
        <w:rPr>
          <w:rFonts w:ascii="Times New Roman" w:cs="Times New Roman" w:eastAsia="Times New Roman" w:hAnsi="Times New Roman"/>
          <w:sz w:val="14"/>
          <w:szCs w:val="14"/>
          <w:color w:val="auto"/>
        </w:rPr>
      </w:pPr>
    </w:p>
    <w:p>
      <w:pPr>
        <w:jc w:val="both"/>
        <w:ind w:left="980" w:right="279" w:hanging="327"/>
        <w:spacing w:after="0" w:line="265"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govern transfers of securities and cash within Euroclear, withdrawals of securities and cash from Euroclear, and receipts of payments with respect to securities in Euroclear. The Euroclear Operator acts under the Terms and Conditions only on behalf of Euroclear participants, and has no record of or relationship with persons holding through Euroclear participants; and</w:t>
      </w:r>
    </w:p>
    <w:p>
      <w:pPr>
        <w:spacing w:after="0" w:line="63"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with respect to securities held beneficially through Euroclear will be credited to the cash accounts of Euroclear participants in accordance with the Terms and Conditions, to the extent received by the U.S. depositary for Euroclear.</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Clearstream has advised us that:</w:t>
      </w:r>
    </w:p>
    <w:p>
      <w:pPr>
        <w:spacing w:after="0" w:line="101" w:lineRule="exact"/>
        <w:rPr>
          <w:sz w:val="20"/>
          <w:szCs w:val="20"/>
          <w:color w:val="auto"/>
        </w:rPr>
      </w:pPr>
    </w:p>
    <w:p>
      <w:pPr>
        <w:ind w:left="980" w:right="379" w:hanging="327"/>
        <w:spacing w:after="0" w:line="265"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incorporated under the laws of Luxembourg as a professional depositary and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63" w:lineRule="exact"/>
        <w:rPr>
          <w:rFonts w:ascii="Times New Roman" w:cs="Times New Roman" w:eastAsia="Times New Roman" w:hAnsi="Times New Roman"/>
          <w:sz w:val="14"/>
          <w:szCs w:val="14"/>
          <w:color w:val="auto"/>
        </w:rPr>
      </w:pPr>
    </w:p>
    <w:p>
      <w:pPr>
        <w:ind w:left="980" w:right="279" w:hanging="327"/>
        <w:spacing w:after="0" w:line="321" w:lineRule="auto"/>
        <w:tabs>
          <w:tab w:leader="none" w:pos="9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Clearstream provides to Clearstream participants, among other things, services for safekeeping, administration, clearance and settlement of internationally traded securities and securities lending and borrowing. Clearstream interfaces with domestic markets in several countries;</w:t>
      </w:r>
    </w:p>
    <w:p>
      <w:pPr>
        <w:spacing w:after="0" w:line="29" w:lineRule="exact"/>
        <w:rPr>
          <w:rFonts w:ascii="Times New Roman" w:cs="Times New Roman" w:eastAsia="Times New Roman" w:hAnsi="Times New Roman"/>
          <w:sz w:val="13"/>
          <w:szCs w:val="13"/>
          <w:color w:val="auto"/>
        </w:rPr>
      </w:pPr>
    </w:p>
    <w:p>
      <w:pPr>
        <w:ind w:left="980" w:hanging="327"/>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professional depositary, Clearstream is subject to regulation by the Luxembourg Monetary Institute;</w:t>
      </w:r>
    </w:p>
    <w:p>
      <w:pPr>
        <w:spacing w:after="0" w:line="100" w:lineRule="exact"/>
        <w:rPr>
          <w:rFonts w:ascii="Times New Roman" w:cs="Times New Roman" w:eastAsia="Times New Roman" w:hAnsi="Times New Roman"/>
          <w:sz w:val="14"/>
          <w:szCs w:val="14"/>
          <w:color w:val="auto"/>
        </w:rPr>
      </w:pPr>
    </w:p>
    <w:p>
      <w:pPr>
        <w:ind w:left="980" w:right="499" w:hanging="327"/>
        <w:spacing w:after="0" w:line="265"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participants are recognized financial institutions around the world, including underwriters, securities brokers and dealers, banks, trust companies, clearing corporations and certain other organizations and may include underwriters of securities offered by this prospectus supplement;</w:t>
      </w:r>
    </w:p>
    <w:p>
      <w:pPr>
        <w:spacing w:after="0" w:line="63" w:lineRule="exact"/>
        <w:rPr>
          <w:rFonts w:ascii="Times New Roman" w:cs="Times New Roman" w:eastAsia="Times New Roman" w:hAnsi="Times New Roman"/>
          <w:sz w:val="14"/>
          <w:szCs w:val="14"/>
          <w:color w:val="auto"/>
        </w:rPr>
      </w:pPr>
    </w:p>
    <w:p>
      <w:pPr>
        <w:ind w:left="980" w:right="279" w:hanging="327"/>
        <w:spacing w:after="0" w:line="281" w:lineRule="auto"/>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Clearstream is also available to others, such as banks, brokers, dealers and trust companies that clear through or maintain a custodial relationship with a Clearstream participant either directly or indirectly; and</w:t>
      </w:r>
    </w:p>
    <w:p>
      <w:pPr>
        <w:spacing w:after="0" w:line="52" w:lineRule="exact"/>
        <w:rPr>
          <w:rFonts w:ascii="Times New Roman" w:cs="Times New Roman" w:eastAsia="Times New Roman" w:hAnsi="Times New Roman"/>
          <w:sz w:val="14"/>
          <w:szCs w:val="14"/>
          <w:color w:val="auto"/>
        </w:rPr>
      </w:pPr>
    </w:p>
    <w:p>
      <w:pPr>
        <w:ind w:left="980" w:right="819" w:hanging="327"/>
        <w:spacing w:after="0" w:line="321" w:lineRule="auto"/>
        <w:tabs>
          <w:tab w:leader="none" w:pos="98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Distributions with respect to the securities held beneficially through Clearstream will be credited to cash accounts of Clearstream participants in accordance with its rules and procedures, to the extent received by the U.S. depositary for Clearstream.</w:t>
      </w:r>
    </w:p>
    <w:p>
      <w:pPr>
        <w:spacing w:after="0" w:line="102" w:lineRule="exact"/>
        <w:rPr>
          <w:sz w:val="20"/>
          <w:szCs w:val="20"/>
          <w:color w:val="auto"/>
        </w:rPr>
      </w:pPr>
    </w:p>
    <w:p>
      <w:pPr>
        <w:ind w:left="240" w:right="479" w:firstLine="341"/>
        <w:spacing w:after="0" w:line="260" w:lineRule="auto"/>
        <w:rPr>
          <w:sz w:val="20"/>
          <w:szCs w:val="20"/>
          <w:color w:val="auto"/>
        </w:rPr>
      </w:pPr>
      <w:r>
        <w:rPr>
          <w:rFonts w:ascii="Times New Roman" w:cs="Times New Roman" w:eastAsia="Times New Roman" w:hAnsi="Times New Roman"/>
          <w:sz w:val="14"/>
          <w:szCs w:val="14"/>
          <w:color w:val="auto"/>
        </w:rPr>
        <w:t>We have provided the following descriptions of the operations and procedures of Euroclear and Clearstream solely as a matter of convenience. These operations and procedures are solely within the control of Euroclear and Clearstream and are subject to change by them from time to time. Neither we, the underwriters, nor the Trustee take any responsibility for these operations or procedures, and you are urged to contact Euroclear or Clearstream or their respective participants directly to discuss these matters.</w:t>
      </w:r>
    </w:p>
    <w:p>
      <w:pPr>
        <w:spacing w:after="0" w:line="140"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Secondary market trading between Euroclear participants and Clearstream participants will occur in the ordinary way in accordance with the applicable rules and operating procedures of Euroclear and Clearstream and will be settled using the procedures applicable to conventional eurobonds in immediately available funds.</w:t>
      </w:r>
    </w:p>
    <w:p>
      <w:pPr>
        <w:spacing w:after="0" w:line="136" w:lineRule="exact"/>
        <w:rPr>
          <w:sz w:val="20"/>
          <w:szCs w:val="20"/>
          <w:color w:val="auto"/>
        </w:rPr>
      </w:pPr>
    </w:p>
    <w:p>
      <w:pPr>
        <w:jc w:val="both"/>
        <w:ind w:left="240" w:right="339" w:firstLine="341"/>
        <w:spacing w:after="0" w:line="295" w:lineRule="auto"/>
        <w:rPr>
          <w:sz w:val="20"/>
          <w:szCs w:val="20"/>
          <w:color w:val="auto"/>
        </w:rPr>
      </w:pPr>
      <w:r>
        <w:rPr>
          <w:rFonts w:ascii="Times New Roman" w:cs="Times New Roman" w:eastAsia="Times New Roman" w:hAnsi="Times New Roman"/>
          <w:sz w:val="13"/>
          <w:szCs w:val="13"/>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9019"/>
          </w:cols>
          <w:pgMar w:left="1440" w:top="240" w:right="1440" w:bottom="1440" w:gutter="0" w:footer="0" w:header="0"/>
        </w:sectPr>
      </w:pPr>
    </w:p>
    <w:bookmarkStart w:id="27" w:name="page28"/>
    <w:bookmarkEnd w:id="27"/>
    <w:p>
      <w:pPr>
        <w:ind w:left="240" w:right="27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Euroclear participants and Clearstream participants may not deliver instructions directly to their respective U.S. depositaries.</w:t>
      </w:r>
    </w:p>
    <w:p>
      <w:pPr>
        <w:spacing w:after="0" w:line="143"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the securities settled during such processing, will be reported to the relevant Euroclear participants or Clearstream participants on that business day. Cash received in Euroclear or Clearstream as a result of sales of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14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9019"/>
          </w:cols>
          <w:pgMar w:left="1440" w:top="24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UNITED STATES FEDERAL INCOME TAX CONSIDERATIONS FOR NON-U.S. HOLDERS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The following is a summary of the U.S. federal income tax considerations generally applicable to an investment in the notes by Non-U.S. Holders (as defined herein). The summary is based on the Code, U.S. Treasury regulations promulgated thereunder, judicial decisions, published positions of the IRS and other applicable authorities, all as in effect as of the date hereof and all of which are subject to change or differing interpretations (possibly on a retroactive basis). This discussion does not address all aspects of U.S. federal income taxation that may be relevant to a particular person or persons subject to special treatment under U.S. federal income tax laws (such as broker dealers, traders in securities that elect to use a mark-to-market method of accounting, financial institutions, regulated investment companies, real estate investment trusts, tax-exempt organizations, insurance companies, persons who hold notes as part of a hedging, integrated, straddle, conversion or constructive sale transaction for U.S. federal income tax purposes, persons subject to the alternative minimum or the Medicare tax on certain investment income, U.S. expatriates, controlled foreign corporations, passive foreign investment companies or persons that are, or hold their notes through, partnerships or other pass-through entities) all of whom may be subject to tax rules that differ from those summarized below. Moreover, this discussion does not address any foreign, state or local tax considerations, or any U.S. federal tax considerations other than U.S. federal income tax considerations. No assurance can be given that the IRS would not assert, or that a court would not sustain, a position contrary to any of those set forth below.</w:t>
      </w:r>
    </w:p>
    <w:p>
      <w:pPr>
        <w:spacing w:after="0" w:line="148"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In addition, this discussion deals only with certain U.S. federal income tax considerations for a holder that acquires the notes in the initial offering at their issue price and holds the notes as capital assets within the meaning of the Code (generally, property held for investment).</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This summary is based on current U.S. federal income tax law, which is subject to change, possibly with retroactive effect.</w:t>
      </w:r>
    </w:p>
    <w:p>
      <w:pPr>
        <w:spacing w:after="0" w:line="174" w:lineRule="exact"/>
        <w:rPr>
          <w:sz w:val="20"/>
          <w:szCs w:val="20"/>
          <w:color w:val="auto"/>
        </w:rPr>
      </w:pPr>
    </w:p>
    <w:p>
      <w:pPr>
        <w:ind w:left="240" w:right="539" w:firstLine="341"/>
        <w:spacing w:after="0" w:line="281" w:lineRule="auto"/>
        <w:rPr>
          <w:sz w:val="20"/>
          <w:szCs w:val="20"/>
          <w:color w:val="auto"/>
        </w:rPr>
      </w:pPr>
      <w:r>
        <w:rPr>
          <w:rFonts w:ascii="Times New Roman" w:cs="Times New Roman" w:eastAsia="Times New Roman" w:hAnsi="Times New Roman"/>
          <w:sz w:val="14"/>
          <w:szCs w:val="14"/>
          <w:color w:val="auto"/>
        </w:rPr>
        <w:t>EACH PROSPECTIVE PURCHASER OF THE NOTES SHOULD CONSULT ITS TAX ADVISOR CONCERNING THE U.S. FEDERAL, STATE, LOCAL AND FOREIGN TAX CONSIDERATIONS OF AN INVESTMENT IN SUCH NOTES.</w:t>
      </w:r>
    </w:p>
    <w:p>
      <w:pPr>
        <w:spacing w:after="0" w:line="125" w:lineRule="exact"/>
        <w:rPr>
          <w:sz w:val="20"/>
          <w:szCs w:val="20"/>
          <w:color w:val="auto"/>
        </w:rPr>
      </w:pPr>
    </w:p>
    <w:p>
      <w:pPr>
        <w:ind w:left="240" w:right="719" w:firstLine="341"/>
        <w:spacing w:after="0" w:line="281" w:lineRule="auto"/>
        <w:rPr>
          <w:sz w:val="20"/>
          <w:szCs w:val="20"/>
          <w:color w:val="auto"/>
        </w:rPr>
      </w:pPr>
      <w:r>
        <w:rPr>
          <w:rFonts w:ascii="Times New Roman" w:cs="Times New Roman" w:eastAsia="Times New Roman" w:hAnsi="Times New Roman"/>
          <w:sz w:val="14"/>
          <w:szCs w:val="14"/>
          <w:color w:val="auto"/>
        </w:rPr>
        <w:t>A “U.S. Holder” means a beneficial owner of a note (as determined for U.S. federal income tax purposes) that, for U.S. federal income tax purposes, is:</w:t>
      </w:r>
    </w:p>
    <w:p>
      <w:pPr>
        <w:spacing w:after="0" w:line="52" w:lineRule="exact"/>
        <w:rPr>
          <w:sz w:val="20"/>
          <w:szCs w:val="20"/>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citizen or individual resident of the United States;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in or under the laws of the United States or any state thereof or the District of Columbia;</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taxation regardless of its source; or</w:t>
      </w:r>
    </w:p>
    <w:p>
      <w:pPr>
        <w:spacing w:after="0" w:line="100" w:lineRule="exact"/>
        <w:rPr>
          <w:rFonts w:ascii="Times New Roman" w:cs="Times New Roman" w:eastAsia="Times New Roman" w:hAnsi="Times New Roman"/>
          <w:sz w:val="14"/>
          <w:szCs w:val="14"/>
          <w:color w:val="auto"/>
        </w:rPr>
      </w:pPr>
    </w:p>
    <w:p>
      <w:pPr>
        <w:jc w:val="both"/>
        <w:ind w:left="980" w:right="339" w:hanging="327"/>
        <w:spacing w:after="0" w:line="265" w:lineRule="auto"/>
        <w:tabs>
          <w:tab w:leader="none" w:pos="9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(i) the administration of which is subject to the primary supervision of a court within the United States and for which one or more U.S. persons have the authority to control all substantial decisions, or (ii) that has a valid election in effect under applicable U.S. Treasury regulations to be treated as a U.S. person.</w:t>
      </w:r>
    </w:p>
    <w:p>
      <w:pPr>
        <w:spacing w:after="0" w:line="136"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A “Non-U.S. Holder” means any beneficial owner of a note (as determined for U.S. federal income tax purposes) that is not a U.S. Holder or a partnership (or any other entity or arrangement treated as a partnership for U.S. federal income tax purposes). If a partnership (or any other entity or arrangement treated as a partnership for U.S. federal income tax purposes) holds a note, the U.S. federal income tax treatment of a partner generally will depend upon the status of the partner and the activities of the partnership. A partner of a partnership holding a note should consult its tax advisor concerning the U.S. federal income and other tax considerations of its investment in the notes.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9019"/>
          </w:cols>
          <w:pgMar w:left="1440" w:top="238" w:right="1440" w:bottom="1440" w:gutter="0" w:footer="0" w:header="0"/>
        </w:sectPr>
      </w:pPr>
    </w:p>
    <w:bookmarkStart w:id="29" w:name="page30"/>
    <w:bookmarkEnd w:id="29"/>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Tax Considerations for Non-U.S. Holders</w:t>
      </w:r>
    </w:p>
    <w:p>
      <w:pPr>
        <w:spacing w:after="0" w:line="90" w:lineRule="exact"/>
        <w:rPr>
          <w:sz w:val="20"/>
          <w:szCs w:val="20"/>
          <w:color w:val="auto"/>
        </w:rPr>
      </w:pPr>
    </w:p>
    <w:p>
      <w:pPr>
        <w:ind w:left="240" w:right="259" w:firstLine="341"/>
        <w:spacing w:after="0" w:line="261" w:lineRule="auto"/>
        <w:rPr>
          <w:sz w:val="20"/>
          <w:szCs w:val="20"/>
          <w:color w:val="auto"/>
        </w:rPr>
      </w:pP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A Non-U.S. Holder will generally not be subject to U.S. federal income or withholding tax on interest paid or accrued on a note if: (1)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is not effectively connected with the conduct of a trade or business by the Non-U.S. Holder within the United States and, if required by an applicable income tax treaty, the interest is not attributable to a permanent establishment or fixed base maintained by the Non-U.S. Holder in the United States and (2) the Non-U.S. Holder satisfies the following requirements:</w:t>
      </w:r>
    </w:p>
    <w:p>
      <w:pPr>
        <w:spacing w:after="0" w:line="66" w:lineRule="exact"/>
        <w:rPr>
          <w:sz w:val="20"/>
          <w:szCs w:val="20"/>
          <w:color w:val="auto"/>
        </w:rPr>
      </w:pPr>
    </w:p>
    <w:p>
      <w:pPr>
        <w:ind w:left="980" w:right="499" w:hanging="411"/>
        <w:spacing w:after="0" w:line="281"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stock representing 10% or more of the total combined voting power of all classes of our stock entitled to vote;</w:t>
      </w:r>
    </w:p>
    <w:p>
      <w:pPr>
        <w:spacing w:after="0" w:line="52"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related to us (directly or indirectly) through stock ownership;</w:t>
      </w:r>
    </w:p>
    <w:p>
      <w:pPr>
        <w:spacing w:after="0" w:line="100" w:lineRule="exact"/>
        <w:rPr>
          <w:rFonts w:ascii="Times New Roman" w:cs="Times New Roman" w:eastAsia="Times New Roman" w:hAnsi="Times New Roman"/>
          <w:sz w:val="14"/>
          <w:szCs w:val="14"/>
          <w:color w:val="auto"/>
        </w:rPr>
      </w:pPr>
    </w:p>
    <w:p>
      <w:pPr>
        <w:ind w:left="980" w:right="279" w:hanging="411"/>
        <w:spacing w:after="0" w:line="257" w:lineRule="auto"/>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(A) the Non-U.S. Holder certifies to its non-U.S. status and that no withholding is required pursuant to FATCA (discussed below) on IRS Form W-8BEN or W-8BEN-E (or a substantially similar form), as applicable, or (B) a securities clearing organization or certain other financial institutions holding the note on behalf of the Non-U.S. Holder certifies on IRS Form W-8IMY that such certification has been received by it and furnishes us or our paying agent with a copy of the IRS Form W-8IMY together with the W-8BEN or W-8BEN-E of the beneficial owner, together with a withholding statement, if applicable; and</w:t>
      </w:r>
    </w:p>
    <w:p>
      <w:pPr>
        <w:spacing w:after="0" w:line="69" w:lineRule="exact"/>
        <w:rPr>
          <w:rFonts w:ascii="Times New Roman" w:cs="Times New Roman" w:eastAsia="Times New Roman" w:hAnsi="Times New Roman"/>
          <w:sz w:val="14"/>
          <w:szCs w:val="14"/>
          <w:color w:val="auto"/>
        </w:rPr>
      </w:pPr>
    </w:p>
    <w:p>
      <w:pPr>
        <w:ind w:left="980" w:hanging="411"/>
        <w:spacing w:after="0"/>
        <w:tabs>
          <w:tab w:leader="none" w:pos="9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paying agent do not have actual knowledge or reason to know that the beneficial owner of the note is a U.S. person.</w:t>
      </w:r>
    </w:p>
    <w:p>
      <w:pPr>
        <w:spacing w:after="0" w:line="174" w:lineRule="exact"/>
        <w:rPr>
          <w:sz w:val="20"/>
          <w:szCs w:val="20"/>
          <w:color w:val="auto"/>
        </w:rPr>
      </w:pPr>
    </w:p>
    <w:p>
      <w:pPr>
        <w:ind w:left="240" w:right="359" w:firstLine="341"/>
        <w:spacing w:after="0" w:line="255" w:lineRule="auto"/>
        <w:rPr>
          <w:sz w:val="20"/>
          <w:szCs w:val="20"/>
          <w:color w:val="auto"/>
        </w:rPr>
      </w:pPr>
      <w:r>
        <w:rPr>
          <w:rFonts w:ascii="Times New Roman" w:cs="Times New Roman" w:eastAsia="Times New Roman" w:hAnsi="Times New Roman"/>
          <w:sz w:val="14"/>
          <w:szCs w:val="14"/>
          <w:color w:val="auto"/>
        </w:rPr>
        <w:t>If a Non-U.S. Holder cannot satisfy the requirements described in clause (1) above, please see the discussion set forth under the heading “U.S. Trade or Business” below. If a Non-U.S. Holder cannot satisfy the requirements described in clause (2) above and does not establish that the interest is effectively connected with the Non-U.S. Holder’s conduct of a trade or business in the United States or if required by an applicable income tax treaty, that the interest is attributable to a permanent establishment or fixed base maintained by the Non-U.S. Holder in the United States, interest on the notes generally will be subject to U.S. federal withholding tax at a 30% rate (or such lower rate as may be specified by an applicable income tax treaty, provided certain certification requirements are met).</w:t>
      </w:r>
    </w:p>
    <w:p>
      <w:pPr>
        <w:spacing w:after="0" w:line="144"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i w:val="1"/>
          <w:iCs w:val="1"/>
          <w:color w:val="auto"/>
        </w:rPr>
        <w:t>Sale, Exchange, Retirement, Redemption or Other Taxable Disposition of a Note</w:t>
      </w:r>
      <w:r>
        <w:rPr>
          <w:rFonts w:ascii="Times New Roman" w:cs="Times New Roman" w:eastAsia="Times New Roman" w:hAnsi="Times New Roman"/>
          <w:sz w:val="14"/>
          <w:szCs w:val="14"/>
          <w:color w:val="auto"/>
        </w:rPr>
        <w:t>. A Non-U.S. Holder generally will not be subject to U.S. federal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or withholding tax on the receipt of payments of principal on a note or on any gain recognized upon the sale, exchange, retirement, redemption or other taxable disposition of a note, unless in the case where (i) such gain is effectively connected with the conduct by such Non-U.S. Holder of a trade or business within the United States and, if required by an applicable income tax treaty, such gain is attributable to a permanent establishment or fixed base maintained by the Non-U.S. Holder within the United States or (ii) such Non-U.S. Holder is an individual who is present in the United States for 183 days or more in the taxable year of disposition, and certain other conditions are met. In the case described in (ii), the Non-U.S. Holder will generally be subject to 30% tax (or lower applicable treaty rate) on any capital gain recognized on the sale or other taxable disposition of a note, which may be offset by certain U.S.-source capital losses. Proceeds from the sale or other taxable disposition of a note that are attributable to accrued but unpaid interest will generally be subject to, or exempt from, tax to the same extent as described above with respect to interest paid on a note.</w:t>
      </w:r>
    </w:p>
    <w:p>
      <w:pPr>
        <w:spacing w:after="0" w:line="147" w:lineRule="exact"/>
        <w:rPr>
          <w:sz w:val="20"/>
          <w:szCs w:val="20"/>
          <w:color w:val="auto"/>
        </w:rPr>
      </w:pPr>
    </w:p>
    <w:p>
      <w:pPr>
        <w:ind w:left="240" w:right="23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U.S. Trade or Business</w:t>
      </w:r>
      <w:r>
        <w:rPr>
          <w:rFonts w:ascii="Times New Roman" w:cs="Times New Roman" w:eastAsia="Times New Roman" w:hAnsi="Times New Roman"/>
          <w:sz w:val="14"/>
          <w:szCs w:val="14"/>
          <w:color w:val="auto"/>
        </w:rPr>
        <w:t>. If a Non-U.S. Holder is engaged in a trade or business in the United States, and if interest or gain on a note is effectively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connected with the conduct of such trade or business and, where required by an applicable income tax treaty, is attributable to a permanent establishment or fixed base maintained by the Non-U.S. Holder within the United States, the Non-U.S. Holder generally will be subject to U.S. federal income tax on the receipt or accrual of such interest or the recognition of gain upon the sale or other taxable disposition of the note on a net basis in the same manner as if such holder were a U.S. Holder. If such interest or gain is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9019"/>
          </w:cols>
          <w:pgMar w:left="1440" w:top="238" w:right="1440" w:bottom="1440" w:gutter="0" w:footer="0" w:header="0"/>
        </w:sectPr>
      </w:pPr>
    </w:p>
    <w:bookmarkStart w:id="30" w:name="page31"/>
    <w:bookmarkEnd w:id="30"/>
    <w:p>
      <w:pPr>
        <w:jc w:val="both"/>
        <w:ind w:left="240" w:right="31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recognized by a Non-U.S. Holder that is classified as a non-U.S. corporation, such corporation may also be subject to an additional U.S. federal branch profits tax at a 30% rate (or such lower rate as may be specified by an applicable income tax treaty). Non-U.S. Holders should consult their tax advisors with respect to other U.S. tax considerations of the ownership and disposition of the notes.</w:t>
      </w:r>
    </w:p>
    <w:p>
      <w:pPr>
        <w:spacing w:after="0" w:line="2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Foreign Account Tax Compliance Act</w:t>
      </w:r>
    </w:p>
    <w:p>
      <w:pPr>
        <w:spacing w:after="0" w:line="92" w:lineRule="exact"/>
        <w:rPr>
          <w:sz w:val="20"/>
          <w:szCs w:val="20"/>
          <w:color w:val="auto"/>
        </w:rPr>
      </w:pPr>
    </w:p>
    <w:p>
      <w:pPr>
        <w:ind w:left="240" w:right="239" w:firstLine="341"/>
        <w:spacing w:after="0" w:line="252" w:lineRule="auto"/>
        <w:rPr>
          <w:sz w:val="20"/>
          <w:szCs w:val="20"/>
          <w:color w:val="auto"/>
        </w:rPr>
      </w:pPr>
      <w:r>
        <w:rPr>
          <w:rFonts w:ascii="Times New Roman" w:cs="Times New Roman" w:eastAsia="Times New Roman" w:hAnsi="Times New Roman"/>
          <w:sz w:val="14"/>
          <w:szCs w:val="14"/>
          <w:color w:val="auto"/>
        </w:rPr>
        <w:t>Under the provisions of U.S. federal income tax law commonly known as “FATCA,” withholding at a rate of 30% generally will be required in certain circumstances on interest in respect of the notes held by or through certain foreign financial institutions (including investment funds), unless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or other guidance, may modify these requirements. Accordingly, the entity through which each note is held will affect the determination of whether such withholding is required. Similarly, in certain circumstances, interest in respect of the notes held by an investor that is a non-financial non-U.S. entity that does not qualify under certain exemptions generally will be subject to withholding at a rate of 30%, unless such entity either (i) certifies to us or our paying agent that such entity does not have any “substantial United States owners” or (ii) provides certain information regarding the entity’s “substantial United States owners,” which we or our paying agent will in turn provide to the IRS. We will not pay additional amounts to Non-U.S. Holders in respect of any amounts withheld. Prospective investors should consult their tax advisors regarding the possible implications of these rules on their investment in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9019"/>
          </w:cols>
          <w:pgMar w:left="1440" w:top="240"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UNDERWRITING</w:t>
      </w:r>
    </w:p>
    <w:p>
      <w:pPr>
        <w:spacing w:after="0" w:line="176" w:lineRule="exact"/>
        <w:rPr>
          <w:sz w:val="20"/>
          <w:szCs w:val="20"/>
          <w:color w:val="auto"/>
        </w:rPr>
      </w:pPr>
    </w:p>
    <w:p>
      <w:pPr>
        <w:ind w:left="240" w:right="499" w:firstLine="341"/>
        <w:spacing w:after="0" w:line="260" w:lineRule="auto"/>
        <w:rPr>
          <w:sz w:val="20"/>
          <w:szCs w:val="20"/>
          <w:color w:val="auto"/>
        </w:rPr>
      </w:pPr>
      <w:r>
        <w:rPr>
          <w:rFonts w:ascii="Times New Roman" w:cs="Times New Roman" w:eastAsia="Times New Roman" w:hAnsi="Times New Roman"/>
          <w:sz w:val="14"/>
          <w:szCs w:val="14"/>
          <w:color w:val="auto"/>
        </w:rPr>
        <w:t>Under the terms and subject to the conditions contained in an underwriting agreement dated the date of this prospectus supplement, the underwriters named below, for whom BofA Securities, Inc., Barclays Capital Inc., J.P. Morgan Securities LLC and RBC Capital Markets, LLC are acting as the representatives, have severally agreed to purchase, and we have agreed to sell to them, severally, the principal amount of notes set forth opposite their names below:</w:t>
      </w:r>
    </w:p>
    <w:p>
      <w:pPr>
        <w:spacing w:after="0" w:line="145"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66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Principal</w:t>
            </w:r>
          </w:p>
        </w:tc>
        <w:tc>
          <w:tcPr>
            <w:tcW w:w="0" w:type="dxa"/>
            <w:vAlign w:val="bottom"/>
          </w:tcPr>
          <w:p>
            <w:pPr>
              <w:spacing w:after="0"/>
              <w:rPr>
                <w:sz w:val="1"/>
                <w:szCs w:val="1"/>
                <w:color w:val="auto"/>
              </w:rPr>
            </w:pPr>
          </w:p>
        </w:tc>
      </w:tr>
      <w:tr>
        <w:trPr>
          <w:trHeight w:val="115"/>
        </w:trPr>
        <w:tc>
          <w:tcPr>
            <w:tcW w:w="6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Underwriters</w:t>
            </w:r>
          </w:p>
        </w:tc>
        <w:tc>
          <w:tcPr>
            <w:tcW w:w="254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w w:val="99"/>
              </w:rPr>
              <w:t>amount</w:t>
            </w:r>
          </w:p>
        </w:tc>
        <w:tc>
          <w:tcPr>
            <w:tcW w:w="0" w:type="dxa"/>
            <w:vAlign w:val="bottom"/>
          </w:tcPr>
          <w:p>
            <w:pPr>
              <w:spacing w:after="0"/>
              <w:rPr>
                <w:sz w:val="1"/>
                <w:szCs w:val="1"/>
                <w:color w:val="auto"/>
              </w:rPr>
            </w:pPr>
          </w:p>
        </w:tc>
      </w:tr>
      <w:tr>
        <w:trPr>
          <w:trHeight w:val="144"/>
        </w:trPr>
        <w:tc>
          <w:tcPr>
            <w:tcW w:w="660" w:type="dxa"/>
            <w:vAlign w:val="bottom"/>
            <w:tcBorders>
              <w:bottom w:val="single" w:sz="8" w:color="auto"/>
            </w:tcBorders>
            <w:vMerge w:val="continue"/>
          </w:tcPr>
          <w:p>
            <w:pPr>
              <w:spacing w:after="0"/>
              <w:rPr>
                <w:sz w:val="12"/>
                <w:szCs w:val="12"/>
                <w:color w:val="auto"/>
              </w:rPr>
            </w:pPr>
          </w:p>
        </w:tc>
        <w:tc>
          <w:tcPr>
            <w:tcW w:w="254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1"/>
                <w:szCs w:val="11"/>
                <w:b w:val="1"/>
                <w:bCs w:val="1"/>
                <w:color w:val="auto"/>
                <w:w w:val="98"/>
              </w:rPr>
              <w:t>of notes</w:t>
            </w:r>
          </w:p>
        </w:tc>
        <w:tc>
          <w:tcPr>
            <w:tcW w:w="0" w:type="dxa"/>
            <w:vAlign w:val="bottom"/>
          </w:tcPr>
          <w:p>
            <w:pPr>
              <w:spacing w:after="0"/>
              <w:rPr>
                <w:sz w:val="1"/>
                <w:szCs w:val="1"/>
                <w:color w:val="auto"/>
              </w:rPr>
            </w:pPr>
          </w:p>
        </w:tc>
      </w:tr>
      <w:tr>
        <w:trPr>
          <w:trHeight w:val="148"/>
        </w:trPr>
        <w:tc>
          <w:tcPr>
            <w:tcW w:w="320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BofA Securities, Inc.</w:t>
            </w:r>
          </w:p>
        </w:tc>
        <w:tc>
          <w:tcPr>
            <w:tcW w:w="1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125,000,000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Barclays Capital Inc.</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125,000,000</w:t>
            </w: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J.P. Morgan Securities LLC</w:t>
            </w:r>
          </w:p>
        </w:tc>
        <w:tc>
          <w:tcPr>
            <w:tcW w:w="1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125,000,000</w:t>
            </w:r>
          </w:p>
        </w:tc>
        <w:tc>
          <w:tcPr>
            <w:tcW w:w="0" w:type="dxa"/>
            <w:vAlign w:val="bottom"/>
          </w:tcPr>
          <w:p>
            <w:pPr>
              <w:spacing w:after="0"/>
              <w:rPr>
                <w:sz w:val="1"/>
                <w:szCs w:val="1"/>
                <w:color w:val="auto"/>
              </w:rPr>
            </w:pPr>
          </w:p>
        </w:tc>
      </w:tr>
      <w:tr>
        <w:trPr>
          <w:trHeight w:val="167"/>
        </w:trPr>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RBC Capital Markets, LLC</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125,000,000</w:t>
            </w:r>
          </w:p>
        </w:tc>
        <w:tc>
          <w:tcPr>
            <w:tcW w:w="0" w:type="dxa"/>
            <w:vAlign w:val="bottom"/>
          </w:tcPr>
          <w:p>
            <w:pPr>
              <w:spacing w:after="0"/>
              <w:rPr>
                <w:sz w:val="1"/>
                <w:szCs w:val="1"/>
                <w:color w:val="auto"/>
              </w:rPr>
            </w:pPr>
          </w:p>
        </w:tc>
      </w:tr>
      <w:tr>
        <w:trPr>
          <w:trHeight w:val="167"/>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500,000,000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are subject to the approval of certain legal matters by their counsel and to certain other conditions. The underwriters are obligated to take and pay for all of the notes offered by this prospectus supplement if any such notes are taken.</w:t>
      </w:r>
    </w:p>
    <w:p>
      <w:pPr>
        <w:spacing w:after="0" w:line="140"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The underwriters initially propose to offer the notes directly to the public at the public offering price set forth on the cover page of this prospectus supplement and may offer the notes to certain dealers at a price that represents a concession not in excess of 0.525% of the principal amount of the notes. Any such dealers may resell the notes purchased from the underwriters to certain other brokers or dealers at a discount not to exceed 0.350% of the principal amount of the notes. After the initial offering of the notes, the offering price and other selling terms may from time to time be varied by the representatives. The underwriters may offer and sell the notes through certain of their affiliates.</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following table shows the underwriting discount that we will pay to the underwriters in connection with this offering:</w:t>
      </w:r>
    </w:p>
    <w:p>
      <w:pPr>
        <w:spacing w:after="0" w:line="190" w:lineRule="exact"/>
        <w:rPr>
          <w:sz w:val="20"/>
          <w:szCs w:val="20"/>
          <w:color w:val="auto"/>
        </w:rPr>
      </w:pPr>
    </w:p>
    <w:tbl>
      <w:tblPr>
        <w:tblLayout w:type="fixed"/>
        <w:tblInd w:w="1600" w:type="dxa"/>
        <w:tblCellMar>
          <w:top w:w="0" w:type="dxa"/>
          <w:left w:w="0" w:type="dxa"/>
          <w:bottom w:w="0" w:type="dxa"/>
          <w:right w:w="0" w:type="dxa"/>
        </w:tblCellMar>
      </w:tblPr>
      <w:tr>
        <w:trPr>
          <w:trHeight w:val="134"/>
        </w:trPr>
        <w:tc>
          <w:tcPr>
            <w:tcW w:w="26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Note Paid by Us</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 note</w:t>
            </w:r>
          </w:p>
        </w:tc>
        <w:tc>
          <w:tcPr>
            <w:tcW w:w="22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660" w:type="dxa"/>
            <w:vAlign w:val="bottom"/>
            <w:vMerge w:val="continue"/>
            <w:shd w:val="clear" w:color="auto" w:fill="CCEEFF"/>
          </w:tcPr>
          <w:p>
            <w:pPr>
              <w:spacing w:after="0"/>
              <w:rPr>
                <w:sz w:val="13"/>
                <w:szCs w:val="13"/>
                <w:color w:val="auto"/>
              </w:rPr>
            </w:pPr>
          </w:p>
        </w:tc>
        <w:tc>
          <w:tcPr>
            <w:tcW w:w="2220" w:type="dxa"/>
            <w:vAlign w:val="bottom"/>
            <w:vMerge w:val="continue"/>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line="158" w:lineRule="exact"/>
              <w:rPr>
                <w:sz w:val="20"/>
                <w:szCs w:val="20"/>
                <w:color w:val="auto"/>
              </w:rPr>
            </w:pPr>
            <w:r>
              <w:rPr>
                <w:rFonts w:ascii="Times New Roman" w:cs="Times New Roman" w:eastAsia="Times New Roman" w:hAnsi="Times New Roman"/>
                <w:sz w:val="14"/>
                <w:szCs w:val="14"/>
                <w:color w:val="auto"/>
              </w:rPr>
              <w:t>0.875%</w:t>
            </w:r>
          </w:p>
        </w:tc>
        <w:tc>
          <w:tcPr>
            <w:tcW w:w="0" w:type="dxa"/>
            <w:vAlign w:val="bottom"/>
          </w:tcPr>
          <w:p>
            <w:pPr>
              <w:spacing w:after="0"/>
              <w:rPr>
                <w:sz w:val="1"/>
                <w:szCs w:val="1"/>
                <w:color w:val="auto"/>
              </w:rPr>
            </w:pPr>
          </w:p>
        </w:tc>
      </w:tr>
      <w:tr>
        <w:trPr>
          <w:trHeight w:val="182"/>
        </w:trPr>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4,375,000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Expenses associated with this offering to be paid by us, other than underwriting discounts, are estimated to be approximately $1,475,000.</w:t>
      </w:r>
    </w:p>
    <w:p>
      <w:pPr>
        <w:spacing w:after="0" w:line="174"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In connection with the offering of the notes, the underwriters may engage in transactions that stabilize, maintain or otherwise affect the price of the notes. Specifically, the underwriters may over allot in connection with the offering of the notes, creating a syndicate short position. In addition, the underwriters may bid for, and purchase, notes in the open market to cover syndicate short positions or to stabilize the price of the notes. The underwriters may also impose a penalty bid. This occurs when a certain underwriter repays to the underwriters a portion of the underwriting discount received by it because the representatives have repurchased notes sold by or for the account of such underwriter in stabilizing or short covering transactions. 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9019"/>
          </w:cols>
          <w:pgMar w:left="1440" w:top="238" w:right="1440" w:bottom="1440" w:gutter="0" w:footer="0" w:header="0"/>
        </w:sectPr>
      </w:pPr>
    </w:p>
    <w:bookmarkStart w:id="32" w:name="page33"/>
    <w:bookmarkEnd w:id="32"/>
    <w:p>
      <w:pPr>
        <w:ind w:left="240" w:right="319" w:firstLine="341"/>
        <w:spacing w:after="0" w:line="28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have agreed to indemnify the underwriters against certain liabilities, including liabilities under the Securities Act or to contribute to payments which the underwriters may be required to make in respect of any such liabilities.</w:t>
      </w:r>
    </w:p>
    <w:p>
      <w:pPr>
        <w:spacing w:after="0" w:line="125"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Prior to the offering, there have been no active markets for the notes. The underwriters have advised us that certain of the underwriters presently intend to make markets in the notes as permitted by applicable laws and regulations. Such underwriters are not obligated, however, to make the markets in the notes and any such market making may be discontinued at any time at the discretion of such underwriters. Accordingly, no assurance can be given as to the liquidity of, or trading markets for, the notes.</w:t>
      </w:r>
    </w:p>
    <w:p>
      <w:pPr>
        <w:spacing w:after="0" w:line="140" w:lineRule="exact"/>
        <w:rPr>
          <w:sz w:val="20"/>
          <w:szCs w:val="20"/>
          <w:color w:val="auto"/>
        </w:rPr>
      </w:pPr>
    </w:p>
    <w:p>
      <w:pPr>
        <w:ind w:left="240" w:right="239" w:firstLine="341"/>
        <w:spacing w:after="0" w:line="251" w:lineRule="auto"/>
        <w:rPr>
          <w:sz w:val="20"/>
          <w:szCs w:val="20"/>
          <w:color w:val="auto"/>
        </w:rPr>
      </w:pPr>
      <w:r>
        <w:rPr>
          <w:rFonts w:ascii="Times New Roman" w:cs="Times New Roman" w:eastAsia="Times New Roman" w:hAnsi="Times New Roman"/>
          <w:sz w:val="14"/>
          <w:szCs w:val="14"/>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 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notes offered hereby. Any such credit default swaps or short positions could adversely affect future trading prices of the notes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235" w:lineRule="exact"/>
        <w:rPr>
          <w:sz w:val="20"/>
          <w:szCs w:val="20"/>
          <w:color w:val="auto"/>
        </w:rPr>
      </w:pPr>
    </w:p>
    <w:p>
      <w:pPr>
        <w:jc w:val="center"/>
        <w:ind w:right="7399"/>
        <w:spacing w:after="0"/>
        <w:rPr>
          <w:sz w:val="20"/>
          <w:szCs w:val="20"/>
          <w:color w:val="auto"/>
        </w:rPr>
      </w:pPr>
      <w:r>
        <w:rPr>
          <w:rFonts w:ascii="Times New Roman" w:cs="Times New Roman" w:eastAsia="Times New Roman" w:hAnsi="Times New Roman"/>
          <w:sz w:val="13"/>
          <w:szCs w:val="13"/>
          <w:b w:val="1"/>
          <w:bCs w:val="1"/>
          <w:color w:val="auto"/>
        </w:rPr>
        <w:t>Selling Restrictions</w:t>
      </w:r>
    </w:p>
    <w:p>
      <w:pPr>
        <w:spacing w:after="0" w:line="102" w:lineRule="exact"/>
        <w:rPr>
          <w:sz w:val="20"/>
          <w:szCs w:val="20"/>
          <w:color w:val="auto"/>
        </w:rPr>
      </w:pPr>
    </w:p>
    <w:p>
      <w:pPr>
        <w:jc w:val="center"/>
        <w:ind w:right="7419"/>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2"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40"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43"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9019"/>
          </w:cols>
          <w:pgMar w:left="1440" w:top="240" w:right="1440" w:bottom="1440" w:gutter="0" w:footer="0" w:header="0"/>
        </w:sectPr>
      </w:pPr>
    </w:p>
    <w:bookmarkStart w:id="33" w:name="page34"/>
    <w:bookmarkEnd w:id="33"/>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European Economic Area</w:t>
      </w:r>
    </w:p>
    <w:p>
      <w:pPr>
        <w:spacing w:after="0" w:line="92"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EEA Retail Investor in the European Economic Area (the “EEA”). For these purposes, an “EEA Retail Investor” means a person who is one (or more) of the following: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Article 2 of Regulation (EU) 2017/1129 (as amended, the “Prospectus Regulation”). Consequently no key information document required by Regulation (EU) No 1286/2014 (as amended, the “EU PRIIPs Regulation”) for offering or selling the notes or otherwise making them available to EEA Retail Investor in the EEA has been prepared and therefore offering or selling the notes or otherwise making them available to any EEA Retail Investor in the EEA may be unlawful under the EU PRIIPs Regulation.</w:t>
      </w:r>
    </w:p>
    <w:p>
      <w:pPr>
        <w:spacing w:after="0" w:line="144"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Each underwriter has represented, warranted and agreed that it has not offered, sold or otherwise made available and will not offer, sell or otherwise make available any notes to any EEA Retail Investor in the European Economic Area.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2" w:lineRule="exact"/>
        <w:rPr>
          <w:sz w:val="20"/>
          <w:szCs w:val="20"/>
          <w:color w:val="auto"/>
        </w:rPr>
      </w:pPr>
    </w:p>
    <w:p>
      <w:pPr>
        <w:ind w:left="240" w:right="359" w:firstLine="341"/>
        <w:spacing w:after="0" w:line="257" w:lineRule="auto"/>
        <w:rPr>
          <w:sz w:val="20"/>
          <w:szCs w:val="20"/>
          <w:color w:val="auto"/>
        </w:rPr>
      </w:pPr>
      <w:r>
        <w:rPr>
          <w:rFonts w:ascii="Times New Roman" w:cs="Times New Roman" w:eastAsia="Times New Roman" w:hAnsi="Times New Roman"/>
          <w:sz w:val="14"/>
          <w:szCs w:val="14"/>
          <w:color w:val="auto"/>
        </w:rPr>
        <w:t>The notes are not intended to be offered, sold or otherwise made available to and should not be offered, sold or otherwise made available to any UK Retail Investor in the United Kingdom (the “UK”). For these purposes, a “UK Retail Investor” means a person who is neither: (i) a retail client as defined in point (8) of Article 2 of Regulation (EU) 2017/565 as it forms part of UK domestic law by virtue of the European Union (Withdrawal) Act 2018 (as amended, the “EUWA”); nor (ii) a qualified investor as defined in paragraph 15 of Schedule 1 to the Public Offers and Admissions to Trading Regulations 2024 (SI 2024/105).</w:t>
      </w:r>
    </w:p>
    <w:p>
      <w:pPr>
        <w:spacing w:after="0" w:line="143"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Consequently, no key information document required by Regulation (EU) No 1286/2014 as it forms part of UK domestic law by virtue of the EUWA (as amended,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i w:val="1"/>
          <w:iCs w:val="1"/>
          <w:color w:val="auto"/>
        </w:rPr>
        <w:t>UK Financial Promotion Regime.</w:t>
      </w:r>
    </w:p>
    <w:p>
      <w:pPr>
        <w:spacing w:after="0" w:line="92" w:lineRule="exact"/>
        <w:rPr>
          <w:sz w:val="20"/>
          <w:szCs w:val="20"/>
          <w:color w:val="auto"/>
        </w:rPr>
      </w:pPr>
    </w:p>
    <w:p>
      <w:pPr>
        <w:jc w:val="both"/>
        <w:ind w:left="240" w:right="379" w:firstLine="341"/>
        <w:spacing w:after="0" w:line="274" w:lineRule="auto"/>
        <w:rPr>
          <w:sz w:val="20"/>
          <w:szCs w:val="20"/>
          <w:color w:val="auto"/>
        </w:rPr>
      </w:pPr>
      <w:r>
        <w:rPr>
          <w:rFonts w:ascii="Times New Roman" w:cs="Times New Roman" w:eastAsia="Times New Roman" w:hAnsi="Times New Roman"/>
          <w:sz w:val="13"/>
          <w:szCs w:val="13"/>
          <w:color w:val="auto"/>
        </w:rPr>
        <w:t>The communication of this prospectus supplement and any other document in connection with the offering and issuance of the notes is directed only to persons who: (i) are outside of the United Kingdom; (ii) have professional experience in matters relating to investments and are persons falling within Article 19(5) of the Financial Services and Markets Act 2000 (Financial Promotion) Order 2005 (as amended, the “Order”); or (iii) are persons falling within Article 49(2) of the Order or (iii) are persons to whom this prospectus supplement may otherwise lawfully be issued or passed on; or</w:t>
      </w:r>
    </w:p>
    <w:p>
      <w:pPr>
        <w:spacing w:after="0" w:line="2" w:lineRule="exact"/>
        <w:rPr>
          <w:sz w:val="20"/>
          <w:szCs w:val="20"/>
          <w:color w:val="auto"/>
        </w:rPr>
      </w:pPr>
    </w:p>
    <w:p>
      <w:pPr>
        <w:ind w:left="240" w:right="419" w:hanging="5"/>
        <w:spacing w:after="0" w:line="254" w:lineRule="auto"/>
        <w:tabs>
          <w:tab w:leader="none" w:pos="47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any other persons to whom it may otherwise lawfully be communicated or directed (all such persons together being referred to as “Relevant Persons”). A person who is not a Relevant Person should not act or rely on this Offering Circular or any of its contents. Any investment or investment activity to which this Offering Circular relates is available only to Relevant Persons and will be engaged in only with Relevant Persons.</w:t>
      </w:r>
    </w:p>
    <w:p>
      <w:pPr>
        <w:spacing w:after="0" w:line="144" w:lineRule="exact"/>
        <w:rPr>
          <w:sz w:val="20"/>
          <w:szCs w:val="20"/>
          <w:color w:val="auto"/>
        </w:rPr>
      </w:pPr>
    </w:p>
    <w:p>
      <w:pPr>
        <w:ind w:left="240" w:right="259" w:firstLine="341"/>
        <w:spacing w:after="0" w:line="281" w:lineRule="auto"/>
        <w:rPr>
          <w:sz w:val="20"/>
          <w:szCs w:val="20"/>
          <w:color w:val="auto"/>
        </w:rPr>
      </w:pPr>
      <w:r>
        <w:rPr>
          <w:rFonts w:ascii="Times New Roman" w:cs="Times New Roman" w:eastAsia="Times New Roman" w:hAnsi="Times New Roman"/>
          <w:sz w:val="14"/>
          <w:szCs w:val="14"/>
          <w:color w:val="auto"/>
        </w:rPr>
        <w:t>Relevant Persons should note that all, or most, of the protections offered by the United Kingdom regulatory system will not apply to an investment in the notes and that compensation will not be available under the United Kingdom Financial Services Compensation Scheme.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9019"/>
          </w:cols>
          <w:pgMar w:left="1440" w:top="238" w:right="1440" w:bottom="1440" w:gutter="0" w:footer="0" w:header="0"/>
        </w:sectPr>
      </w:pPr>
    </w:p>
    <w:bookmarkStart w:id="34" w:name="page35"/>
    <w:bookmarkEnd w:id="34"/>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Each underwriter has represented and agreed that:</w:t>
      </w:r>
    </w:p>
    <w:p>
      <w:pPr>
        <w:spacing w:after="0" w:line="101" w:lineRule="exact"/>
        <w:rPr>
          <w:sz w:val="20"/>
          <w:szCs w:val="20"/>
          <w:color w:val="auto"/>
        </w:rPr>
      </w:pPr>
    </w:p>
    <w:p>
      <w:pPr>
        <w:ind w:left="980" w:right="279" w:hanging="411"/>
        <w:spacing w:after="0" w:line="260" w:lineRule="auto"/>
        <w:tabs>
          <w:tab w:leader="none" w:pos="9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not offered, sold or otherwise made available and will not offer, sell or otherwise make available any notes to any UK Retail Investor in the UK. For the purposes of this provision, the expression “offer” includes the communication in any form and by any means of sufficient information on the terms of the offer and the notes to be offered so as to enable an investor to decide to purchase or subscribe for the notes;</w:t>
      </w:r>
    </w:p>
    <w:p>
      <w:pPr>
        <w:spacing w:after="0" w:line="66" w:lineRule="exact"/>
        <w:rPr>
          <w:rFonts w:ascii="Times New Roman" w:cs="Times New Roman" w:eastAsia="Times New Roman" w:hAnsi="Times New Roman"/>
          <w:sz w:val="14"/>
          <w:szCs w:val="14"/>
          <w:color w:val="auto"/>
        </w:rPr>
      </w:pPr>
    </w:p>
    <w:p>
      <w:pPr>
        <w:ind w:left="980" w:right="299" w:hanging="411"/>
        <w:spacing w:after="0" w:line="265" w:lineRule="auto"/>
        <w:tabs>
          <w:tab w:leader="none" w:pos="9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any notes in circumstances in which section 21(1) of the FSMA does not apply to us; and</w:t>
      </w:r>
    </w:p>
    <w:p>
      <w:pPr>
        <w:spacing w:after="0" w:line="63" w:lineRule="exact"/>
        <w:rPr>
          <w:rFonts w:ascii="Times New Roman" w:cs="Times New Roman" w:eastAsia="Times New Roman" w:hAnsi="Times New Roman"/>
          <w:sz w:val="14"/>
          <w:szCs w:val="14"/>
          <w:color w:val="auto"/>
        </w:rPr>
      </w:pPr>
    </w:p>
    <w:p>
      <w:pPr>
        <w:ind w:left="980" w:right="359" w:hanging="411"/>
        <w:spacing w:after="0" w:line="281" w:lineRule="auto"/>
        <w:tabs>
          <w:tab w:leader="none" w:pos="9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has complied and will comply with all applicable provisions of the FSMA with respect to anything done by it in relation to the notes in, from or otherwise involving the United Kingdom.</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2"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The notes may not be offered or sold by means of any document other than (i) in circumstances which do not constitute an offer to the public within the meaning of the Companies Ordinance (Cap.32, Laws of Hong Kong), or (ii)to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(Cap.571, Laws of Hong Kong) and any rules made thereunder.</w:t>
      </w:r>
    </w:p>
    <w:p>
      <w:pPr>
        <w:spacing w:after="0" w:line="2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2"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The notes have not been and will not be registered under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2"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has not been registered as a prospectus under the Securities and Futures Act, Chapter 289 of Singapore, which we refer to as the SFA, by the Monetary Authority of Singapore, and the offer of the notes in Singapore is made primarily pursuant to the exemptions under Sections 274 and 275 of the SFA. Accordingly, this prospectus supplement or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any person in Singapore other than (a) to an institutional investor as defined in the SFA, which we refer to as an Institutional Investor, pursuant to Section 274 of the SFA, (b) to an accredited investor as defined in the SFA, which we refer to as an Accredited Investor, or other relevant person as defined in Section 275(2) of the SFA, which we refer to as a Relevant Person, and pursuant to Section 275(1) of the SFA, or to any person pursuant to an offer referred to in Section 275(1A) of the SFA, and in accordance with the conditions specified in</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9019"/>
          </w:cols>
          <w:pgMar w:left="1440" w:top="240" w:right="1440"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Section 275 of the SFA, or (c) otherwise pursuant to, and in accordance with, the conditions of any other applicable exemption or provision of the SFA.</w:t>
      </w:r>
    </w:p>
    <w:p>
      <w:pPr>
        <w:spacing w:after="0" w:line="172" w:lineRule="exact"/>
        <w:rPr>
          <w:sz w:val="20"/>
          <w:szCs w:val="20"/>
          <w:color w:val="auto"/>
        </w:rPr>
      </w:pPr>
    </w:p>
    <w:p>
      <w:pPr>
        <w:ind w:left="240" w:right="319" w:firstLine="341"/>
        <w:spacing w:after="0" w:line="258" w:lineRule="auto"/>
        <w:rPr>
          <w:sz w:val="20"/>
          <w:szCs w:val="20"/>
          <w:color w:val="auto"/>
        </w:rPr>
      </w:pPr>
      <w:r>
        <w:rPr>
          <w:rFonts w:ascii="Times New Roman" w:cs="Times New Roman" w:eastAsia="Times New Roman" w:hAnsi="Times New Roman"/>
          <w:sz w:val="14"/>
          <w:szCs w:val="14"/>
          <w:i w:val="1"/>
          <w:iCs w:val="1"/>
          <w:color w:val="auto"/>
        </w:rPr>
        <w:t>Singapore Securities and Futures Act Product Classification</w:t>
      </w:r>
      <w:r>
        <w:rPr>
          <w:rFonts w:ascii="Times New Roman" w:cs="Times New Roman" w:eastAsia="Times New Roman" w:hAnsi="Times New Roman"/>
          <w:sz w:val="14"/>
          <w:szCs w:val="14"/>
          <w:color w:val="auto"/>
        </w:rPr>
        <w:t>—Solely for the purposes of its obligations pursuant to sections 309B(1)(a)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309B(1)(c) of the SFA, the Company has determined, and hereby notifies all relevant persons (as defined in Section 309A of the SFA) that the notes are “prescribed capital markets products”(as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2" w:lineRule="exact"/>
        <w:rPr>
          <w:sz w:val="20"/>
          <w:szCs w:val="20"/>
          <w:color w:val="auto"/>
        </w:rPr>
      </w:pPr>
    </w:p>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The notes may not be publicly offered, directly or indirectly, in Switzerland within the meaning of the Swiss Financial Services Act (the “FinSA”) and will not be admitted to trading on any trading venue (exchange or multilateral trading facility) in Switzerland. Neither this prospectus supplement nor any other offering or marketing material relating to the notes constitutes a prospectus as such term is understood pursuant to the FinSA, and neither this prospectus supplement nor any other offering or marketing material relating to the notes may be publicly distributed or otherwise made publicly available in Switzerland.</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92" w:lineRule="exact"/>
        <w:rPr>
          <w:sz w:val="20"/>
          <w:szCs w:val="20"/>
          <w:color w:val="auto"/>
        </w:rPr>
      </w:pPr>
    </w:p>
    <w:p>
      <w:pPr>
        <w:ind w:left="240" w:right="37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prospectus supplements in connection with Exempt Offers. The DFSA has not approved this prospectus supplement nor taken steps to verify the information set forth herein and has no responsibility for this prospectus supplement. The notes to which this prospectus supplement relates may be illiquid 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147"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In relation to its use in the Dubai International Financial Centre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w:t>
      </w:r>
    </w:p>
    <w:p>
      <w:pPr>
        <w:spacing w:after="0" w:line="2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i w:val="1"/>
          <w:iCs w:val="1"/>
          <w:color w:val="auto"/>
        </w:rPr>
        <w:t>United Arab Emirates</w:t>
      </w:r>
    </w:p>
    <w:p>
      <w:pPr>
        <w:spacing w:after="0" w:line="92"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the accompanying prospectus and any other offering or marketing material relating to the notes or the offering do not constitute a public offer of securities in the United Arab Emirates (including the Abu Dhabi Global Market and the Dubai International Financial Centre) and are not intended to be a public offer. This prospectus supplement, the accompanying prospectus and any other offering or marketing material relating to the notes or the offering have not been approved by or filed with the Central Bank of the United Arab Emirates, the Securities and Commodities Authority, the Financial Services Regulatory Authority or the Dubai Financial Services Authority.</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9019"/>
          </w:cols>
          <w:pgMar w:left="1440" w:top="240"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LEGAL MATTERS</w:t>
      </w:r>
    </w:p>
    <w:p>
      <w:pPr>
        <w:spacing w:after="0" w:line="176" w:lineRule="exact"/>
        <w:rPr>
          <w:sz w:val="20"/>
          <w:szCs w:val="20"/>
          <w:color w:val="auto"/>
        </w:rPr>
      </w:pPr>
    </w:p>
    <w:p>
      <w:pPr>
        <w:jc w:val="both"/>
        <w:ind w:left="240" w:right="479" w:firstLine="341"/>
        <w:spacing w:after="0" w:line="265" w:lineRule="auto"/>
        <w:rPr>
          <w:sz w:val="20"/>
          <w:szCs w:val="20"/>
          <w:color w:val="auto"/>
        </w:rPr>
      </w:pPr>
      <w:r>
        <w:rPr>
          <w:rFonts w:ascii="Times New Roman" w:cs="Times New Roman" w:eastAsia="Times New Roman" w:hAnsi="Times New Roman"/>
          <w:sz w:val="14"/>
          <w:szCs w:val="14"/>
          <w:color w:val="auto"/>
        </w:rPr>
        <w:t>The validity of the notes offered in this offering and certain other legal matters will be passed upon for us by Skadden, Arps, Slate, Meagher &amp; Flom LLP, New York, New York. Certain legal matters relating to the offering of the notes will be passed upon for the underwriters by Cadwalader, Wickersham &amp; Taft LLP.</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The consolidated financial statements of Navient Corporation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under the Exchange Act. You may access electronically without charge any documents filed by us at the SEC’s website,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 xml:space="preserve">. The SEC’s website contains reports, proxy and information statements, and other information regarding issuers that file electronically with the SEC, including Navient Corporation. Our common shares are listed and traded on the NASDAQ. You may also inspect the information we file with the SEC at the NASDAQ’s offices at One Liberty Plaza, 165 Broadway, New York, New York 10006. Information about us, including our SEC filings, is also available at our internet site at </w:t>
      </w:r>
      <w:r>
        <w:rPr>
          <w:rFonts w:ascii="Times New Roman" w:cs="Times New Roman" w:eastAsia="Times New Roman" w:hAnsi="Times New Roman"/>
          <w:sz w:val="14"/>
          <w:szCs w:val="14"/>
          <w:u w:val="single" w:color="auto"/>
          <w:color w:val="auto"/>
        </w:rPr>
        <w:t>http://www.navient.com</w:t>
      </w:r>
      <w:r>
        <w:rPr>
          <w:rFonts w:ascii="Times New Roman" w:cs="Times New Roman" w:eastAsia="Times New Roman" w:hAnsi="Times New Roman"/>
          <w:sz w:val="14"/>
          <w:szCs w:val="14"/>
          <w:color w:val="auto"/>
        </w:rPr>
        <w:t>. However, the information on our internet site is not part of this prospectus supplement or the accompanying prospectus.</w:t>
      </w:r>
    </w:p>
    <w:p>
      <w:pPr>
        <w:spacing w:after="0" w:line="146" w:lineRule="exact"/>
        <w:rPr>
          <w:sz w:val="20"/>
          <w:szCs w:val="20"/>
          <w:color w:val="auto"/>
        </w:rPr>
      </w:pPr>
    </w:p>
    <w:p>
      <w:pPr>
        <w:ind w:left="240" w:right="399" w:firstLine="341"/>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documents we file with the SEC into this prospectus supplement and the accompanying prospectus, which means that we can disclose important information to you by referring you to another document filed separately with the SEC. The information incorporated by reference is considered part of this prospectus supplement and the accompanying prospectus. If any statement in this prospectus supplement, the accompanying prospectus or any document incorporated by reference is inconsistent with a statement in another document having a later date—for example, a document incorporated by reference in the accompanying prospectus—the statement in the document having the later date modifies or supersedes the earlier statement. Any statement so modified or superseded shall not be deemed, except as so modified or superseded, to constitute a part of this prospectus supplement or the accompanying prospectus.</w:t>
      </w:r>
    </w:p>
    <w:p>
      <w:pPr>
        <w:spacing w:after="0" w:line="147" w:lineRule="exact"/>
        <w:rPr>
          <w:sz w:val="20"/>
          <w:szCs w:val="20"/>
          <w:color w:val="auto"/>
        </w:rPr>
      </w:pPr>
    </w:p>
    <w:p>
      <w:pPr>
        <w:ind w:left="240" w:right="239" w:firstLine="341"/>
        <w:spacing w:after="0" w:line="260" w:lineRule="auto"/>
        <w:rPr>
          <w:sz w:val="20"/>
          <w:szCs w:val="20"/>
          <w:color w:val="auto"/>
        </w:rPr>
      </w:pPr>
      <w:r>
        <w:rPr>
          <w:rFonts w:ascii="Times New Roman" w:cs="Times New Roman" w:eastAsia="Times New Roman" w:hAnsi="Times New Roman"/>
          <w:sz w:val="14"/>
          <w:szCs w:val="14"/>
          <w:color w:val="auto"/>
        </w:rPr>
        <w:t>We incorporate by reference into this prospectus supplement and the accompanying prospectus the documents listed below and all documents we subsequently file with the SEC pursuant to Sections 13(a), 13(c), 14 or 15(d) of the Exchange Act, prior to the completion of the offering of all securities covered by this prospectus supplement (other than documents or information deemed to have been furnished and not filed in accordance with SEC rules):</w:t>
      </w:r>
    </w:p>
    <w:p>
      <w:pPr>
        <w:spacing w:after="0" w:line="66" w:lineRule="exact"/>
        <w:rPr>
          <w:sz w:val="20"/>
          <w:szCs w:val="20"/>
          <w:color w:val="auto"/>
        </w:rPr>
      </w:pPr>
    </w:p>
    <w:p>
      <w:pPr>
        <w:ind w:left="980" w:hanging="327"/>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51">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filed with the SEC on April 29, 2026;</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to the extent filed with the SEC on </w:t>
      </w:r>
      <w:hyperlink r:id="rId52">
        <w:r>
          <w:rPr>
            <w:rFonts w:ascii="Times New Roman" w:cs="Times New Roman" w:eastAsia="Times New Roman" w:hAnsi="Times New Roman"/>
            <w:sz w:val="14"/>
            <w:szCs w:val="14"/>
            <w:u w:val="single" w:color="auto"/>
            <w:color w:val="0000EE"/>
          </w:rPr>
          <w:t>January 8,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3">
        <w:r>
          <w:rPr>
            <w:rFonts w:ascii="Times New Roman" w:cs="Times New Roman" w:eastAsia="Times New Roman" w:hAnsi="Times New Roman"/>
            <w:sz w:val="14"/>
            <w:szCs w:val="14"/>
            <w:u w:val="single" w:color="auto"/>
            <w:color w:val="0000EE"/>
          </w:rPr>
          <w:t>April 8, 2026</w:t>
        </w:r>
      </w:hyperlink>
      <w:r>
        <w:rPr>
          <w:rFonts w:ascii="Times New Roman" w:cs="Times New Roman" w:eastAsia="Times New Roman" w:hAnsi="Times New Roman"/>
          <w:sz w:val="14"/>
          <w:szCs w:val="14"/>
          <w:color w:val="auto"/>
        </w:rPr>
        <w:t>; and</w:t>
      </w:r>
    </w:p>
    <w:p>
      <w:pPr>
        <w:spacing w:after="0" w:line="100" w:lineRule="exact"/>
        <w:rPr>
          <w:rFonts w:ascii="Times New Roman" w:cs="Times New Roman" w:eastAsia="Times New Roman" w:hAnsi="Times New Roman"/>
          <w:sz w:val="14"/>
          <w:szCs w:val="14"/>
          <w:color w:val="auto"/>
        </w:rPr>
      </w:pPr>
    </w:p>
    <w:p>
      <w:pPr>
        <w:ind w:left="980" w:right="459" w:hanging="327"/>
        <w:spacing w:after="0" w:line="281" w:lineRule="auto"/>
        <w:tabs>
          <w:tab w:leader="none" w:pos="9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54">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xml:space="preserve">, filed on April 16, 2026 (solely to the extent incorporated by reference into Part III of our Annual Report on </w:t>
      </w:r>
      <w:hyperlink r:id="rId50">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w:t>
      </w:r>
    </w:p>
    <w:p>
      <w:pPr>
        <w:spacing w:after="0" w:line="73"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9019"/>
          </w:cols>
          <w:pgMar w:left="1440" w:top="238" w:right="1440" w:bottom="1440" w:gutter="0" w:footer="0" w:header="0"/>
        </w:sectPr>
      </w:pPr>
    </w:p>
    <w:bookmarkStart w:id="37" w:name="page38"/>
    <w:bookmarkEnd w:id="37"/>
    <w:p>
      <w:pPr>
        <w:jc w:val="both"/>
        <w:ind w:left="240" w:right="479" w:firstLine="341"/>
        <w:spacing w:after="0" w:line="29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We will provide, without charge, upon written or oral request, a copy of any or all of the documents that are incorporated by reference into this prospectus supplement or the accompanying prospectus, excluding any exhibits to those documents unless the exhibit is specifically incorporated by reference as an exhibit in this prospectus supplement or the accompanying prospectus. You should direct requests for documents to: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Navient Corporation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13865 Sunrise Valley Drive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Herndon, Virginia 20171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(302) 283-8000</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9019"/>
          </w:cols>
          <w:pgMar w:left="1440" w:top="240"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3070225</wp:posOffset>
            </wp:positionH>
            <wp:positionV relativeFrom="page">
              <wp:posOffset>161925</wp:posOffset>
            </wp:positionV>
            <wp:extent cx="1408430" cy="239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408430" cy="239395"/>
                    </a:xfrm>
                    <a:prstGeom prst="rect">
                      <a:avLst/>
                    </a:prstGeom>
                    <a:noFill/>
                  </pic:spPr>
                </pic:pic>
              </a:graphicData>
            </a:graphic>
          </wp:anchor>
        </w:drawing>
        <w:t>NAVIENT CORPORATION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177165</wp:posOffset>
            </wp:positionV>
            <wp:extent cx="114300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may offer, issue and sell, together or separately:</w:t>
      </w:r>
    </w:p>
    <w:p>
      <w:pPr>
        <w:spacing w:after="0" w:line="101" w:lineRule="exact"/>
        <w:rPr>
          <w:sz w:val="20"/>
          <w:szCs w:val="20"/>
          <w:color w:val="auto"/>
        </w:rPr>
      </w:pPr>
    </w:p>
    <w:p>
      <w:pPr>
        <w:ind w:left="980" w:hanging="327"/>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which may be issued in one or more series;</w:t>
      </w:r>
    </w:p>
    <w:p>
      <w:pPr>
        <w:spacing w:after="0" w:line="21"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w:t>
      </w:r>
    </w:p>
    <w:p>
      <w:pPr>
        <w:spacing w:after="0" w:line="6"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preferred stock, which may be issued in one or more series;</w:t>
      </w:r>
    </w:p>
    <w:p>
      <w:pPr>
        <w:spacing w:after="0" w:line="6" w:lineRule="exact"/>
        <w:rPr>
          <w:rFonts w:ascii="Times New Roman" w:cs="Times New Roman" w:eastAsia="Times New Roman" w:hAnsi="Times New Roman"/>
          <w:sz w:val="14"/>
          <w:szCs w:val="14"/>
          <w:color w:val="auto"/>
        </w:rPr>
      </w:pPr>
    </w:p>
    <w:p>
      <w:pPr>
        <w:ind w:left="980" w:right="299" w:hanging="327"/>
        <w:spacing w:after="0" w:line="249" w:lineRule="auto"/>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of common stock, shares of preferred stock, debt securities or units of two or more of these types of securities; and</w:t>
      </w:r>
    </w:p>
    <w:p>
      <w:pPr>
        <w:ind w:left="980" w:hanging="327"/>
        <w:spacing w:after="0"/>
        <w:tabs>
          <w:tab w:leader="none" w:pos="9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each representing a combination of two or more of the foregoing securities.</w:t>
      </w:r>
    </w:p>
    <w:p>
      <w:pPr>
        <w:spacing w:after="0" w:line="159" w:lineRule="exact"/>
        <w:rPr>
          <w:sz w:val="20"/>
          <w:szCs w:val="20"/>
          <w:color w:val="auto"/>
        </w:rPr>
      </w:pPr>
    </w:p>
    <w:p>
      <w:pPr>
        <w:ind w:left="240" w:right="319" w:firstLine="341"/>
        <w:spacing w:after="0" w:line="255" w:lineRule="auto"/>
        <w:rPr>
          <w:sz w:val="20"/>
          <w:szCs w:val="20"/>
          <w:color w:val="auto"/>
        </w:rPr>
      </w:pPr>
      <w:r>
        <w:rPr>
          <w:rFonts w:ascii="Times New Roman" w:cs="Times New Roman" w:eastAsia="Times New Roman" w:hAnsi="Times New Roman"/>
          <w:sz w:val="14"/>
          <w:szCs w:val="14"/>
          <w:color w:val="auto"/>
        </w:rPr>
        <w:t>We will provide the specific prices and terms of these securities in one or more supplements to this prospectus at the time of offering. You should read this prospectus and any accompanying prospectus supplement carefully before you make your investment decision. We refer to our debt securities, common stock, preferred stock, warrants and units collectively as the “securities.” Any or all of the securities may be offered and sold separately or together. The debt securities and preferred stock may be convertible into or exchangeable or exercisable for other securities. We will provide specific terms of these securities, and the manner in which these securities will be offered, in supplements to this prospectus. The prospectus supplements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168275</wp:posOffset>
            </wp:positionV>
            <wp:extent cx="114300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8" w:lineRule="exact"/>
        <w:rPr>
          <w:sz w:val="20"/>
          <w:szCs w:val="20"/>
          <w:color w:val="auto"/>
        </w:rPr>
      </w:pPr>
    </w:p>
    <w:p>
      <w:pPr>
        <w:ind w:left="240" w:right="339" w:firstLine="341"/>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carefully read this prospectus and the applicable prospectus supplement, including the section entitled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5 of this prospectus, the section entitled “Risk Factors” in the applicable prospectus supplement and risk factors in our periodic reports and other information filed with the Securities and Exchange Commission before investing in our securities.</w:t>
      </w:r>
    </w:p>
    <w:p>
      <w:pPr>
        <w:spacing w:after="0" w:line="146" w:lineRule="exact"/>
        <w:rPr>
          <w:sz w:val="20"/>
          <w:szCs w:val="20"/>
          <w:color w:val="auto"/>
        </w:rPr>
      </w:pPr>
    </w:p>
    <w:p>
      <w:pPr>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w:t>
      </w:r>
    </w:p>
    <w:p>
      <w:pPr>
        <w:spacing w:after="0" w:line="136" w:lineRule="exact"/>
        <w:rPr>
          <w:sz w:val="20"/>
          <w:szCs w:val="20"/>
          <w:color w:val="auto"/>
        </w:rPr>
      </w:pPr>
    </w:p>
    <w:p>
      <w:pPr>
        <w:ind w:left="240" w:right="559" w:firstLine="341"/>
        <w:spacing w:after="0" w:line="281" w:lineRule="auto"/>
        <w:rPr>
          <w:sz w:val="20"/>
          <w:szCs w:val="20"/>
          <w:color w:val="auto"/>
        </w:rPr>
      </w:pPr>
      <w:r>
        <w:rPr>
          <w:rFonts w:ascii="Times New Roman" w:cs="Times New Roman" w:eastAsia="Times New Roman" w:hAnsi="Times New Roman"/>
          <w:sz w:val="14"/>
          <w:szCs w:val="14"/>
          <w:color w:val="auto"/>
        </w:rPr>
        <w:t>Our common stock is listed on NASDAQ under the trading symbol “NAVI.” Each prospectus supplement will indicate whether the securities offered thereby will be listed on any securities exchange.</w:t>
      </w:r>
    </w:p>
    <w:p>
      <w:pPr>
        <w:spacing w:after="0" w:line="123" w:lineRule="exact"/>
        <w:rPr>
          <w:sz w:val="20"/>
          <w:szCs w:val="20"/>
          <w:color w:val="auto"/>
        </w:rPr>
      </w:pPr>
    </w:p>
    <w:p>
      <w:pPr>
        <w:ind w:left="240" w:right="35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162560</wp:posOffset>
            </wp:positionV>
            <wp:extent cx="114300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This prospectus is dated May 2, 2025</w:t>
      </w:r>
    </w:p>
    <w:p>
      <w:pPr>
        <w:sectPr>
          <w:pgSz w:w="11900" w:h="16838" w:orient="portrait"/>
          <w:cols w:equalWidth="0" w:num="1">
            <w:col w:w="9019"/>
          </w:cols>
          <w:pgMar w:left="1440" w:top="592" w:right="1440" w:bottom="1440" w:gutter="0" w:footer="0" w:header="0"/>
        </w:sectPr>
      </w:pPr>
    </w:p>
    <w:bookmarkStart w:id="39" w:name="page40"/>
    <w:bookmarkEnd w:id="39"/>
    <w:tbl>
      <w:tblPr>
        <w:tblLayout w:type="fixed"/>
        <w:tblInd w:w="2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56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3"/>
        </w:trPr>
        <w:tc>
          <w:tcPr>
            <w:tcW w:w="296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530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7"/>
        </w:trPr>
        <w:tc>
          <w:tcPr>
            <w:tcW w:w="2960" w:type="dxa"/>
            <w:vAlign w:val="bottom"/>
            <w:gridSpan w:val="14"/>
            <w:vMerge w:val="continue"/>
          </w:tcPr>
          <w:p>
            <w:pPr>
              <w:spacing w:after="0"/>
              <w:rPr>
                <w:sz w:val="11"/>
                <w:szCs w:val="11"/>
                <w:color w:val="auto"/>
              </w:rPr>
            </w:pPr>
          </w:p>
        </w:tc>
        <w:tc>
          <w:tcPr>
            <w:tcW w:w="5300" w:type="dxa"/>
            <w:vAlign w:val="bottom"/>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9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FORWARD-LOOKING STATEMENTS</w:t>
            </w: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7"/>
        </w:trPr>
        <w:tc>
          <w:tcPr>
            <w:tcW w:w="226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ABOUT NAVIENT CORPORATION</w:t>
            </w:r>
          </w:p>
        </w:tc>
        <w:tc>
          <w:tcPr>
            <w:tcW w:w="700" w:type="dxa"/>
            <w:vAlign w:val="bottom"/>
            <w:gridSpan w:val="2"/>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7"/>
        </w:trPr>
        <w:tc>
          <w:tcPr>
            <w:tcW w:w="2120" w:type="dxa"/>
            <w:vAlign w:val="bottom"/>
            <w:tcBorders>
              <w:top w:val="single" w:sz="8" w:color="0000EE"/>
            </w:tcBorders>
            <w:gridSpan w:val="10"/>
          </w:tcPr>
          <w:p>
            <w:pPr>
              <w:spacing w:after="0" w:line="147" w:lineRule="exact"/>
              <w:rPr>
                <w:sz w:val="20"/>
                <w:szCs w:val="20"/>
                <w:color w:val="auto"/>
              </w:rPr>
            </w:pPr>
            <w:r>
              <w:rPr>
                <w:rFonts w:ascii="Times New Roman" w:cs="Times New Roman" w:eastAsia="Times New Roman" w:hAnsi="Times New Roman"/>
                <w:sz w:val="14"/>
                <w:szCs w:val="14"/>
                <w:color w:val="0000EE"/>
              </w:rPr>
              <w:t>RISK FACTORS</w:t>
            </w:r>
          </w:p>
        </w:tc>
        <w:tc>
          <w:tcPr>
            <w:tcW w:w="840" w:type="dxa"/>
            <w:vAlign w:val="bottom"/>
            <w:gridSpan w:val="4"/>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22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4"/>
                <w:szCs w:val="14"/>
                <w:color w:val="0000EE"/>
                <w:w w:val="97"/>
              </w:rPr>
              <w:t>USE OF PROCEEDS</w:t>
            </w:r>
          </w:p>
        </w:tc>
        <w:tc>
          <w:tcPr>
            <w:tcW w:w="1740" w:type="dxa"/>
            <w:vAlign w:val="bottom"/>
            <w:gridSpan w:val="10"/>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7"/>
        </w:trPr>
        <w:tc>
          <w:tcPr>
            <w:tcW w:w="186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w w:val="97"/>
              </w:rPr>
              <w:t>SECURITIES WE MAY OFFER</w:t>
            </w:r>
          </w:p>
        </w:tc>
        <w:tc>
          <w:tcPr>
            <w:tcW w:w="1100" w:type="dxa"/>
            <w:vAlign w:val="bottom"/>
            <w:gridSpan w:val="6"/>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7"/>
        </w:trPr>
        <w:tc>
          <w:tcPr>
            <w:tcW w:w="234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620" w:type="dxa"/>
            <w:vAlign w:val="bottom"/>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47"/>
        </w:trPr>
        <w:tc>
          <w:tcPr>
            <w:tcW w:w="222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740" w:type="dxa"/>
            <w:vAlign w:val="bottom"/>
            <w:gridSpan w:val="3"/>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7"/>
        </w:trPr>
        <w:tc>
          <w:tcPr>
            <w:tcW w:w="19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1040" w:type="dxa"/>
            <w:vAlign w:val="bottom"/>
            <w:gridSpan w:val="5"/>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7"/>
        </w:trPr>
        <w:tc>
          <w:tcPr>
            <w:tcW w:w="1560" w:type="dxa"/>
            <w:vAlign w:val="bottom"/>
            <w:tcBorders>
              <w:bottom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1400" w:type="dxa"/>
            <w:vAlign w:val="bottom"/>
            <w:gridSpan w:val="9"/>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7"/>
        </w:trPr>
        <w:tc>
          <w:tcPr>
            <w:tcW w:w="2960" w:type="dxa"/>
            <w:vAlign w:val="bottom"/>
            <w:gridSpan w:val="14"/>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7"/>
        </w:trPr>
        <w:tc>
          <w:tcPr>
            <w:tcW w:w="158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1380" w:type="dxa"/>
            <w:vAlign w:val="bottom"/>
            <w:gridSpan w:val="8"/>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2"/>
          </w:tcPr>
          <w:p>
            <w:pPr>
              <w:spacing w:after="0"/>
              <w:rPr>
                <w:sz w:val="12"/>
                <w:szCs w:val="12"/>
                <w:color w:val="auto"/>
              </w:rPr>
            </w:pPr>
          </w:p>
        </w:tc>
        <w:tc>
          <w:tcPr>
            <w:tcW w:w="1840" w:type="dxa"/>
            <w:vAlign w:val="bottom"/>
            <w:gridSpan w:val="11"/>
          </w:tcPr>
          <w:p>
            <w:pPr>
              <w:spacing w:after="0"/>
              <w:rPr>
                <w:sz w:val="12"/>
                <w:szCs w:val="12"/>
                <w:color w:val="auto"/>
              </w:rPr>
            </w:pP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7"/>
        </w:trPr>
        <w:tc>
          <w:tcPr>
            <w:tcW w:w="296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5560" w:type="dxa"/>
            <w:vAlign w:val="bottom"/>
            <w:gridSpan w:val="3"/>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201535"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THIS PROSPECTUS</w:t>
      </w:r>
    </w:p>
    <w:p>
      <w:pPr>
        <w:spacing w:after="0" w:line="176"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that we filed with the Securities and Exchange Commission (the “SEC”) as a “well-known seasoned issuer” as defined in Rule 405 under the Securities Act of 1933, as amended (the “Securities Act”), using a “shelf” registration process. Under this process, we may sell from time to time any combination of the securities described in this prospectus. 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w:t>
      </w:r>
    </w:p>
    <w:p>
      <w:pPr>
        <w:spacing w:after="0" w:line="144" w:lineRule="exact"/>
        <w:rPr>
          <w:sz w:val="20"/>
          <w:szCs w:val="20"/>
          <w:color w:val="auto"/>
        </w:rPr>
      </w:pPr>
    </w:p>
    <w:p>
      <w:pPr>
        <w:jc w:val="both"/>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43" w:lineRule="exact"/>
        <w:rPr>
          <w:sz w:val="20"/>
          <w:szCs w:val="20"/>
          <w:color w:val="auto"/>
        </w:rPr>
      </w:pPr>
    </w:p>
    <w:p>
      <w:pPr>
        <w:ind w:left="240" w:right="639" w:firstLine="341"/>
        <w:spacing w:after="0" w:line="281" w:lineRule="auto"/>
        <w:rPr>
          <w:sz w:val="20"/>
          <w:szCs w:val="20"/>
          <w:color w:val="auto"/>
        </w:rPr>
      </w:pPr>
      <w:r>
        <w:rPr>
          <w:rFonts w:ascii="Times New Roman" w:cs="Times New Roman" w:eastAsia="Times New Roman" w:hAnsi="Times New Roman"/>
          <w:sz w:val="14"/>
          <w:szCs w:val="14"/>
          <w:color w:val="auto"/>
        </w:rPr>
        <w:t>The information in this prospectus is accurate as of the date on the front cover. You should not assume that the information contained in this prospectus is accurate as of any other date.</w:t>
      </w:r>
    </w:p>
    <w:p>
      <w:pPr>
        <w:spacing w:after="0" w:line="125" w:lineRule="exact"/>
        <w:rPr>
          <w:sz w:val="20"/>
          <w:szCs w:val="20"/>
          <w:color w:val="auto"/>
        </w:rPr>
      </w:pPr>
    </w:p>
    <w:p>
      <w:pPr>
        <w:ind w:left="240" w:right="659" w:firstLine="341"/>
        <w:spacing w:after="0" w:line="281" w:lineRule="auto"/>
        <w:rPr>
          <w:sz w:val="20"/>
          <w:szCs w:val="20"/>
          <w:color w:val="auto"/>
        </w:rPr>
      </w:pPr>
      <w:r>
        <w:rPr>
          <w:rFonts w:ascii="Times New Roman" w:cs="Times New Roman" w:eastAsia="Times New Roman" w:hAnsi="Times New Roman"/>
          <w:sz w:val="14"/>
          <w:szCs w:val="14"/>
          <w:color w:val="auto"/>
        </w:rPr>
        <w:t>When used in this prospectus, the terms “Navient,” the “Company,” “we,” “our” and “us” refer to Navient Corporation and its consolidated subsidiaries, unless otherwise specified or the context otherwise requires.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FORWARD-LOOKING STATEMENTS</w:t>
      </w:r>
    </w:p>
    <w:p>
      <w:pPr>
        <w:spacing w:after="0" w:line="176" w:lineRule="exact"/>
        <w:rPr>
          <w:sz w:val="20"/>
          <w:szCs w:val="20"/>
          <w:color w:val="auto"/>
        </w:rPr>
      </w:pPr>
    </w:p>
    <w:p>
      <w:pPr>
        <w:ind w:left="240" w:right="279" w:firstLine="341"/>
        <w:spacing w:after="0" w:line="275" w:lineRule="auto"/>
        <w:rPr>
          <w:sz w:val="20"/>
          <w:szCs w:val="20"/>
          <w:color w:val="auto"/>
        </w:rPr>
      </w:pPr>
      <w:r>
        <w:rPr>
          <w:rFonts w:ascii="Times New Roman" w:cs="Times New Roman" w:eastAsia="Times New Roman" w:hAnsi="Times New Roman"/>
          <w:sz w:val="13"/>
          <w:szCs w:val="13"/>
          <w:color w:val="auto"/>
        </w:rPr>
        <w:t>This prospectus and any accompanying prospectus supplement and any information incorporated by reference herein or therein contain forward-looking statements relating to future events or our future results. These statements are forward-looking statements within the meaning of Section 27A of the Securities Act and Section 21E of the Securities Exchange Act of 1934, as amended (the “Exchange Act”), and are intended to come within the safe harbor protection provided by those sections. Statements that are not historical facts, including statements about our beliefs, opinions, or expectations and statements that assume or are dependent upon future events, are forward-looking statements and often contain words such as “expect,” “assume,” “anticipate,” “intend,” “plan,” “believe,” “seek,” “see,” “will,” “would,” “may,” “could,” “should,” “goals,” or “target.” Such statements are based on management’s expectations as of the date of this prospectus and involve many risks and uncertainties that could cause our actual results to differ materially from those expressed or implied in our forward-looking statements. Such risks and uncertainties are discussed more fully under the caption “Risk Factors” included in our Annual Report on Form 10-K for the year ended December 31, 2024 and include, but are not limited to the following:</w:t>
      </w:r>
    </w:p>
    <w:p>
      <w:pPr>
        <w:spacing w:after="0" w:line="59" w:lineRule="exact"/>
        <w:rPr>
          <w:sz w:val="20"/>
          <w:szCs w:val="20"/>
          <w:color w:val="auto"/>
        </w:rPr>
      </w:pPr>
    </w:p>
    <w:p>
      <w:pPr>
        <w:ind w:left="980" w:right="359" w:hanging="327"/>
        <w:spacing w:after="0" w:line="281"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including the potential impact of inflation and interest rates on Navient and its clients and customers and on the creditworthiness of third parties;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defaults on education loans held by us;</w:t>
      </w:r>
    </w:p>
    <w:p>
      <w:pPr>
        <w:spacing w:after="0" w:line="100" w:lineRule="exact"/>
        <w:rPr>
          <w:rFonts w:ascii="Times New Roman" w:cs="Times New Roman" w:eastAsia="Times New Roman" w:hAnsi="Times New Roman"/>
          <w:sz w:val="14"/>
          <w:szCs w:val="14"/>
          <w:color w:val="auto"/>
        </w:rPr>
      </w:pPr>
    </w:p>
    <w:p>
      <w:pPr>
        <w:ind w:left="980" w:right="339" w:hanging="327"/>
        <w:spacing w:after="0" w:line="257"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repayment trends on education loans including prepayments or deferrals resulting from new interpretations or the timing of the execution and implementation of current laws, rules or regulations or future laws, executive orders or other policy initiatives that operate to encourage or require consolidation, abolish existing or create additional income-based repayment or debt forgiveness programs or establish other policies and programs which may increase or decrease the prepayment rates on education loans and accelerate or slow down the repayment of the bonds in our securitization trusts;</w:t>
      </w:r>
    </w:p>
    <w:p>
      <w:pPr>
        <w:spacing w:after="0" w:line="69"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reduction in our credit ratings;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applicable laws, rules, regulations and government policies, as well as changing regulatory and governmental oversight;</w:t>
      </w:r>
    </w:p>
    <w:p>
      <w:pPr>
        <w:spacing w:after="0" w:line="100" w:lineRule="exact"/>
        <w:rPr>
          <w:rFonts w:ascii="Times New Roman" w:cs="Times New Roman" w:eastAsia="Times New Roman" w:hAnsi="Times New Roman"/>
          <w:sz w:val="14"/>
          <w:szCs w:val="14"/>
          <w:color w:val="auto"/>
        </w:rPr>
      </w:pPr>
    </w:p>
    <w:p>
      <w:pPr>
        <w:ind w:left="980" w:right="539" w:hanging="327"/>
        <w:spacing w:after="0" w:line="281"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general interest rate environment, including the availability of any relevant money-market index rate or the relationship between the relevant money-market index rate and the rate at which our assets are priced;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characteristics of our assets do not always match those of our funding arrangements;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market conditions or an inability to effectively manage our liquidity risk or access liquidity could negatively impact us;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availability of funding in the capital markets;</w:t>
      </w:r>
    </w:p>
    <w:p>
      <w:pPr>
        <w:spacing w:after="0" w:line="100"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earn Floor Income (as defined in our Annual Report on Form 10-K for the year ended December 31, 2024) and our ability to enter into hedges relative to that Floor Income are dependent on the future interest rate environment and therefore is variable;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use of derivatives exposes us to credit and market risk;</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continually and effectively align our cost structure with our business operations;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or breach of our operating systems, infrastructure or information technology systems;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any third party providing us material services or products or a breach or violation of law by one of these third parties;</w:t>
      </w:r>
    </w:p>
    <w:p>
      <w:pPr>
        <w:spacing w:after="0" w:line="100" w:lineRule="exact"/>
        <w:rPr>
          <w:rFonts w:ascii="Times New Roman" w:cs="Times New Roman" w:eastAsia="Times New Roman" w:hAnsi="Times New Roman"/>
          <w:sz w:val="14"/>
          <w:szCs w:val="14"/>
          <w:color w:val="auto"/>
        </w:rPr>
      </w:pPr>
    </w:p>
    <w:p>
      <w:pPr>
        <w:ind w:left="4460" w:right="399" w:hanging="3807"/>
        <w:spacing w:after="0" w:line="452" w:lineRule="auto"/>
        <w:tabs>
          <w:tab w:leader="none" w:pos="979"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or previous work with government clients exposes us to additional risks inherent in the government contracting environment; 2</w:t>
      </w:r>
    </w:p>
    <w:p>
      <w:pPr>
        <w:sectPr>
          <w:pgSz w:w="11900" w:h="16838" w:orient="portrait"/>
          <w:cols w:equalWidth="0" w:num="1">
            <w:col w:w="9019"/>
          </w:cols>
          <w:pgMar w:left="1440" w:top="238" w:right="1440" w:bottom="1440" w:gutter="0" w:footer="0" w:header="0"/>
        </w:sectPr>
      </w:pPr>
    </w:p>
    <w:bookmarkStart w:id="42" w:name="page43"/>
    <w:bookmarkEnd w:id="42"/>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acquisitions, strategic initiatives and investments or divestitures that we pursue;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shareholder activism;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risk and social factors.</w:t>
      </w:r>
    </w:p>
    <w:p>
      <w:pPr>
        <w:spacing w:after="0" w:line="174" w:lineRule="exact"/>
        <w:rPr>
          <w:sz w:val="20"/>
          <w:szCs w:val="20"/>
          <w:color w:val="auto"/>
        </w:rPr>
      </w:pPr>
    </w:p>
    <w:p>
      <w:pPr>
        <w:ind w:left="240" w:right="279" w:firstLine="341"/>
        <w:spacing w:after="0" w:line="260" w:lineRule="auto"/>
        <w:rPr>
          <w:sz w:val="20"/>
          <w:szCs w:val="20"/>
          <w:color w:val="auto"/>
        </w:rPr>
      </w:pPr>
      <w:r>
        <w:rPr>
          <w:rFonts w:ascii="Times New Roman" w:cs="Times New Roman" w:eastAsia="Times New Roman" w:hAnsi="Times New Roman"/>
          <w:sz w:val="14"/>
          <w:szCs w:val="14"/>
          <w:color w:val="auto"/>
        </w:rPr>
        <w:t>The preparation of our consolidated financial statements also requires management to make certain estimates and assumptions including estimates and assumptions about future events. These estimates or assumptions may prove to be incorrect and actual results could differ materially. All forward-looking statements contained in this prospectus are qualified by these cautionary statements and are made only as of the date of this document. We do not undertake any obligation to update or revise these forward-looking statements except as required by law.</w:t>
      </w:r>
    </w:p>
    <w:p>
      <w:pPr>
        <w:spacing w:after="0" w:line="140"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Given these risks and uncertainties, readers are cautioned not to place undue reliance on such forward-looking statements. 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in our Annual Report on Form 10-K for the year ended December 31, 2024 and subsequent reports and registration statements filed from time to time with the SEC.</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ABOUT NAVIENT CORPORATION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Navient Corporation provides technology-enabled education finance solutions that help millions of people achieve success.</w:t>
      </w:r>
    </w:p>
    <w:p>
      <w:pPr>
        <w:spacing w:after="0" w:line="174" w:lineRule="exact"/>
        <w:rPr>
          <w:sz w:val="20"/>
          <w:szCs w:val="20"/>
          <w:color w:val="auto"/>
        </w:rPr>
      </w:pPr>
    </w:p>
    <w:p>
      <w:pPr>
        <w:jc w:val="both"/>
        <w:ind w:left="240" w:right="239" w:firstLine="341"/>
        <w:spacing w:after="0" w:line="265" w:lineRule="auto"/>
        <w:rPr>
          <w:sz w:val="20"/>
          <w:szCs w:val="20"/>
          <w:color w:val="auto"/>
        </w:rPr>
      </w:pPr>
      <w:r>
        <w:rPr>
          <w:rFonts w:ascii="Times New Roman" w:cs="Times New Roman" w:eastAsia="Times New Roman" w:hAnsi="Times New Roman"/>
          <w:sz w:val="14"/>
          <w:szCs w:val="14"/>
          <w:color w:val="auto"/>
        </w:rPr>
        <w:t>Our principal executive offices are located at 13865 Sunrise Valley Drive, Herndon, Virginia 20171. Our telephone number is (703) 810-3000. Our website address is www.navient.com. Information on, or accessible through, our website does not constitute part of this prospectus or any accompanying prospectus supplement.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RISK FACTORS</w:t>
      </w:r>
    </w:p>
    <w:p>
      <w:pPr>
        <w:spacing w:after="0" w:line="176" w:lineRule="exact"/>
        <w:rPr>
          <w:sz w:val="20"/>
          <w:szCs w:val="20"/>
          <w:color w:val="auto"/>
        </w:rPr>
      </w:pPr>
    </w:p>
    <w:p>
      <w:pPr>
        <w:ind w:left="240" w:right="499" w:firstLine="341"/>
        <w:spacing w:after="0" w:line="279" w:lineRule="auto"/>
        <w:rPr>
          <w:sz w:val="20"/>
          <w:szCs w:val="20"/>
          <w:color w:val="auto"/>
        </w:rPr>
      </w:pPr>
      <w:r>
        <w:rPr>
          <w:rFonts w:ascii="Times New Roman" w:cs="Times New Roman" w:eastAsia="Times New Roman" w:hAnsi="Times New Roman"/>
          <w:sz w:val="13"/>
          <w:szCs w:val="13"/>
          <w:color w:val="auto"/>
        </w:rPr>
        <w:t>Investing in our securities involves risk. Before you decide to invest in our securities, you should carefully consider the specific risks set forth under the caption “Risk Factors” included in our most recent, and subsequent, Annual Reports on Form 10-K, in our most recent, and subsequent, Quarterly Reports on Form 10-Q and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USE OF PROCEEDS</w:t>
      </w:r>
    </w:p>
    <w:p>
      <w:pPr>
        <w:spacing w:after="0" w:line="176" w:lineRule="exact"/>
        <w:rPr>
          <w:sz w:val="20"/>
          <w:szCs w:val="20"/>
          <w:color w:val="auto"/>
        </w:rPr>
      </w:pPr>
    </w:p>
    <w:p>
      <w:pPr>
        <w:ind w:left="240" w:right="679" w:firstLine="341"/>
        <w:spacing w:after="0" w:line="281" w:lineRule="auto"/>
        <w:rPr>
          <w:sz w:val="20"/>
          <w:szCs w:val="20"/>
          <w:color w:val="auto"/>
        </w:rPr>
      </w:pPr>
      <w:r>
        <w:rPr>
          <w:rFonts w:ascii="Times New Roman" w:cs="Times New Roman" w:eastAsia="Times New Roman" w:hAnsi="Times New Roman"/>
          <w:sz w:val="14"/>
          <w:szCs w:val="14"/>
          <w:color w:val="auto"/>
        </w:rPr>
        <w:t>Except as otherwise set forth in any accompanying prospectus supplement, we expect to use the net proceeds from the sale of securities for general corporate purposes, including the financing of our operations and debt repurchases.</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SECURITIES WE MAY OFFER</w:t>
      </w:r>
    </w:p>
    <w:p>
      <w:pPr>
        <w:spacing w:after="0" w:line="176" w:lineRule="exact"/>
        <w:rPr>
          <w:sz w:val="20"/>
          <w:szCs w:val="20"/>
          <w:color w:val="auto"/>
        </w:rPr>
      </w:pPr>
    </w:p>
    <w:p>
      <w:pPr>
        <w:jc w:val="both"/>
        <w:ind w:left="240" w:right="339" w:firstLine="341"/>
        <w:spacing w:after="0" w:line="295" w:lineRule="auto"/>
        <w:rPr>
          <w:sz w:val="20"/>
          <w:szCs w:val="20"/>
          <w:color w:val="auto"/>
        </w:rPr>
      </w:pPr>
      <w:r>
        <w:rPr>
          <w:rFonts w:ascii="Times New Roman" w:cs="Times New Roman" w:eastAsia="Times New Roman" w:hAnsi="Times New Roman"/>
          <w:sz w:val="13"/>
          <w:szCs w:val="13"/>
          <w:color w:val="auto"/>
        </w:rPr>
        <w:t>This prospectus contains summary descriptions of the debt securities, preferred stock, common stock, warrants and units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DEBT SECURITIES</w:t>
      </w:r>
    </w:p>
    <w:p>
      <w:pPr>
        <w:spacing w:after="0" w:line="176" w:lineRule="exact"/>
        <w:rPr>
          <w:sz w:val="20"/>
          <w:szCs w:val="20"/>
          <w:color w:val="auto"/>
        </w:rPr>
      </w:pPr>
    </w:p>
    <w:p>
      <w:pPr>
        <w:ind w:left="240" w:right="359" w:firstLine="341"/>
        <w:spacing w:after="0" w:line="281" w:lineRule="auto"/>
        <w:rPr>
          <w:sz w:val="20"/>
          <w:szCs w:val="20"/>
          <w:color w:val="auto"/>
        </w:rPr>
      </w:pPr>
      <w:r>
        <w:rPr>
          <w:rFonts w:ascii="Times New Roman" w:cs="Times New Roman" w:eastAsia="Times New Roman" w:hAnsi="Times New Roman"/>
          <w:sz w:val="14"/>
          <w:szCs w:val="14"/>
          <w:color w:val="auto"/>
        </w:rPr>
        <w:t>We may offer debt securities in one or more series, which may be senior, subordinated or junior subordinated, and which may be convertible into another security.</w:t>
      </w:r>
    </w:p>
    <w:p>
      <w:pPr>
        <w:spacing w:after="0" w:line="125"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The following description briefly sets forth certain general terms and provisions of the debt securities. The particular terms of the debt securities offered by any prospectus supplement and the extent, if any, to which the following general terms and provisions may apply to the debt securities, will be described in an accompanying prospectus supplement. Unless otherwise specified in an accompanying prospectus supplement, our debt securities will be issued in one or more series under either an indenture between us and The Bank of New York Mellon, as trustee, dated as of July 18, 2014 (the “2014 Senior Indenture”), or an indenture between us (as successor to SLM Corporation and USA Education, Inc.) and The Bank of New York Mellon (as successor to J.P. Morgan Chase Bank, National Association, formerly Chase Manhattan Bank), dated as of October 1, 2000, as supplemented by the First Supplemental Indenture, dated as of October 11, 2006, the Seventh Supplemental Indenture, dated as of April 29, 2014, and the Eighth Supplemental Indenture, dated as of October 16, 2014 (the “2000 Senior Indenture” and, together with the 2014 Senior Indenture, the “indentures”). The terms of the debt securities will include those set forth in the applicable indenture and those made a part of such indenture by the Trust Indenture Act of 1939 (the “TIA”). You should read the summary below, any accompanying prospectus supplement and the provisions of the indentures and supplemental indenture, if any, in their entirety before investing in our debt securities.</w:t>
      </w:r>
    </w:p>
    <w:p>
      <w:pPr>
        <w:spacing w:after="0" w:line="150"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The aggregate principal amount of debt securities that may be issued under the indentures is unlimited. The prospectus supplement relating to any series of debt securities that we may offer will contain the specific terms of that series of debt securities.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Debt Securities Issued Under the 2014 Senior Indenture</w:t>
      </w:r>
    </w:p>
    <w:p>
      <w:pPr>
        <w:spacing w:after="0" w:line="92" w:lineRule="exact"/>
        <w:rPr>
          <w:sz w:val="20"/>
          <w:szCs w:val="20"/>
          <w:color w:val="auto"/>
        </w:rPr>
      </w:pPr>
    </w:p>
    <w:p>
      <w:pPr>
        <w:ind w:left="240" w:right="719" w:firstLine="341"/>
        <w:spacing w:after="0" w:line="281" w:lineRule="auto"/>
        <w:rPr>
          <w:sz w:val="20"/>
          <w:szCs w:val="20"/>
          <w:color w:val="auto"/>
        </w:rPr>
      </w:pPr>
      <w:r>
        <w:rPr>
          <w:rFonts w:ascii="Times New Roman" w:cs="Times New Roman" w:eastAsia="Times New Roman" w:hAnsi="Times New Roman"/>
          <w:sz w:val="14"/>
          <w:szCs w:val="14"/>
          <w:color w:val="auto"/>
        </w:rPr>
        <w:t>With respect to debt securities issued under the 2014 Senior Indenture, authorizing resolutions, a written company order or a supplemental indenture will set forth the specific terms of each series of debt securities. These terms may include, among others, the following:</w:t>
      </w:r>
    </w:p>
    <w:p>
      <w:pPr>
        <w:spacing w:after="0" w:line="52" w:lineRule="exact"/>
        <w:rPr>
          <w:sz w:val="20"/>
          <w:szCs w:val="20"/>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aggregate principal amount of the debt securities and any limit on the aggregate principal amount of such series;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subordinated and any applicable subordination provisions;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date(s) or method for determining same;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or the method for determining same;</w:t>
      </w:r>
    </w:p>
    <w:p>
      <w:pPr>
        <w:spacing w:after="0" w:line="100" w:lineRule="exact"/>
        <w:rPr>
          <w:rFonts w:ascii="Times New Roman" w:cs="Times New Roman" w:eastAsia="Times New Roman" w:hAnsi="Times New Roman"/>
          <w:sz w:val="14"/>
          <w:szCs w:val="14"/>
          <w:color w:val="auto"/>
        </w:rPr>
      </w:pPr>
    </w:p>
    <w:p>
      <w:pPr>
        <w:ind w:left="980" w:right="399" w:hanging="327"/>
        <w:spacing w:after="0" w:line="28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interest will accrue or the method for determining dates on which interest will accrue and dates on which interest will be payable and whether interest will be payable in cash, additional securities or some combination thereof;</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convertible or exchangeable into other securities and any related terms and conditions;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or early repayment provisions;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authorized denominations;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 principal amount of debt securities payable upon acceleration;</w:t>
      </w:r>
    </w:p>
    <w:p>
      <w:pPr>
        <w:spacing w:after="0" w:line="100"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place(s) where payment of principal and interest may be made, where debt securities may be presented and where notices or demands upon the company may be made;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or forms of the debt securities of the series including such legends as may be required by applicable law;</w:t>
      </w:r>
    </w:p>
    <w:p>
      <w:pPr>
        <w:spacing w:after="0" w:line="100" w:lineRule="exact"/>
        <w:rPr>
          <w:rFonts w:ascii="Times New Roman" w:cs="Times New Roman" w:eastAsia="Times New Roman" w:hAnsi="Times New Roman"/>
          <w:sz w:val="14"/>
          <w:szCs w:val="14"/>
          <w:color w:val="auto"/>
        </w:rPr>
      </w:pPr>
    </w:p>
    <w:p>
      <w:pPr>
        <w:ind w:left="980" w:right="619" w:hanging="327"/>
        <w:spacing w:after="0" w:line="281" w:lineRule="auto"/>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whole or in part in the form of one or more global securities and the date as of which the securities are dated if other than the date of original issuance;</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38" w:right="1440" w:bottom="1440" w:gutter="0" w:footer="0" w:header="0"/>
        </w:sectPr>
      </w:pPr>
    </w:p>
    <w:bookmarkStart w:id="48" w:name="page49"/>
    <w:bookmarkEnd w:id="48"/>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whether the debt securities are secured and the terms of such security;</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discount or premium, if any, with which the debt securities will be issued;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to or changes in the covenants that apply to such debt securities;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in the defaults and events of default applicable to the particular debt securities being issued;</w:t>
      </w:r>
    </w:p>
    <w:p>
      <w:pPr>
        <w:spacing w:after="0" w:line="100" w:lineRule="exact"/>
        <w:rPr>
          <w:rFonts w:ascii="Times New Roman" w:cs="Times New Roman" w:eastAsia="Times New Roman" w:hAnsi="Times New Roman"/>
          <w:sz w:val="14"/>
          <w:szCs w:val="14"/>
          <w:color w:val="auto"/>
        </w:rPr>
      </w:pPr>
    </w:p>
    <w:p>
      <w:pPr>
        <w:ind w:left="980" w:right="379" w:hanging="327"/>
        <w:spacing w:after="0" w:line="281"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guarantors of each series, if any, and the extent of the guarantees (including provisions relating to seniority, subordination and release of the guarantees), if any;</w:t>
      </w:r>
    </w:p>
    <w:p>
      <w:pPr>
        <w:spacing w:after="0" w:line="52" w:lineRule="exact"/>
        <w:rPr>
          <w:rFonts w:ascii="Times New Roman" w:cs="Times New Roman" w:eastAsia="Times New Roman" w:hAnsi="Times New Roman"/>
          <w:sz w:val="14"/>
          <w:szCs w:val="14"/>
          <w:color w:val="auto"/>
        </w:rPr>
      </w:pPr>
    </w:p>
    <w:p>
      <w:pPr>
        <w:ind w:left="980" w:right="419" w:hanging="327"/>
        <w:spacing w:after="0" w:line="281"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currencies or currency units in which the purchase price for, the principal of and any premium and any interest on, the debt securities will be payable;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period within which, the manner in which and the terms and conditions upon which we can select the payment currency;</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obligation or right to redeem, purchase or repay debt securities under a sinking fund, amortization or analogous provision;</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conditions on the transferability of the debt securities;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granting special rights to holders of the debt securities upon occurrence of specified events;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relating to compensation or reimbursement of the trustee of the series of debt securities;</w:t>
      </w:r>
    </w:p>
    <w:p>
      <w:pPr>
        <w:spacing w:after="0" w:line="100" w:lineRule="exact"/>
        <w:rPr>
          <w:rFonts w:ascii="Times New Roman" w:cs="Times New Roman" w:eastAsia="Times New Roman" w:hAnsi="Times New Roman"/>
          <w:sz w:val="14"/>
          <w:szCs w:val="14"/>
          <w:color w:val="auto"/>
        </w:rPr>
      </w:pPr>
    </w:p>
    <w:p>
      <w:pPr>
        <w:ind w:left="980" w:right="379" w:hanging="327"/>
        <w:spacing w:after="0" w:line="281"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changes to the provisions for the defeasance of the debt securities or to provisions related to satisfaction and discharge of the indenture;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relating to the modification of the indenture both with and without the consent of holders of debt;</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under the indenture and the execution of supplemental indentures for such series; and</w:t>
      </w:r>
    </w:p>
    <w:p>
      <w:pPr>
        <w:spacing w:after="0" w:line="100" w:lineRule="exact"/>
        <w:rPr>
          <w:rFonts w:ascii="Times New Roman" w:cs="Times New Roman" w:eastAsia="Times New Roman" w:hAnsi="Times New Roman"/>
          <w:sz w:val="14"/>
          <w:szCs w:val="14"/>
          <w:color w:val="auto"/>
        </w:rPr>
      </w:pPr>
    </w:p>
    <w:p>
      <w:pPr>
        <w:ind w:left="980" w:right="659" w:hanging="327"/>
        <w:spacing w:after="0" w:line="281" w:lineRule="auto"/>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terms shall not be inconsistent with the provisions of the TIA, but may modify, amend, supplement or delete any of the terms of the indenture with respect to such series of debt securities).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Debt Securities Issued Under the 2000 Senior Indenture</w:t>
      </w:r>
    </w:p>
    <w:p>
      <w:pPr>
        <w:spacing w:after="0" w:line="92" w:lineRule="exact"/>
        <w:rPr>
          <w:sz w:val="20"/>
          <w:szCs w:val="20"/>
          <w:color w:val="auto"/>
        </w:rPr>
      </w:pPr>
    </w:p>
    <w:p>
      <w:pPr>
        <w:ind w:left="240" w:right="439" w:firstLine="341"/>
        <w:spacing w:after="0" w:line="281" w:lineRule="auto"/>
        <w:rPr>
          <w:sz w:val="20"/>
          <w:szCs w:val="20"/>
          <w:color w:val="auto"/>
        </w:rPr>
      </w:pPr>
      <w:r>
        <w:rPr>
          <w:rFonts w:ascii="Times New Roman" w:cs="Times New Roman" w:eastAsia="Times New Roman" w:hAnsi="Times New Roman"/>
          <w:sz w:val="14"/>
          <w:szCs w:val="14"/>
          <w:color w:val="auto"/>
        </w:rPr>
        <w:t>With respect to debt securities issued under the 2000 Senior Indenture, authorizing resolutions, a certificate or a supplemental indenture will set forth the specific terms of each series of debt securities. These terms may include, among others, the following:</w:t>
      </w:r>
    </w:p>
    <w:p>
      <w:pPr>
        <w:spacing w:after="0" w:line="52" w:lineRule="exact"/>
        <w:rPr>
          <w:sz w:val="20"/>
          <w:szCs w:val="20"/>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 and their CUSIP and ISIN numbers, as applicable;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aggregate principal amount of the series of debt securities;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principal and premium, if any, of the debt securities will be payable;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debt securities will bear interest:</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 on the debt securities or the method by which the interest rate may be determined;</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from which interest will accrue;</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 and interest payment dates for the debt securities;</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circumstances under which we may defer interest payments; and</w:t>
      </w:r>
    </w:p>
    <w:p>
      <w:pPr>
        <w:spacing w:after="0" w:line="100" w:lineRule="exact"/>
        <w:rPr>
          <w:rFonts w:ascii="Times New Roman" w:cs="Times New Roman" w:eastAsia="Times New Roman" w:hAnsi="Times New Roman"/>
          <w:sz w:val="14"/>
          <w:szCs w:val="14"/>
          <w:color w:val="auto"/>
        </w:rPr>
      </w:pPr>
    </w:p>
    <w:p>
      <w:pPr>
        <w:jc w:val="center"/>
        <w:ind w:left="4460" w:right="1119" w:hanging="3378"/>
        <w:spacing w:after="0" w:line="452" w:lineRule="auto"/>
        <w:tabs>
          <w:tab w:leader="none" w:pos="1324" w:val="left"/>
        </w:tabs>
        <w:numPr>
          <w:ilvl w:val="1"/>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basis upon which interest shall be calculated if other than on the basis of a 360-day year of twelve 30-day months; 9</w:t>
      </w:r>
    </w:p>
    <w:p>
      <w:pPr>
        <w:sectPr>
          <w:pgSz w:w="11900" w:h="16838" w:orient="portrait"/>
          <w:cols w:equalWidth="0" w:num="1">
            <w:col w:w="9019"/>
          </w:cols>
          <w:pgMar w:left="1440" w:top="240" w:right="1440" w:bottom="1440" w:gutter="0" w:footer="0" w:header="0"/>
        </w:sectPr>
      </w:pPr>
    </w:p>
    <w:bookmarkStart w:id="49" w:name="page50"/>
    <w:bookmarkEnd w:id="49"/>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place or places where:</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can make payments on the debt securities;</w:t>
      </w:r>
    </w:p>
    <w:p>
      <w:pPr>
        <w:spacing w:after="0" w:line="100" w:lineRule="exact"/>
        <w:rPr>
          <w:rFonts w:ascii="Times New Roman" w:cs="Times New Roman" w:eastAsia="Times New Roman" w:hAnsi="Times New Roman"/>
          <w:sz w:val="14"/>
          <w:szCs w:val="14"/>
          <w:color w:val="auto"/>
        </w:rPr>
      </w:pPr>
    </w:p>
    <w:p>
      <w:pPr>
        <w:ind w:left="1340" w:hanging="258"/>
        <w:spacing w:after="0"/>
        <w:tabs>
          <w:tab w:leader="none" w:pos="13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debt securities can be surrendered for registration of transfer or exchange; and</w:t>
      </w:r>
    </w:p>
    <w:p>
      <w:pPr>
        <w:spacing w:after="0" w:line="100" w:lineRule="exact"/>
        <w:rPr>
          <w:rFonts w:ascii="Times New Roman" w:cs="Times New Roman" w:eastAsia="Times New Roman" w:hAnsi="Times New Roman"/>
          <w:sz w:val="14"/>
          <w:szCs w:val="14"/>
          <w:color w:val="auto"/>
        </w:rPr>
      </w:pPr>
    </w:p>
    <w:p>
      <w:pPr>
        <w:ind w:left="1340" w:right="659" w:hanging="258"/>
        <w:spacing w:after="0" w:line="281" w:lineRule="auto"/>
        <w:tabs>
          <w:tab w:leader="none" w:pos="1340" w:val="left"/>
        </w:tabs>
        <w:numPr>
          <w:ilvl w:val="1"/>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and demands can be given to us relating to the debt securities and under the applicable indenture, and where notices to holders pursuant to the applicable indenture will be published;</w:t>
      </w:r>
    </w:p>
    <w:p>
      <w:pPr>
        <w:spacing w:after="0" w:line="52"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 that would permit us or the holders of debt securities to elect to redeem the debt securities before their final maturity;</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conversion features;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provisions that would obligate us to redeem the debt securities;</w:t>
      </w:r>
    </w:p>
    <w:p>
      <w:pPr>
        <w:spacing w:after="0" w:line="100" w:lineRule="exact"/>
        <w:rPr>
          <w:rFonts w:ascii="Times New Roman" w:cs="Times New Roman" w:eastAsia="Times New Roman" w:hAnsi="Times New Roman"/>
          <w:sz w:val="14"/>
          <w:szCs w:val="14"/>
          <w:color w:val="auto"/>
        </w:rPr>
      </w:pPr>
    </w:p>
    <w:p>
      <w:pPr>
        <w:ind w:left="980" w:right="359" w:hanging="327"/>
        <w:spacing w:after="0" w:line="257"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the debt securities are to be issuable as registered securities, bearer securities or both, whether debt securities are to be issuable with or without coupons or both and, if issuable as bearer securities, the date as of which the bearer securities will be dated (if other than the date of original issuance of the first debt security of that series of like tenor and term to be issued and any restrictions applicable to the offering, sale or delivery of bearer securities and whether, and the terms upon which, bearer securities of a series may be exchanged for registered securities of the same series and vice versa);</w:t>
      </w:r>
    </w:p>
    <w:p>
      <w:pPr>
        <w:spacing w:after="0" w:line="69" w:lineRule="exact"/>
        <w:rPr>
          <w:rFonts w:ascii="Times New Roman" w:cs="Times New Roman" w:eastAsia="Times New Roman" w:hAnsi="Times New Roman"/>
          <w:sz w:val="14"/>
          <w:szCs w:val="14"/>
          <w:color w:val="auto"/>
        </w:rPr>
      </w:pPr>
    </w:p>
    <w:p>
      <w:pPr>
        <w:ind w:left="980" w:right="67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all or part of the debt securities will be issued in whole or in part as temporary or permanent global securities and, if so, the depositary for those global securities and a description of any book-entry procedures relating to the global securities;</w:t>
      </w:r>
    </w:p>
    <w:p>
      <w:pPr>
        <w:spacing w:after="0" w:line="52" w:lineRule="exact"/>
        <w:rPr>
          <w:rFonts w:ascii="Times New Roman" w:cs="Times New Roman" w:eastAsia="Times New Roman" w:hAnsi="Times New Roman"/>
          <w:sz w:val="14"/>
          <w:szCs w:val="14"/>
          <w:color w:val="auto"/>
        </w:rPr>
      </w:pPr>
    </w:p>
    <w:p>
      <w:pPr>
        <w:ind w:left="980" w:right="35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issue temporary global securities, any special provisions dealing with the payment of interest and any terms relating to the ability to exchange interests in a temporary global security for interests in a permanent global security or for definitive debt securities;</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$1,000 or an integral multiple of $1,000;</w:t>
      </w:r>
    </w:p>
    <w:p>
      <w:pPr>
        <w:spacing w:after="0" w:line="100" w:lineRule="exact"/>
        <w:rPr>
          <w:rFonts w:ascii="Times New Roman" w:cs="Times New Roman" w:eastAsia="Times New Roman" w:hAnsi="Times New Roman"/>
          <w:sz w:val="14"/>
          <w:szCs w:val="14"/>
          <w:color w:val="auto"/>
        </w:rPr>
      </w:pPr>
    </w:p>
    <w:p>
      <w:pPr>
        <w:ind w:left="980" w:right="33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principal amount of debt securities payable upon a declaration of acceleration of maturity, if other than the full principal amount;</w:t>
      </w:r>
    </w:p>
    <w:p>
      <w:pPr>
        <w:spacing w:after="0" w:line="52" w:lineRule="exact"/>
        <w:rPr>
          <w:rFonts w:ascii="Times New Roman" w:cs="Times New Roman" w:eastAsia="Times New Roman" w:hAnsi="Times New Roman"/>
          <w:sz w:val="14"/>
          <w:szCs w:val="14"/>
          <w:color w:val="auto"/>
        </w:rPr>
      </w:pPr>
    </w:p>
    <w:p>
      <w:pPr>
        <w:ind w:left="980" w:right="41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currencies in which the debt securities will be denominated and payable and, if a composite currency, any related special provisions;</w:t>
      </w:r>
    </w:p>
    <w:p>
      <w:pPr>
        <w:spacing w:after="0" w:line="52" w:lineRule="exact"/>
        <w:rPr>
          <w:rFonts w:ascii="Times New Roman" w:cs="Times New Roman" w:eastAsia="Times New Roman" w:hAnsi="Times New Roman"/>
          <w:sz w:val="14"/>
          <w:szCs w:val="14"/>
          <w:color w:val="auto"/>
        </w:rPr>
      </w:pPr>
    </w:p>
    <w:p>
      <w:pPr>
        <w:ind w:left="980" w:right="65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circumstances under which the debt securities may be paid in a currency other than the currency in which the debt securities are denominated and any related provisions;</w:t>
      </w:r>
    </w:p>
    <w:p>
      <w:pPr>
        <w:spacing w:after="0" w:line="52" w:lineRule="exact"/>
        <w:rPr>
          <w:rFonts w:ascii="Times New Roman" w:cs="Times New Roman" w:eastAsia="Times New Roman" w:hAnsi="Times New Roman"/>
          <w:sz w:val="14"/>
          <w:szCs w:val="14"/>
          <w:color w:val="auto"/>
        </w:rPr>
      </w:pPr>
    </w:p>
    <w:p>
      <w:pPr>
        <w:ind w:left="980" w:right="25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principal, premium and interest on debt securities will be determined if they are determined with reference to an index based upon a currency or currencies other than that in which the debt securities are denominated or payable;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events of default that will apply to the debt securities in addition to those contained in the applicable indenture;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issue of debt securities may be “reopened” by offering additional securities with substantially the same terms;</w:t>
      </w:r>
    </w:p>
    <w:p>
      <w:pPr>
        <w:spacing w:after="0" w:line="100" w:lineRule="exact"/>
        <w:rPr>
          <w:rFonts w:ascii="Times New Roman" w:cs="Times New Roman" w:eastAsia="Times New Roman" w:hAnsi="Times New Roman"/>
          <w:sz w:val="14"/>
          <w:szCs w:val="14"/>
          <w:color w:val="auto"/>
        </w:rPr>
      </w:pPr>
    </w:p>
    <w:p>
      <w:pPr>
        <w:ind w:left="980" w:right="83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covenants contained in the applicable indenture and the ability, if any, of the holders to waive our compliance with those additional or changed covenants;</w:t>
      </w:r>
    </w:p>
    <w:p>
      <w:pPr>
        <w:spacing w:after="0" w:line="52"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provisions in the 2000 Senior Indenture relating to defeasance apply to the debt securities; the identity of the security registrar and paying agent for the debt securities if other than the applicable trustee; and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50" w:name="page51"/>
    <w:bookmarkEnd w:id="50"/>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General</w:t>
      </w:r>
    </w:p>
    <w:p>
      <w:pPr>
        <w:spacing w:after="0" w:line="92"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par or at a substantial discount below their stated principal amount. Unless we inform you otherwise in a prospectus supplement, we may issue additional debt securities of a particular series without the consent of the holders of the debt securities of such series or any other series outstanding at the time of issuance. Any such additional debt securities, together with all other outstanding debt securities of that series, will constitute a single series of securities under the applicable indenture.</w:t>
      </w:r>
    </w:p>
    <w:p>
      <w:pPr>
        <w:spacing w:after="0" w:line="140"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w:t>
      </w:r>
    </w:p>
    <w:p>
      <w:pPr>
        <w:spacing w:after="0" w:line="147" w:lineRule="exact"/>
        <w:rPr>
          <w:sz w:val="20"/>
          <w:szCs w:val="20"/>
          <w:color w:val="auto"/>
        </w:rPr>
      </w:pPr>
    </w:p>
    <w:p>
      <w:pPr>
        <w:ind w:left="240" w:right="979" w:firstLine="341"/>
        <w:spacing w:after="0" w:line="281" w:lineRule="auto"/>
        <w:rPr>
          <w:sz w:val="20"/>
          <w:szCs w:val="20"/>
          <w:color w:val="auto"/>
        </w:rPr>
      </w:pPr>
      <w:r>
        <w:rPr>
          <w:rFonts w:ascii="Times New Roman" w:cs="Times New Roman" w:eastAsia="Times New Roman" w:hAnsi="Times New Roman"/>
          <w:sz w:val="14"/>
          <w:szCs w:val="14"/>
          <w:color w:val="auto"/>
        </w:rPr>
        <w:t>United States federal income tax consequences and special considerations, if any, applicable to any such series will be described in an accompanying prospectus supplement.</w:t>
      </w:r>
    </w:p>
    <w:p>
      <w:pPr>
        <w:spacing w:after="0" w:line="125"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We expect most debt securities to be issued in fully registered form without coupons and in denominations of $2,000 and any integral multiple of $1,000 in excess thereof. Subject to the limitations provided in the indentures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92"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With respect to debt securities issued under the 2014 Senior Indenture, unless we inform you otherwise in an accompanying prospectus supplement, the debt securities of a series may be issued in whole or in part in the form of one or more global securities that will be deposited with, or on behalf of, a depositary identified in the accompanying prospectus supplement. With respect to debt securities issued under the 2000 Senior Indenture, we may issue debt securities of a series, in whole or in part, in the form of one or more global securities, registered in the name of Cede &amp; Co., the nominee of The Depository Trust Company, New York, New York, unless the accompanying prospectus supplement or pricing supplement describes another depositary or states that no global securities will be issued. With respect to debt securities issued under the 2014 Senior Indenture, global securities will be issued in registered form and in either temporary or definitive form. With respect to debt securities issued under the 2000 Senior Indenture, such debt securities will be issued in temporary or definitive form, and unless we indicate otherwise in the accompanying prospectus supplement, we will issue debt securities only as registered securities. 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indentures and the debt securities shall be construed in accordance with and governed by the laws of the State of New York.</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CAPITAL STOCK</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The following summary description of our capital stock is based on the provisions of the Delaware General Corporation Law (the “DGCL”), our amended and restated certificate of incorporation and our amended and restated bylaws. This description does not purport to be complete and is qualified in its entirety by reference to the full text of the DGCL, as it may be amended from time to time, and to the terms of our amended and restated certificate of incorporation and bylaws, as each may be amended from time to time, which are exhibits to the registration statement of which this prospectus is a part. See “Where You Can Find More Information.”</w:t>
      </w:r>
    </w:p>
    <w:p>
      <w:pPr>
        <w:spacing w:after="0" w:line="143" w:lineRule="exact"/>
        <w:rPr>
          <w:sz w:val="20"/>
          <w:szCs w:val="20"/>
          <w:color w:val="auto"/>
        </w:rPr>
      </w:pPr>
    </w:p>
    <w:p>
      <w:pPr>
        <w:ind w:left="240" w:right="539" w:firstLine="341"/>
        <w:spacing w:after="0" w:line="281" w:lineRule="auto"/>
        <w:rPr>
          <w:sz w:val="20"/>
          <w:szCs w:val="20"/>
          <w:color w:val="auto"/>
        </w:rPr>
      </w:pPr>
      <w:r>
        <w:rPr>
          <w:rFonts w:ascii="Times New Roman" w:cs="Times New Roman" w:eastAsia="Times New Roman" w:hAnsi="Times New Roman"/>
          <w:sz w:val="14"/>
          <w:szCs w:val="14"/>
          <w:color w:val="auto"/>
        </w:rPr>
        <w:t>Under our amended and restated certificate of incorporation, our authorized capital stock is 1,125,000,000 shares of common stock, $0.01 par value, and 20,000,000 shares of preferred stock, $0.20 par value.</w:t>
      </w:r>
    </w:p>
    <w:p>
      <w:pPr>
        <w:spacing w:after="0" w:line="1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As of April 7, 2025, 101,150,217 shares of our common stock were outstanding and no preferred stock was outstanding.</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2"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Each holder of our common stock is entitled to one vote for each share on all matters to be voted upon by the common stockholders, and there are no cumulative voting rights. Holders of common stock are not entitled to vote on any amendment to our amended and restated certificate of incorporation that relates solely to the terms of one or more outstanding series of preferred stock if the holders of such affected series of preferred stock are entitled, either separately or together as a class with the holders of one or more other series of preferred stock, to vote on such amendment pursuant to our amended and restated certificate of incorporation or the DGCL.</w:t>
      </w:r>
    </w:p>
    <w:p>
      <w:pPr>
        <w:spacing w:after="0" w:line="143" w:lineRule="exact"/>
        <w:rPr>
          <w:sz w:val="20"/>
          <w:szCs w:val="20"/>
          <w:color w:val="auto"/>
        </w:rPr>
      </w:pPr>
    </w:p>
    <w:p>
      <w:pPr>
        <w:jc w:val="both"/>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Subject to any preferential rights of the holders of any outstanding preferred stock, holders of our common stock are entitled to receive ratably the dividends, if any, as may be declared from time to time by our board of directors out of funds legally available for that purpose. If there is a liquidation, dissolution or winding up of the Company, holders of our common stock would be entitled to share ratably in the assets legally available for distribution after the payment or provision in full of all liabilities and any preferential rights of the holders of any then outstanding preferred stock.</w:t>
      </w:r>
    </w:p>
    <w:p>
      <w:pPr>
        <w:spacing w:after="0" w:line="140"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Holders of our common stock have no preemptive or conversion rights or other subscription rights, and there are no redemption or sinking fund provisions applicable to shares of the common stock. Upon the distribution, all outstanding shares of the common stock will be fully paid and non-assessable. The rights, preferences and privileges of the holders of our common stock are subject to, and may be adversely affected by, the rights of the holders of shares of any series of preferred stock that we may authorize and issue in the future.</w:t>
      </w:r>
    </w:p>
    <w:p>
      <w:pPr>
        <w:spacing w:after="0" w:line="140" w:lineRule="exact"/>
        <w:rPr>
          <w:sz w:val="20"/>
          <w:szCs w:val="20"/>
          <w:color w:val="auto"/>
        </w:rPr>
      </w:pPr>
    </w:p>
    <w:p>
      <w:pPr>
        <w:ind w:left="240" w:right="359" w:firstLine="341"/>
        <w:spacing w:after="0" w:line="321" w:lineRule="auto"/>
        <w:rPr>
          <w:sz w:val="20"/>
          <w:szCs w:val="20"/>
          <w:color w:val="auto"/>
        </w:rPr>
      </w:pPr>
      <w:r>
        <w:rPr>
          <w:rFonts w:ascii="Times New Roman" w:cs="Times New Roman" w:eastAsia="Times New Roman" w:hAnsi="Times New Roman"/>
          <w:sz w:val="13"/>
          <w:szCs w:val="13"/>
          <w:color w:val="auto"/>
        </w:rPr>
        <w:t>We will distribute a prospectus supplement with regard to each issue of common stock. Each prospectus supplement will describe the specific terms of the common stock offered through that prospectus supplement and any general terms outlined above that will not apply to that common stock.</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may issue preferred stock in one or more series with any rights and preferences that may be authorized by our board of directors.</w:t>
      </w:r>
    </w:p>
    <w:p>
      <w:pPr>
        <w:spacing w:after="0" w:line="174" w:lineRule="exact"/>
        <w:rPr>
          <w:sz w:val="20"/>
          <w:szCs w:val="20"/>
          <w:color w:val="auto"/>
        </w:rPr>
      </w:pPr>
    </w:p>
    <w:p>
      <w:pPr>
        <w:ind w:left="240" w:right="239" w:firstLine="341"/>
        <w:spacing w:after="0" w:line="281" w:lineRule="auto"/>
        <w:rPr>
          <w:sz w:val="20"/>
          <w:szCs w:val="20"/>
          <w:color w:val="auto"/>
        </w:rPr>
      </w:pPr>
      <w:r>
        <w:rPr>
          <w:rFonts w:ascii="Times New Roman" w:cs="Times New Roman" w:eastAsia="Times New Roman" w:hAnsi="Times New Roman"/>
          <w:sz w:val="14"/>
          <w:szCs w:val="14"/>
          <w:color w:val="auto"/>
        </w:rPr>
        <w:t>We will distribute a prospectus supplement with regard to each particular series of preferred stock. Each prospectus supplement will describe, as to the series of preferred stock to which it relates:</w:t>
      </w:r>
    </w:p>
    <w:p>
      <w:pPr>
        <w:spacing w:after="0" w:line="52" w:lineRule="exact"/>
        <w:rPr>
          <w:sz w:val="20"/>
          <w:szCs w:val="20"/>
          <w:color w:val="auto"/>
        </w:rPr>
      </w:pPr>
    </w:p>
    <w:p>
      <w:pPr>
        <w:ind w:left="980" w:hanging="327"/>
        <w:spacing w:after="0"/>
        <w:tabs>
          <w:tab w:leader="none" w:pos="9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preferred stock;</w:t>
      </w:r>
    </w:p>
    <w:p>
      <w:pPr>
        <w:spacing w:after="0" w:line="100" w:lineRule="exact"/>
        <w:rPr>
          <w:rFonts w:ascii="Times New Roman" w:cs="Times New Roman" w:eastAsia="Times New Roman" w:hAnsi="Times New Roman"/>
          <w:sz w:val="14"/>
          <w:szCs w:val="14"/>
          <w:color w:val="auto"/>
        </w:rPr>
      </w:pPr>
    </w:p>
    <w:p>
      <w:pPr>
        <w:ind w:left="4440" w:right="3179" w:hanging="3787"/>
        <w:spacing w:after="0" w:line="452" w:lineRule="auto"/>
        <w:tabs>
          <w:tab w:leader="none" w:pos="99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upon the number of shares of the series of preferred stock that may be issued; 12</w:t>
      </w:r>
    </w:p>
    <w:p>
      <w:pPr>
        <w:sectPr>
          <w:pgSz w:w="11900" w:h="16838" w:orient="portrait"/>
          <w:cols w:equalWidth="0" w:num="1">
            <w:col w:w="9019"/>
          </w:cols>
          <w:pgMar w:left="1440" w:top="238" w:right="1440" w:bottom="1440" w:gutter="0" w:footer="0" w:header="0"/>
        </w:sectPr>
      </w:pPr>
    </w:p>
    <w:bookmarkStart w:id="52" w:name="page53"/>
    <w:bookmarkEnd w:id="52"/>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 preference, if any, to which holders of the series of preferred stock will be entitled upon our liquidation;</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if any, on which we will be required or permitted to redeem the preferred stock;</w:t>
      </w:r>
    </w:p>
    <w:p>
      <w:pPr>
        <w:spacing w:after="0" w:line="100" w:lineRule="exact"/>
        <w:rPr>
          <w:rFonts w:ascii="Times New Roman" w:cs="Times New Roman" w:eastAsia="Times New Roman" w:hAnsi="Times New Roman"/>
          <w:sz w:val="14"/>
          <w:szCs w:val="14"/>
          <w:color w:val="auto"/>
        </w:rPr>
      </w:pPr>
    </w:p>
    <w:p>
      <w:pPr>
        <w:ind w:left="980" w:right="779" w:hanging="327"/>
        <w:spacing w:after="0" w:line="281" w:lineRule="auto"/>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if any, on which we or holders of the preferred stock will have the option to cause the preferred stock to be redeemed or purchased;</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voting rights, if any, of the holders of the preferred stock;</w:t>
      </w:r>
    </w:p>
    <w:p>
      <w:pPr>
        <w:spacing w:after="0" w:line="100" w:lineRule="exact"/>
        <w:rPr>
          <w:rFonts w:ascii="Times New Roman" w:cs="Times New Roman" w:eastAsia="Times New Roman" w:hAnsi="Times New Roman"/>
          <w:sz w:val="14"/>
          <w:szCs w:val="14"/>
          <w:color w:val="auto"/>
        </w:rPr>
      </w:pPr>
    </w:p>
    <w:p>
      <w:pPr>
        <w:ind w:left="980" w:right="699" w:hanging="327"/>
        <w:spacing w:after="0" w:line="281" w:lineRule="auto"/>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dividends, if any, that will be payable with regard to the series of preferred stock, which may be fixed dividends or participating dividends, and may be cumulative or non-cumulative;</w:t>
      </w:r>
    </w:p>
    <w:p>
      <w:pPr>
        <w:spacing w:after="0" w:line="52" w:lineRule="exact"/>
        <w:rPr>
          <w:rFonts w:ascii="Times New Roman" w:cs="Times New Roman" w:eastAsia="Times New Roman" w:hAnsi="Times New Roman"/>
          <w:sz w:val="14"/>
          <w:szCs w:val="14"/>
          <w:color w:val="auto"/>
        </w:rPr>
      </w:pPr>
    </w:p>
    <w:p>
      <w:pPr>
        <w:ind w:left="980" w:right="319" w:hanging="327"/>
        <w:spacing w:after="0" w:line="281" w:lineRule="auto"/>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if any, of holders of the preferred stock to convert it into another class of our stock or securities, including provisions intended to prevent dilution of those conversion rights;</w:t>
      </w:r>
    </w:p>
    <w:p>
      <w:pPr>
        <w:spacing w:after="0" w:line="52" w:lineRule="exact"/>
        <w:rPr>
          <w:rFonts w:ascii="Times New Roman" w:cs="Times New Roman" w:eastAsia="Times New Roman" w:hAnsi="Times New Roman"/>
          <w:sz w:val="14"/>
          <w:szCs w:val="14"/>
          <w:color w:val="auto"/>
        </w:rPr>
      </w:pPr>
    </w:p>
    <w:p>
      <w:pPr>
        <w:ind w:left="980" w:right="459" w:hanging="327"/>
        <w:spacing w:after="0" w:line="281" w:lineRule="auto"/>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by which we will be required or permitted to make payments to a sinking fund to be used to redeem preferred stock, or a purchase fund to be used to purchase preferred stock;</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issuance of shares in the same series or any other series;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preferred stock.</w:t>
      </w:r>
    </w:p>
    <w:p>
      <w:pPr>
        <w:spacing w:after="0" w:line="174" w:lineRule="exact"/>
        <w:rPr>
          <w:sz w:val="20"/>
          <w:szCs w:val="20"/>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Any or all of these rights may be greater than the rights of the holders of common stock. In addition, our board of directors, without shareholder approval, may issue preferred stock with voting, conversion or other rights that could adversely affect the voting power and other rights of the holders of our common stock.</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terms of the preferred stock that might be issued could conceivably prohibit us from:</w:t>
      </w:r>
    </w:p>
    <w:p>
      <w:pPr>
        <w:spacing w:after="0" w:line="101" w:lineRule="exact"/>
        <w:rPr>
          <w:sz w:val="20"/>
          <w:szCs w:val="20"/>
          <w:color w:val="auto"/>
        </w:rPr>
      </w:pPr>
    </w:p>
    <w:p>
      <w:pPr>
        <w:ind w:left="980" w:hanging="32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consummating a merger;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reorganizing;</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selling substantially all of our assets;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liquidating;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other extraordinary corporate transactions without shareholder approval.</w:t>
      </w:r>
    </w:p>
    <w:p>
      <w:pPr>
        <w:spacing w:after="0" w:line="174" w:lineRule="exact"/>
        <w:rPr>
          <w:sz w:val="20"/>
          <w:szCs w:val="20"/>
          <w:color w:val="auto"/>
        </w:rPr>
      </w:pPr>
    </w:p>
    <w:p>
      <w:pPr>
        <w:ind w:left="240" w:right="499" w:firstLine="341"/>
        <w:spacing w:after="0" w:line="281" w:lineRule="auto"/>
        <w:rPr>
          <w:sz w:val="20"/>
          <w:szCs w:val="20"/>
          <w:color w:val="auto"/>
        </w:rPr>
      </w:pPr>
      <w:r>
        <w:rPr>
          <w:rFonts w:ascii="Times New Roman" w:cs="Times New Roman" w:eastAsia="Times New Roman" w:hAnsi="Times New Roman"/>
          <w:sz w:val="14"/>
          <w:szCs w:val="14"/>
          <w:color w:val="auto"/>
        </w:rPr>
        <w:t>Preferred stock could therefore be issued with terms calculated to delay, defer or prevent a change in our control or to make it more difficult to remove our management. Our issuance of preferred stock may have the effect of decreasing the market price of the common stock.</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Anti-Takeover Effects of Provisions of the Certificate of Incorporation, Bylaws and Other Agreements</w:t>
      </w:r>
    </w:p>
    <w:p>
      <w:pPr>
        <w:spacing w:after="0" w:line="92"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Provisions of the DGCL and our amended and restated certificate of incorporation and amended and restated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the heightened ability to negotiate with the proponent of an unfriendly or unsolicited proposal to acquire or restructure us outweighs the disadvantages of discouraging takeover or acquisition proposals because, among other things, negotiation of these proposals could result in an improvement of their terms.</w:t>
      </w:r>
    </w:p>
    <w:p>
      <w:pPr>
        <w:spacing w:after="0" w:line="144" w:lineRule="exact"/>
        <w:rPr>
          <w:sz w:val="20"/>
          <w:szCs w:val="20"/>
          <w:color w:val="auto"/>
        </w:rPr>
      </w:pPr>
    </w:p>
    <w:p>
      <w:pPr>
        <w:ind w:left="240" w:right="39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Delaware Anti-Takeover Statute</w:t>
      </w:r>
      <w:r>
        <w:rPr>
          <w:rFonts w:ascii="Times New Roman" w:cs="Times New Roman" w:eastAsia="Times New Roman" w:hAnsi="Times New Roman"/>
          <w:sz w:val="14"/>
          <w:szCs w:val="14"/>
          <w:color w:val="auto"/>
        </w:rPr>
        <w:t>. We are subject to Section 203 of the DGCL, an anti-takeover statute. In general, Section 203 of the DGCL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53" w:name="page54"/>
    <w:bookmarkEnd w:id="53"/>
    <w:p>
      <w:pPr>
        <w:ind w:left="24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fifteen percent (15%) or more of a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spacing w:after="0" w:line="144" w:lineRule="exact"/>
        <w:rPr>
          <w:sz w:val="20"/>
          <w:szCs w:val="20"/>
          <w:color w:val="auto"/>
        </w:rPr>
      </w:pPr>
    </w:p>
    <w:p>
      <w:pPr>
        <w:ind w:left="240" w:right="39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Amendments to Amended and Restated Bylaws</w:t>
      </w:r>
      <w:r>
        <w:rPr>
          <w:rFonts w:ascii="Times New Roman" w:cs="Times New Roman" w:eastAsia="Times New Roman" w:hAnsi="Times New Roman"/>
          <w:sz w:val="14"/>
          <w:szCs w:val="14"/>
          <w:color w:val="auto"/>
        </w:rPr>
        <w:t>. Our amended and restated certificate of incorporation and amended and restated bylaws provide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 amended and restated bylaws may be amended by our board of directors or by the affirmative vote of holders of at least seventy-five percent (75%) in voting power of our stock then outstanding and entitled to vote thereon.</w:t>
      </w:r>
    </w:p>
    <w:p>
      <w:pPr>
        <w:spacing w:after="0" w:line="134"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Size of Board and Vacancies. </w:t>
      </w:r>
      <w:r>
        <w:rPr>
          <w:rFonts w:ascii="Times New Roman" w:cs="Times New Roman" w:eastAsia="Times New Roman" w:hAnsi="Times New Roman"/>
          <w:sz w:val="14"/>
          <w:szCs w:val="14"/>
          <w:color w:val="auto"/>
        </w:rPr>
        <w:t>Our amended and restated certificate of incorporation and amended and restated bylaws provide that the number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on our board of directors will be fixed exclusively by our board of directors, subject to the rights of the holders of any outstanding preferred stock to elect directors. Any newly created directorship or any vacancy in our board of directors resulting from any increase in the authorized number of directors or the death, disability, resignation, retirement, disqualification, removal from office or other cause will be filled solely by the affirmative vote of a majority of the board of directors then in office, even if less than a quorum, or by a sole remaining director. Any director appointed to fill a vacancy on our board of directors not resulting from an increase in the size of the board will be appointed for the remaining term of his or her predecessor, and until his or her successor has been elected and qualified, subject to his or her earlier death, disqualification, resignation or removal.</w:t>
      </w:r>
    </w:p>
    <w:p>
      <w:pPr>
        <w:spacing w:after="0" w:line="142" w:lineRule="exact"/>
        <w:rPr>
          <w:sz w:val="20"/>
          <w:szCs w:val="20"/>
          <w:color w:val="auto"/>
        </w:rPr>
      </w:pPr>
    </w:p>
    <w:p>
      <w:pPr>
        <w:jc w:val="both"/>
        <w:ind w:left="240" w:right="29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Stockholder Action by Written Consent</w:t>
      </w:r>
      <w:r>
        <w:rPr>
          <w:rFonts w:ascii="Times New Roman" w:cs="Times New Roman" w:eastAsia="Times New Roman" w:hAnsi="Times New Roman"/>
          <w:sz w:val="14"/>
          <w:szCs w:val="14"/>
          <w:color w:val="auto"/>
        </w:rPr>
        <w:t>. Subject to the rights of any series of preferred stock, our amended and restated certificate of incorporation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expressly eliminates the right of our stockholders to act by written consent. Stockholder action must take place at the annual or a special meeting of our stockholders.</w:t>
      </w:r>
    </w:p>
    <w:p>
      <w:pPr>
        <w:spacing w:after="0" w:line="134" w:lineRule="exact"/>
        <w:rPr>
          <w:sz w:val="20"/>
          <w:szCs w:val="20"/>
          <w:color w:val="auto"/>
        </w:rPr>
      </w:pPr>
    </w:p>
    <w:p>
      <w:pPr>
        <w:ind w:left="240" w:right="47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Requirements for Advance Notification of Stockholder Nominations and Proposals. </w:t>
      </w:r>
      <w:r>
        <w:rPr>
          <w:rFonts w:ascii="Times New Roman" w:cs="Times New Roman" w:eastAsia="Times New Roman" w:hAnsi="Times New Roman"/>
          <w:sz w:val="14"/>
          <w:szCs w:val="14"/>
          <w:color w:val="auto"/>
        </w:rPr>
        <w:t>Our amended and restated bylaws establish advance notice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procedures with respect to stockholder proposals and nomination of candidates for election as directors other than nominations made by or at the direction of our board of directors or a committee of our board of directors.</w:t>
      </w:r>
    </w:p>
    <w:p>
      <w:pPr>
        <w:spacing w:after="0" w:line="134" w:lineRule="exact"/>
        <w:rPr>
          <w:sz w:val="20"/>
          <w:szCs w:val="20"/>
          <w:color w:val="auto"/>
        </w:rPr>
      </w:pPr>
    </w:p>
    <w:p>
      <w:pPr>
        <w:ind w:left="240" w:right="29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 xml:space="preserve">No Cumulative Voting. </w:t>
      </w:r>
      <w:r>
        <w:rPr>
          <w:rFonts w:ascii="Times New Roman" w:cs="Times New Roman" w:eastAsia="Times New Roman" w:hAnsi="Times New Roman"/>
          <w:sz w:val="14"/>
          <w:szCs w:val="14"/>
          <w:color w:val="auto"/>
        </w:rPr>
        <w:t>The DGCL provides that stockholders are denied the right to cumulate votes in the election of directors unless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certificate of incorporation provides otherwise. Our amended and restated certificate of incorporation does not provide for cumulative voting in the election of directors.</w:t>
      </w:r>
    </w:p>
    <w:p>
      <w:pPr>
        <w:spacing w:after="0" w:line="134" w:lineRule="exact"/>
        <w:rPr>
          <w:sz w:val="20"/>
          <w:szCs w:val="20"/>
          <w:color w:val="auto"/>
        </w:rPr>
      </w:pPr>
    </w:p>
    <w:p>
      <w:pPr>
        <w:ind w:left="240" w:right="339" w:firstLine="341"/>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Undesignated Preferred Stock. </w:t>
      </w:r>
      <w:r>
        <w:rPr>
          <w:rFonts w:ascii="Times New Roman" w:cs="Times New Roman" w:eastAsia="Times New Roman" w:hAnsi="Times New Roman"/>
          <w:sz w:val="14"/>
          <w:szCs w:val="14"/>
          <w:color w:val="auto"/>
        </w:rPr>
        <w:t>The authority that our board of directors possesses to issue preferred stock could potentially be used to discourage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attempts by third parties to obtain control of us through a merger, tender offer, proxy contest or otherwise by making such attempts more difficult or more costly. Our board of directors may be able to issue preferred stock with voting rights or conversion rights that, if exercised, could adversely affect the voting power of the holders of common stock.</w:t>
      </w:r>
    </w:p>
    <w:p>
      <w:pPr>
        <w:spacing w:after="0" w:line="2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common stock is listed on NASDAQ under the trading symbol “NAVI.”</w:t>
      </w:r>
    </w:p>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WARRANTS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may issue warrants for the purchase of debt securities, common stock, preferred stock or units of two or more of these types of securities.</w:t>
      </w:r>
    </w:p>
    <w:p>
      <w:pPr>
        <w:spacing w:after="0" w:line="174" w:lineRule="exact"/>
        <w:rPr>
          <w:sz w:val="20"/>
          <w:szCs w:val="20"/>
          <w:color w:val="auto"/>
        </w:rPr>
      </w:pPr>
    </w:p>
    <w:p>
      <w:pPr>
        <w:jc w:val="both"/>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Warrants may be issued independently or together with debt securities, preferred stock or common stock, and may be attached to or separate from any offered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prospectus supplement relating to a particular issue of warrants will describe the terms of those warrants, including, when applicable:</w:t>
      </w:r>
    </w:p>
    <w:p>
      <w:pPr>
        <w:spacing w:after="0" w:line="101" w:lineRule="exact"/>
        <w:rPr>
          <w:sz w:val="20"/>
          <w:szCs w:val="20"/>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w:t>
      </w:r>
    </w:p>
    <w:p>
      <w:pPr>
        <w:spacing w:after="0" w:line="100" w:lineRule="exact"/>
        <w:rPr>
          <w:rFonts w:ascii="Times New Roman" w:cs="Times New Roman" w:eastAsia="Times New Roman" w:hAnsi="Times New Roman"/>
          <w:sz w:val="14"/>
          <w:szCs w:val="14"/>
          <w:color w:val="auto"/>
        </w:rPr>
      </w:pPr>
    </w:p>
    <w:p>
      <w:pPr>
        <w:ind w:left="980" w:right="279" w:hanging="327"/>
        <w:spacing w:after="0" w:line="265"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designation, aggregate principal amount, currencies, denominations and terms of the series of debt securities purchasable upon exercise of the warrants, and the price at which you may purchase the debt securities upon exercise;</w:t>
      </w:r>
    </w:p>
    <w:p>
      <w:pPr>
        <w:spacing w:after="0" w:line="63" w:lineRule="exact"/>
        <w:rPr>
          <w:rFonts w:ascii="Times New Roman" w:cs="Times New Roman" w:eastAsia="Times New Roman" w:hAnsi="Times New Roman"/>
          <w:sz w:val="14"/>
          <w:szCs w:val="14"/>
          <w:color w:val="auto"/>
        </w:rPr>
      </w:pPr>
    </w:p>
    <w:p>
      <w:pPr>
        <w:ind w:left="980" w:right="259" w:hanging="327"/>
        <w:spacing w:after="0" w:line="265"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w:t>
      </w:r>
    </w:p>
    <w:p>
      <w:pPr>
        <w:spacing w:after="0" w:line="63" w:lineRule="exact"/>
        <w:rPr>
          <w:rFonts w:ascii="Times New Roman" w:cs="Times New Roman" w:eastAsia="Times New Roman" w:hAnsi="Times New Roman"/>
          <w:sz w:val="14"/>
          <w:szCs w:val="14"/>
          <w:color w:val="auto"/>
        </w:rPr>
      </w:pPr>
    </w:p>
    <w:p>
      <w:pPr>
        <w:ind w:left="980" w:right="419" w:hanging="327"/>
        <w:spacing w:after="0" w:line="281"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the number of shares of common stock purchasable upon the exercise of the warrants and the price at which you may purchase shares of common stock upon exercise;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units of two or more securities, the type, number and terms of the units;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purchasable upon exercise of the warrants and the price at which you may purchase units upon exercise;</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during which you may exercise the warrants;</w:t>
      </w:r>
    </w:p>
    <w:p>
      <w:pPr>
        <w:spacing w:after="0" w:line="100" w:lineRule="exact"/>
        <w:rPr>
          <w:rFonts w:ascii="Times New Roman" w:cs="Times New Roman" w:eastAsia="Times New Roman" w:hAnsi="Times New Roman"/>
          <w:sz w:val="14"/>
          <w:szCs w:val="14"/>
          <w:color w:val="auto"/>
        </w:rPr>
      </w:pPr>
    </w:p>
    <w:p>
      <w:pPr>
        <w:ind w:left="980" w:right="339" w:hanging="327"/>
        <w:spacing w:after="0" w:line="281" w:lineRule="auto"/>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adjusting the securities that may be purchased on exercise of the warrants, and the exercise price of the warrants, to prevent dilution or otherwise;</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if any, we have to redeem the warrants;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warrants can be presented for exercise or for registration of transfer or exchange;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material terms of the warrants.</w:t>
      </w:r>
    </w:p>
    <w:p>
      <w:pPr>
        <w:spacing w:after="0" w:line="174"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w:t>
      </w:r>
    </w:p>
    <w:p>
      <w:pPr>
        <w:spacing w:after="0" w:line="136" w:lineRule="exact"/>
        <w:rPr>
          <w:sz w:val="20"/>
          <w:szCs w:val="20"/>
          <w:color w:val="auto"/>
        </w:rPr>
      </w:pPr>
    </w:p>
    <w:p>
      <w:pPr>
        <w:ind w:left="240" w:right="299" w:firstLine="341"/>
        <w:spacing w:after="0" w:line="281" w:lineRule="auto"/>
        <w:rPr>
          <w:sz w:val="20"/>
          <w:szCs w:val="20"/>
          <w:color w:val="auto"/>
        </w:rPr>
      </w:pPr>
      <w:r>
        <w:rPr>
          <w:rFonts w:ascii="Times New Roman" w:cs="Times New Roman" w:eastAsia="Times New Roman" w:hAnsi="Times New Roman"/>
          <w:sz w:val="14"/>
          <w:szCs w:val="14"/>
          <w:color w:val="auto"/>
        </w:rPr>
        <w:t>Prior to the exercise of any warrants to purchase debt securities, preferred stock or common stock, holders of the warrants will not have any of the rights of holders of the securities purchasable upon exercise, including:</w:t>
      </w:r>
    </w:p>
    <w:p>
      <w:pPr>
        <w:spacing w:after="0" w:line="52" w:lineRule="exact"/>
        <w:rPr>
          <w:sz w:val="20"/>
          <w:szCs w:val="20"/>
          <w:color w:val="auto"/>
        </w:rPr>
      </w:pPr>
    </w:p>
    <w:p>
      <w:pPr>
        <w:ind w:left="980" w:right="439" w:hanging="327"/>
        <w:spacing w:after="0" w:line="281" w:lineRule="auto"/>
        <w:tabs>
          <w:tab w:leader="none" w:pos="9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for the purchase of debt securities, the right to receive payments of principal of or any premium or interest on the debt securities purchasable upon exercise, or to enforce covenants in the applicable indenture; or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55" w:name="page56"/>
    <w:bookmarkEnd w:id="55"/>
    <w:p>
      <w:pPr>
        <w:ind w:left="980" w:right="419" w:hanging="327"/>
        <w:spacing w:after="0" w:line="281" w:lineRule="auto"/>
        <w:tabs>
          <w:tab w:leader="none" w:pos="9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201535" cy="32385"/>
                    </a:xfrm>
                    <a:prstGeom prst="rect">
                      <a:avLst/>
                    </a:prstGeom>
                    <a:noFill/>
                  </pic:spPr>
                </pic:pic>
              </a:graphicData>
            </a:graphic>
          </wp:anchor>
        </w:drawing>
        <w:t>in the case of warrants for the purchase of preferred stock or common stock, the right to vote or to receive any payments of dividends on the preferred stock or common stock purchasable upon exercise.</w:t>
      </w:r>
    </w:p>
    <w:p>
      <w:pPr>
        <w:spacing w:after="0" w:line="125" w:lineRule="exact"/>
        <w:rPr>
          <w:sz w:val="20"/>
          <w:szCs w:val="20"/>
          <w:color w:val="auto"/>
        </w:rPr>
      </w:pPr>
    </w:p>
    <w:p>
      <w:pPr>
        <w:jc w:val="both"/>
        <w:ind w:left="240" w:right="359" w:firstLine="341"/>
        <w:spacing w:after="0" w:line="260"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DESCRIPTION OF UNITS</w:t>
      </w:r>
    </w:p>
    <w:p>
      <w:pPr>
        <w:spacing w:after="0" w:line="176" w:lineRule="exact"/>
        <w:rPr>
          <w:sz w:val="20"/>
          <w:szCs w:val="20"/>
          <w:color w:val="auto"/>
        </w:rPr>
      </w:pPr>
    </w:p>
    <w:p>
      <w:pPr>
        <w:ind w:left="240" w:right="739" w:firstLine="341"/>
        <w:spacing w:after="0" w:line="281" w:lineRule="auto"/>
        <w:rPr>
          <w:sz w:val="20"/>
          <w:szCs w:val="20"/>
          <w:color w:val="auto"/>
        </w:rPr>
      </w:pPr>
      <w:r>
        <w:rPr>
          <w:rFonts w:ascii="Times New Roman" w:cs="Times New Roman" w:eastAsia="Times New Roman" w:hAnsi="Times New Roman"/>
          <w:sz w:val="14"/>
          <w:szCs w:val="14"/>
          <w:color w:val="auto"/>
        </w:rPr>
        <w:t>We may issue units consisting of common stock, preferred stock, debt securities and warrants, or any combination of those securities. The prospectus supplement relating to the offering of such units will describe their terms, including the following:</w:t>
      </w:r>
    </w:p>
    <w:p>
      <w:pPr>
        <w:spacing w:after="0" w:line="52" w:lineRule="exact"/>
        <w:rPr>
          <w:sz w:val="20"/>
          <w:szCs w:val="20"/>
          <w:color w:val="auto"/>
        </w:rPr>
      </w:pPr>
    </w:p>
    <w:p>
      <w:pPr>
        <w:ind w:left="980" w:right="259" w:hanging="327"/>
        <w:spacing w:after="0" w:line="281" w:lineRule="auto"/>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each of the securities included in the units, including whether and under what circumstances the securities included in the units may or may not be traded separately;</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unit agreement governing the units;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a discussion of certain U.S. federal income tax considerations; and</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the payment, settlement, transfer or exchange of the units.</w:t>
      </w:r>
    </w:p>
    <w:p>
      <w:pPr>
        <w:spacing w:after="0" w:line="174"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The description in an accompanying prospectus supplement of any units we offer will not necessarily be complete and will be qualified in its entirety by reference to the applicable units agreement, if any, or documents governing the units or the components of the units, which will be filed with the SEC if we offer units. For more information on how you can obtain copies of any agreement if we offer units, see “Where You Can Find More Information.” We urge you to read the applicable unit agreement and any accompanying prospectus supplement in their entirety.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8" w:right="1440"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01535" cy="32385"/>
                    </a:xfrm>
                    <a:prstGeom prst="rect">
                      <a:avLst/>
                    </a:prstGeom>
                    <a:noFill/>
                  </pic:spPr>
                </pic:pic>
              </a:graphicData>
            </a:graphic>
          </wp:anchor>
        </w:drawing>
        <w:t>PLAN OF DISTRIBUTION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may sell any of the securities being offered by this prospectus separately or together:</w:t>
      </w:r>
    </w:p>
    <w:p>
      <w:pPr>
        <w:spacing w:after="0" w:line="101" w:lineRule="exact"/>
        <w:rPr>
          <w:sz w:val="20"/>
          <w:szCs w:val="20"/>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who may act directly or through a syndicate represented by one or more managing underwriters;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00" w:lineRule="exact"/>
        <w:rPr>
          <w:rFonts w:ascii="Times New Roman" w:cs="Times New Roman" w:eastAsia="Times New Roman" w:hAnsi="Times New Roman"/>
          <w:sz w:val="14"/>
          <w:szCs w:val="14"/>
          <w:color w:val="auto"/>
        </w:rPr>
      </w:pPr>
    </w:p>
    <w:p>
      <w:pPr>
        <w:ind w:left="980" w:right="419" w:hanging="327"/>
        <w:spacing w:after="0" w:line="281" w:lineRule="auto"/>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block trade in which the broker or dealer engaged to handle the block trade will attempt to sell the securities as agent, but may position and resell a portion of the block as principal to facilitate the transaction;</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exchange for our outstanding indebtedness;</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through a specific bidding, auction or other process; or</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74" w:lineRule="exact"/>
        <w:rPr>
          <w:sz w:val="20"/>
          <w:szCs w:val="20"/>
          <w:color w:val="auto"/>
        </w:rPr>
      </w:pPr>
    </w:p>
    <w:p>
      <w:pPr>
        <w:ind w:left="240" w:right="559" w:firstLine="341"/>
        <w:spacing w:after="0" w:line="281" w:lineRule="auto"/>
        <w:rPr>
          <w:sz w:val="20"/>
          <w:szCs w:val="20"/>
          <w:color w:val="auto"/>
        </w:rPr>
      </w:pPr>
      <w:r>
        <w:rPr>
          <w:rFonts w:ascii="Times New Roman" w:cs="Times New Roman" w:eastAsia="Times New Roman" w:hAnsi="Times New Roman"/>
          <w:sz w:val="14"/>
          <w:szCs w:val="14"/>
          <w:color w:val="auto"/>
        </w:rPr>
        <w:t>If the securities offered under this prospectus are issued in exchange for our outstanding securities, the applicable prospectus supplement will describe the terms of the exchange, and the identity and the terms of sale of the securities offered under this prospectus.</w:t>
      </w:r>
    </w:p>
    <w:p>
      <w:pPr>
        <w:spacing w:after="0" w:line="125" w:lineRule="exact"/>
        <w:rPr>
          <w:sz w:val="20"/>
          <w:szCs w:val="20"/>
          <w:color w:val="auto"/>
        </w:rPr>
      </w:pPr>
    </w:p>
    <w:p>
      <w:pPr>
        <w:ind w:left="240" w:right="599" w:firstLine="341"/>
        <w:spacing w:after="0" w:line="281" w:lineRule="auto"/>
        <w:rPr>
          <w:sz w:val="20"/>
          <w:szCs w:val="20"/>
          <w:color w:val="auto"/>
        </w:rPr>
      </w:pPr>
      <w:r>
        <w:rPr>
          <w:rFonts w:ascii="Times New Roman" w:cs="Times New Roman" w:eastAsia="Times New Roman" w:hAnsi="Times New Roman"/>
          <w:sz w:val="14"/>
          <w:szCs w:val="14"/>
          <w:color w:val="auto"/>
        </w:rPr>
        <w:t>The distribution of securities may be effected from time to time in one or more transactions at a fixed price or prices that may be changed, at market prices prevailing at the time of sale or prices related to prevailing market prices or at negotiated prices.</w:t>
      </w:r>
    </w:p>
    <w:p>
      <w:pPr>
        <w:spacing w:after="0" w:line="125" w:lineRule="exact"/>
        <w:rPr>
          <w:sz w:val="20"/>
          <w:szCs w:val="20"/>
          <w:color w:val="auto"/>
        </w:rPr>
      </w:pPr>
    </w:p>
    <w:p>
      <w:pPr>
        <w:ind w:left="240" w:right="259" w:firstLine="341"/>
        <w:spacing w:after="0" w:line="260" w:lineRule="auto"/>
        <w:rPr>
          <w:sz w:val="20"/>
          <w:szCs w:val="20"/>
          <w:color w:val="auto"/>
        </w:rPr>
      </w:pPr>
      <w:r>
        <w:rPr>
          <w:rFonts w:ascii="Times New Roman" w:cs="Times New Roman" w:eastAsia="Times New Roman" w:hAnsi="Times New Roman"/>
          <w:sz w:val="14"/>
          <w:szCs w:val="14"/>
          <w:color w:val="auto"/>
        </w:rPr>
        <w:t>Agents designated by us from time to time may solicit offers to purchase the securities. We will name any agent involved in the offer or sale of the securities and set forth any commissions payable by us to an agent in the prospectus supplement or pricing supplement for that transaction. Unless otherwise indicated in the prospectus supplement or pricing supplement, any agent will be acting on a best efforts basis for the period of its appointment. Any agent may be deemed to be an “underwriter” of the securities as that term is defined in the Securities Act.</w:t>
      </w:r>
    </w:p>
    <w:p>
      <w:pPr>
        <w:spacing w:after="0" w:line="140"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w:t>
      </w:r>
    </w:p>
    <w:p>
      <w:pPr>
        <w:spacing w:after="0" w:line="14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w:t>
      </w:r>
    </w:p>
    <w:p>
      <w:pPr>
        <w:spacing w:after="0" w:line="136" w:lineRule="exact"/>
        <w:rPr>
          <w:sz w:val="20"/>
          <w:szCs w:val="20"/>
          <w:color w:val="auto"/>
        </w:rPr>
      </w:pPr>
    </w:p>
    <w:p>
      <w:pPr>
        <w:ind w:left="240" w:right="299" w:firstLine="341"/>
        <w:spacing w:after="0" w:line="265" w:lineRule="auto"/>
        <w:rPr>
          <w:sz w:val="20"/>
          <w:szCs w:val="20"/>
          <w:color w:val="auto"/>
        </w:rPr>
      </w:pPr>
      <w:r>
        <w:rPr>
          <w:rFonts w:ascii="Times New Roman" w:cs="Times New Roman" w:eastAsia="Times New Roman" w:hAnsi="Times New Roman"/>
          <w:sz w:val="14"/>
          <w:szCs w:val="14"/>
          <w:color w:val="auto"/>
        </w:rPr>
        <w:t>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w:t>
      </w:r>
    </w:p>
    <w:p>
      <w:pPr>
        <w:spacing w:after="0" w:line="136" w:lineRule="exact"/>
        <w:rPr>
          <w:sz w:val="20"/>
          <w:szCs w:val="20"/>
          <w:color w:val="auto"/>
        </w:rPr>
      </w:pPr>
    </w:p>
    <w:p>
      <w:pPr>
        <w:ind w:left="240" w:right="399" w:firstLine="341"/>
        <w:spacing w:after="0" w:line="281" w:lineRule="auto"/>
        <w:rPr>
          <w:sz w:val="20"/>
          <w:szCs w:val="20"/>
          <w:color w:val="auto"/>
        </w:rPr>
      </w:pPr>
      <w:r>
        <w:rPr>
          <w:rFonts w:ascii="Times New Roman" w:cs="Times New Roman" w:eastAsia="Times New Roman" w:hAnsi="Times New Roman"/>
          <w:sz w:val="14"/>
          <w:szCs w:val="14"/>
          <w:color w:val="auto"/>
        </w:rPr>
        <w:t>Agreements we enter into with agents, underwriters and dealers may entitle them to indemnification by us against specified liabilities, including liabilities under the Securities Act, or to contribution by us to payments</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38" w:right="1440" w:bottom="1440" w:gutter="0" w:footer="0" w:header="0"/>
        </w:sectPr>
      </w:pPr>
    </w:p>
    <w:bookmarkStart w:id="58" w:name="page59"/>
    <w:bookmarkEnd w:id="58"/>
    <w:p>
      <w:pPr>
        <w:ind w:left="240" w:right="259"/>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w:t>
      </w:r>
    </w:p>
    <w:p>
      <w:pPr>
        <w:spacing w:after="0" w:line="136"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w:t>
      </w:r>
    </w:p>
    <w:p>
      <w:pPr>
        <w:spacing w:after="0" w:line="145" w:lineRule="exact"/>
        <w:rPr>
          <w:sz w:val="20"/>
          <w:szCs w:val="20"/>
          <w:color w:val="auto"/>
        </w:rPr>
      </w:pPr>
    </w:p>
    <w:p>
      <w:pPr>
        <w:ind w:left="240" w:right="339" w:firstLine="341"/>
        <w:spacing w:after="0" w:line="281" w:lineRule="auto"/>
        <w:rPr>
          <w:sz w:val="20"/>
          <w:szCs w:val="20"/>
          <w:color w:val="auto"/>
        </w:rPr>
      </w:pPr>
      <w:r>
        <w:rPr>
          <w:rFonts w:ascii="Times New Roman" w:cs="Times New Roman" w:eastAsia="Times New Roman" w:hAnsi="Times New Roman"/>
          <w:sz w:val="14"/>
          <w:szCs w:val="14"/>
          <w:color w:val="auto"/>
        </w:rPr>
        <w:t>No securities may be sold under this prospectus without delivery (in paper format, in electronic format, in electronic format on the Internet, or by other means) of the applicable prospectus supplement or pricing supplement describing the method and terms of the offering.</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LEGAL MATTERS</w:t>
      </w:r>
    </w:p>
    <w:p>
      <w:pPr>
        <w:spacing w:after="0" w:line="176" w:lineRule="exact"/>
        <w:rPr>
          <w:sz w:val="20"/>
          <w:szCs w:val="20"/>
          <w:color w:val="auto"/>
        </w:rPr>
      </w:pPr>
    </w:p>
    <w:p>
      <w:pPr>
        <w:ind w:left="240" w:right="279" w:firstLine="341"/>
        <w:spacing w:after="0" w:line="295" w:lineRule="auto"/>
        <w:rPr>
          <w:sz w:val="20"/>
          <w:szCs w:val="20"/>
          <w:color w:val="auto"/>
        </w:rPr>
      </w:pPr>
      <w:r>
        <w:rPr>
          <w:rFonts w:ascii="Times New Roman" w:cs="Times New Roman" w:eastAsia="Times New Roman" w:hAnsi="Times New Roman"/>
          <w:sz w:val="13"/>
          <w:szCs w:val="13"/>
          <w:color w:val="auto"/>
        </w:rPr>
        <w:t>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201535" cy="32385"/>
                    </a:xfrm>
                    <a:prstGeom prst="rect">
                      <a:avLst/>
                    </a:prstGeom>
                    <a:noFill/>
                  </pic:spPr>
                </pic:pic>
              </a:graphicData>
            </a:graphic>
          </wp:anchor>
        </w:drawing>
        <w:t>EXPERTS</w:t>
      </w:r>
    </w:p>
    <w:p>
      <w:pPr>
        <w:spacing w:after="0" w:line="176" w:lineRule="exact"/>
        <w:rPr>
          <w:sz w:val="20"/>
          <w:szCs w:val="20"/>
          <w:color w:val="auto"/>
        </w:rPr>
      </w:pPr>
    </w:p>
    <w:p>
      <w:pPr>
        <w:ind w:left="240" w:right="299" w:firstLine="341"/>
        <w:spacing w:after="0" w:line="260" w:lineRule="auto"/>
        <w:rPr>
          <w:sz w:val="20"/>
          <w:szCs w:val="20"/>
          <w:color w:val="auto"/>
        </w:rPr>
      </w:pPr>
      <w:r>
        <w:rPr>
          <w:rFonts w:ascii="Times New Roman" w:cs="Times New Roman" w:eastAsia="Times New Roman" w:hAnsi="Times New Roman"/>
          <w:sz w:val="14"/>
          <w:szCs w:val="14"/>
          <w:color w:val="auto"/>
        </w:rPr>
        <w:t>The consolidated financial statements of Navient Corporation and subsidiaries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201535" cy="32385"/>
                    </a:xfrm>
                    <a:prstGeom prst="rect">
                      <a:avLst/>
                    </a:prstGeom>
                    <a:noFill/>
                  </pic:spPr>
                </pic:pic>
              </a:graphicData>
            </a:graphic>
          </wp:anchor>
        </w:drawing>
        <w:t>WHERE YOU CAN FIND MORE INFORMATION</w:t>
      </w:r>
    </w:p>
    <w:p>
      <w:pPr>
        <w:spacing w:after="0" w:line="176"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under the Exchange Act. Our SEC filings are available to the public at the SEC’s website at </w:t>
      </w:r>
      <w:r>
        <w:rPr>
          <w:rFonts w:ascii="Times New Roman" w:cs="Times New Roman" w:eastAsia="Times New Roman" w:hAnsi="Times New Roman"/>
          <w:sz w:val="14"/>
          <w:szCs w:val="14"/>
          <w:u w:val="single" w:color="auto"/>
          <w:color w:val="auto"/>
        </w:rPr>
        <w:t>www.sec.gov</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40" w:right="319" w:firstLine="341"/>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w:t>
      </w:r>
    </w:p>
    <w:p>
      <w:pPr>
        <w:spacing w:after="0" w:line="74" w:lineRule="exact"/>
        <w:rPr>
          <w:sz w:val="20"/>
          <w:szCs w:val="20"/>
          <w:color w:val="auto"/>
        </w:rPr>
      </w:pPr>
    </w:p>
    <w:p>
      <w:pPr>
        <w:ind w:left="980" w:right="29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our amended registration statement on </w:t>
      </w:r>
      <w:hyperlink r:id="rId84">
        <w:r>
          <w:rPr>
            <w:rFonts w:ascii="Times New Roman" w:cs="Times New Roman" w:eastAsia="Times New Roman" w:hAnsi="Times New Roman"/>
            <w:sz w:val="14"/>
            <w:szCs w:val="14"/>
            <w:u w:val="single" w:color="auto"/>
            <w:color w:val="0000EE"/>
          </w:rPr>
          <w:t>Form 10</w:t>
        </w:r>
      </w:hyperlink>
      <w:r>
        <w:rPr>
          <w:rFonts w:ascii="Times New Roman" w:cs="Times New Roman" w:eastAsia="Times New Roman" w:hAnsi="Times New Roman"/>
          <w:sz w:val="14"/>
          <w:szCs w:val="14"/>
          <w:color w:val="auto"/>
        </w:rPr>
        <w:t>, filed with the SEC on April 10, 2014, and any further amendment or report filed for the purpose of updating such description;</w:t>
      </w:r>
    </w:p>
    <w:p>
      <w:pPr>
        <w:spacing w:after="0" w:line="52"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as amended by Amendment No. 1 on Form 10-K/A, for the fiscal year ended December 31, 2024, filed with the SEC on </w:t>
      </w:r>
      <w:hyperlink r:id="rId85">
        <w:r>
          <w:rPr>
            <w:rFonts w:ascii="Times New Roman" w:cs="Times New Roman" w:eastAsia="Times New Roman" w:hAnsi="Times New Roman"/>
            <w:sz w:val="14"/>
            <w:szCs w:val="14"/>
            <w:u w:val="single" w:color="auto"/>
            <w:color w:val="0000EE"/>
          </w:rPr>
          <w:t>February 27,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86">
        <w:r>
          <w:rPr>
            <w:rFonts w:ascii="Times New Roman" w:cs="Times New Roman" w:eastAsia="Times New Roman" w:hAnsi="Times New Roman"/>
            <w:sz w:val="14"/>
            <w:szCs w:val="14"/>
            <w:u w:val="single" w:color="auto"/>
            <w:color w:val="0000EE"/>
          </w:rPr>
          <w:t>March 4, 2025</w:t>
        </w:r>
      </w:hyperlink>
      <w:r>
        <w:rPr>
          <w:rFonts w:ascii="Times New Roman" w:cs="Times New Roman" w:eastAsia="Times New Roman" w:hAnsi="Times New Roman"/>
          <w:sz w:val="14"/>
          <w:szCs w:val="14"/>
          <w:color w:val="auto"/>
        </w:rPr>
        <w:t>, respectively;</w:t>
      </w:r>
    </w:p>
    <w:p>
      <w:pPr>
        <w:spacing w:after="0" w:line="52"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87">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2025, filed with the SEC on April 30, 2025;</w:t>
      </w:r>
    </w:p>
    <w:p>
      <w:pPr>
        <w:spacing w:after="0" w:line="100" w:lineRule="exact"/>
        <w:rPr>
          <w:rFonts w:ascii="Times New Roman" w:cs="Times New Roman" w:eastAsia="Times New Roman" w:hAnsi="Times New Roman"/>
          <w:sz w:val="14"/>
          <w:szCs w:val="14"/>
          <w:color w:val="auto"/>
        </w:rPr>
      </w:pPr>
    </w:p>
    <w:p>
      <w:pPr>
        <w:ind w:left="980" w:hanging="327"/>
        <w:spacing w:after="0"/>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w:t>
      </w:r>
      <w:hyperlink r:id="rId88">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filed with the SEC on April 4, 2025; and</w:t>
      </w:r>
    </w:p>
    <w:p>
      <w:pPr>
        <w:spacing w:after="0" w:line="100" w:lineRule="exact"/>
        <w:rPr>
          <w:rFonts w:ascii="Times New Roman" w:cs="Times New Roman" w:eastAsia="Times New Roman" w:hAnsi="Times New Roman"/>
          <w:sz w:val="14"/>
          <w:szCs w:val="14"/>
          <w:color w:val="auto"/>
        </w:rPr>
      </w:pPr>
    </w:p>
    <w:p>
      <w:pPr>
        <w:ind w:left="980" w:right="299" w:hanging="327"/>
        <w:spacing w:after="0" w:line="281" w:lineRule="auto"/>
        <w:tabs>
          <w:tab w:leader="none" w:pos="9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85">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2024 from our </w:t>
      </w:r>
      <w:hyperlink r:id="rId89">
        <w:r>
          <w:rPr>
            <w:rFonts w:ascii="Times New Roman" w:cs="Times New Roman" w:eastAsia="Times New Roman" w:hAnsi="Times New Roman"/>
            <w:sz w:val="14"/>
            <w:szCs w:val="14"/>
            <w:u w:val="single" w:color="auto"/>
            <w:color w:val="0000EE"/>
          </w:rPr>
          <w:t>definitive proxy statement on Schedule 14A</w:t>
        </w:r>
      </w:hyperlink>
      <w:r>
        <w:rPr>
          <w:rFonts w:ascii="Times New Roman" w:cs="Times New Roman" w:eastAsia="Times New Roman" w:hAnsi="Times New Roman"/>
          <w:sz w:val="14"/>
          <w:szCs w:val="14"/>
          <w:color w:val="auto"/>
        </w:rPr>
        <w:t>, filed with the SEC on April 17, 2025.</w:t>
      </w:r>
    </w:p>
    <w:p>
      <w:pPr>
        <w:spacing w:after="0" w:line="125" w:lineRule="exact"/>
        <w:rPr>
          <w:rFonts w:ascii="Times New Roman" w:cs="Times New Roman" w:eastAsia="Times New Roman" w:hAnsi="Times New Roman"/>
          <w:sz w:val="14"/>
          <w:szCs w:val="14"/>
          <w:color w:val="auto"/>
        </w:rPr>
      </w:pPr>
    </w:p>
    <w:p>
      <w:pPr>
        <w:ind w:left="240" w:right="319" w:firstLine="341"/>
        <w:spacing w:after="0" w:line="295" w:lineRule="auto"/>
        <w:rPr>
          <w:sz w:val="20"/>
          <w:szCs w:val="20"/>
          <w:color w:val="auto"/>
        </w:rPr>
      </w:pPr>
      <w:r>
        <w:rPr>
          <w:rFonts w:ascii="Times New Roman" w:cs="Times New Roman" w:eastAsia="Times New Roman" w:hAnsi="Times New Roman"/>
          <w:sz w:val="13"/>
          <w:szCs w:val="13"/>
          <w:color w:val="auto"/>
        </w:rPr>
        <w:t>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w:t>
      </w:r>
    </w:p>
    <w:p>
      <w:pPr>
        <w:spacing w:after="0" w:line="118" w:lineRule="exact"/>
        <w:rPr>
          <w:rFonts w:ascii="Times New Roman" w:cs="Times New Roman" w:eastAsia="Times New Roman" w:hAnsi="Times New Roman"/>
          <w:sz w:val="14"/>
          <w:szCs w:val="14"/>
          <w:color w:val="auto"/>
        </w:rPr>
      </w:pPr>
    </w:p>
    <w:p>
      <w:pPr>
        <w:ind w:left="240" w:right="459" w:firstLine="341"/>
        <w:spacing w:after="0" w:line="260" w:lineRule="auto"/>
        <w:rPr>
          <w:sz w:val="20"/>
          <w:szCs w:val="20"/>
          <w:color w:val="auto"/>
        </w:rPr>
      </w:pPr>
      <w:r>
        <w:rPr>
          <w:rFonts w:ascii="Times New Roman" w:cs="Times New Roman" w:eastAsia="Times New Roman" w:hAnsi="Times New Roman"/>
          <w:sz w:val="14"/>
          <w:szCs w:val="14"/>
          <w:color w:val="auto"/>
        </w:rPr>
        <w:t>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w:t>
      </w:r>
    </w:p>
    <w:p>
      <w:pPr>
        <w:spacing w:after="0" w:line="140"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Navient Corporation</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13865 Sunrise Valley Drive</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Herndon, Virginia 20171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Telephone: (703) 810-3000</w:t>
      </w:r>
    </w:p>
    <w:p>
      <w:pPr>
        <w:spacing w:after="0" w:line="159" w:lineRule="exact"/>
        <w:rPr>
          <w:rFonts w:ascii="Times New Roman" w:cs="Times New Roman" w:eastAsia="Times New Roman" w:hAnsi="Times New Roman"/>
          <w:sz w:val="14"/>
          <w:szCs w:val="14"/>
          <w:color w:val="auto"/>
        </w:rPr>
      </w:pPr>
    </w:p>
    <w:p>
      <w:pPr>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You should rely only on the information incorporated by reference or provided in this prospectus and any prospectus supplement. We have not authorized anyone else to provide you with different information. You should not assume that the information in this prospectus or any prospectus supplement is accurate as of any date other than the date on the front of these documents.</w:t>
      </w:r>
    </w:p>
    <w:p>
      <w:pPr>
        <w:spacing w:after="0" w:line="8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38" w:right="1440" w:bottom="1440" w:gutter="0" w:footer="0" w:header="0"/>
        </w:sectPr>
      </w:pPr>
    </w:p>
    <w:bookmarkStart w:id="62" w:name="page63"/>
    <w:bookmarkEnd w:id="62"/>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201535" cy="32385"/>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182245</wp:posOffset>
            </wp:positionV>
            <wp:extent cx="5422265"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422265" cy="13335"/>
                    </a:xfrm>
                    <a:prstGeom prst="rect">
                      <a:avLst/>
                    </a:prstGeom>
                    <a:noFill/>
                  </pic:spPr>
                </pic:pic>
              </a:graphicData>
            </a:graphic>
          </wp:anchor>
        </w:drawing>
        <w:drawing>
          <wp:anchor simplePos="0" relativeHeight="251657728" behindDoc="1" locked="0" layoutInCell="0" allowOverlap="1">
            <wp:simplePos x="0" y="0"/>
            <wp:positionH relativeFrom="page">
              <wp:posOffset>1063625</wp:posOffset>
            </wp:positionH>
            <wp:positionV relativeFrom="page">
              <wp:posOffset>221615</wp:posOffset>
            </wp:positionV>
            <wp:extent cx="542226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page">
              <wp:posOffset>3096895</wp:posOffset>
            </wp:positionH>
            <wp:positionV relativeFrom="page">
              <wp:posOffset>740410</wp:posOffset>
            </wp:positionV>
            <wp:extent cx="1355725" cy="2393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355725" cy="2393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3"/>
          <w:szCs w:val="33"/>
          <w:b w:val="1"/>
          <w:bCs w:val="1"/>
          <w:color w:val="auto"/>
        </w:rPr>
        <w:t>NAVIENT CORPORATION</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$500,000,000 9.375%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1308735</wp:posOffset>
            </wp:positionV>
            <wp:extent cx="114300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184150</wp:posOffset>
            </wp:positionV>
            <wp:extent cx="11430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BofA Securities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Barclays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J.P. Morgan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2288540</wp:posOffset>
            </wp:positionH>
            <wp:positionV relativeFrom="paragraph">
              <wp:posOffset>197485</wp:posOffset>
            </wp:positionV>
            <wp:extent cx="11430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1430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340360</wp:posOffset>
            </wp:positionV>
            <wp:extent cx="542226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5422265" cy="6350"/>
                    </a:xfrm>
                    <a:prstGeom prst="rect">
                      <a:avLst/>
                    </a:prstGeom>
                    <a:noFill/>
                  </pic:spPr>
                </pic:pic>
              </a:graphicData>
            </a:graphic>
          </wp:anchor>
        </w:drawing>
        <w:drawing>
          <wp:anchor simplePos="0" relativeHeight="251657728" behindDoc="1" locked="0" layoutInCell="0" allowOverlap="1">
            <wp:simplePos x="0" y="0"/>
            <wp:positionH relativeFrom="column">
              <wp:posOffset>149225</wp:posOffset>
            </wp:positionH>
            <wp:positionV relativeFrom="paragraph">
              <wp:posOffset>386715</wp:posOffset>
            </wp:positionV>
            <wp:extent cx="5422265"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542226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NAVIENT CORP</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gridSpan w:val="2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8"/>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1020" w:type="dxa"/>
            <w:vAlign w:val="bottom"/>
            <w:tcBorders>
              <w:left w:val="single" w:sz="8" w:color="auto"/>
              <w:right w:val="single" w:sz="8" w:color="9ADAF6"/>
            </w:tcBorders>
            <w:gridSpan w:val="7"/>
          </w:tcPr>
          <w:p>
            <w:pPr>
              <w:spacing w:after="0"/>
              <w:rPr>
                <w:sz w:val="16"/>
                <w:szCs w:val="16"/>
                <w:color w:val="auto"/>
              </w:rPr>
            </w:pPr>
          </w:p>
        </w:tc>
        <w:tc>
          <w:tcPr>
            <w:tcW w:w="740" w:type="dxa"/>
            <w:vAlign w:val="bottom"/>
            <w:tcBorders>
              <w:right w:val="single" w:sz="8" w:color="9ADAF6"/>
            </w:tcBorders>
            <w:gridSpan w:val="3"/>
            <w:shd w:val="clear" w:color="auto" w:fill="9ADAF6"/>
          </w:tcPr>
          <w:p>
            <w:pPr>
              <w:spacing w:after="0"/>
              <w:rPr>
                <w:sz w:val="16"/>
                <w:szCs w:val="16"/>
                <w:color w:val="auto"/>
              </w:rPr>
            </w:pPr>
          </w:p>
        </w:tc>
        <w:tc>
          <w:tcPr>
            <w:tcW w:w="7880" w:type="dxa"/>
            <w:vAlign w:val="bottom"/>
            <w:tcBorders>
              <w:right w:val="single" w:sz="8" w:color="9ADAF6"/>
            </w:tcBorders>
            <w:gridSpan w:val="51"/>
            <w:shd w:val="clear" w:color="auto" w:fill="9ADAF6"/>
          </w:tcPr>
          <w:p>
            <w:pPr>
              <w:spacing w:after="0"/>
              <w:rPr>
                <w:sz w:val="16"/>
                <w:szCs w:val="16"/>
                <w:color w:val="auto"/>
              </w:rPr>
            </w:pPr>
          </w:p>
        </w:tc>
        <w:tc>
          <w:tcPr>
            <w:tcW w:w="740" w:type="dxa"/>
            <w:vAlign w:val="bottom"/>
            <w:tcBorders>
              <w:right w:val="single" w:sz="8" w:color="9ADAF6"/>
            </w:tcBorders>
            <w:gridSpan w:val="3"/>
          </w:tcPr>
          <w:p>
            <w:pPr>
              <w:spacing w:after="0"/>
              <w:rPr>
                <w:sz w:val="16"/>
                <w:szCs w:val="16"/>
                <w:color w:val="auto"/>
              </w:rPr>
            </w:pPr>
          </w:p>
        </w:tc>
        <w:tc>
          <w:tcPr>
            <w:tcW w:w="98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9ADAF6"/>
            </w:tcBorders>
            <w:gridSpan w:val="7"/>
          </w:tcPr>
          <w:p>
            <w:pPr>
              <w:spacing w:after="0"/>
              <w:rPr>
                <w:sz w:val="16"/>
                <w:szCs w:val="16"/>
                <w:color w:val="auto"/>
              </w:rPr>
            </w:pPr>
          </w:p>
        </w:tc>
        <w:tc>
          <w:tcPr>
            <w:tcW w:w="740" w:type="dxa"/>
            <w:vAlign w:val="bottom"/>
            <w:tcBorders>
              <w:right w:val="single" w:sz="8" w:color="9ADAF6"/>
            </w:tcBorders>
            <w:gridSpan w:val="3"/>
            <w:shd w:val="clear" w:color="auto" w:fill="9ADAF6"/>
          </w:tcPr>
          <w:p>
            <w:pPr>
              <w:spacing w:after="0"/>
              <w:rPr>
                <w:sz w:val="16"/>
                <w:szCs w:val="16"/>
                <w:color w:val="auto"/>
              </w:rPr>
            </w:pPr>
          </w:p>
        </w:tc>
        <w:tc>
          <w:tcPr>
            <w:tcW w:w="7880" w:type="dxa"/>
            <w:vAlign w:val="bottom"/>
            <w:tcBorders>
              <w:right w:val="single" w:sz="8" w:color="9ADAF6"/>
            </w:tcBorders>
            <w:gridSpan w:val="51"/>
            <w:shd w:val="clear" w:color="auto" w:fill="9ADAF6"/>
          </w:tcPr>
          <w:p>
            <w:pPr>
              <w:spacing w:after="0"/>
              <w:rPr>
                <w:sz w:val="16"/>
                <w:szCs w:val="16"/>
                <w:color w:val="auto"/>
              </w:rPr>
            </w:pPr>
          </w:p>
        </w:tc>
        <w:tc>
          <w:tcPr>
            <w:tcW w:w="740" w:type="dxa"/>
            <w:vAlign w:val="bottom"/>
            <w:tcBorders>
              <w:right w:val="single" w:sz="8" w:color="9ADAF6"/>
            </w:tcBorders>
            <w:gridSpan w:val="3"/>
          </w:tcPr>
          <w:p>
            <w:pPr>
              <w:spacing w:after="0"/>
              <w:rPr>
                <w:sz w:val="16"/>
                <w:szCs w:val="16"/>
                <w:color w:val="auto"/>
              </w:rPr>
            </w:pPr>
          </w:p>
        </w:tc>
        <w:tc>
          <w:tcPr>
            <w:tcW w:w="980" w:type="dxa"/>
            <w:vAlign w:val="bottom"/>
            <w:tcBorders>
              <w:right w:val="single" w:sz="8" w:color="auto"/>
            </w:tcBorders>
            <w:gridSpan w:val="6"/>
          </w:tcPr>
          <w:p>
            <w:pPr>
              <w:spacing w:after="0"/>
              <w:rPr>
                <w:sz w:val="20"/>
                <w:szCs w:val="20"/>
                <w:color w:val="auto"/>
              </w:rPr>
            </w:pPr>
            <w:r>
              <w:rPr>
                <w:rFonts w:ascii="Arial" w:cs="Arial" w:eastAsia="Arial" w:hAnsi="Arial"/>
                <w:sz w:val="17"/>
                <w:szCs w:val="17"/>
                <w:b w:val="1"/>
                <w:bCs w:val="1"/>
                <w:color w:val="auto"/>
              </w:rPr>
              <w:t>Previously</w:t>
            </w: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9ADAF6"/>
            </w:tcBorders>
            <w:gridSpan w:val="7"/>
          </w:tcPr>
          <w:p>
            <w:pPr>
              <w:spacing w:after="0"/>
              <w:rPr>
                <w:sz w:val="16"/>
                <w:szCs w:val="16"/>
                <w:color w:val="auto"/>
              </w:rPr>
            </w:pPr>
          </w:p>
        </w:tc>
        <w:tc>
          <w:tcPr>
            <w:tcW w:w="740" w:type="dxa"/>
            <w:vAlign w:val="bottom"/>
            <w:tcBorders>
              <w:right w:val="single" w:sz="8" w:color="9ADAF6"/>
            </w:tcBorders>
            <w:gridSpan w:val="3"/>
            <w:shd w:val="clear" w:color="auto" w:fill="9ADAF6"/>
          </w:tcPr>
          <w:p>
            <w:pPr>
              <w:spacing w:after="0"/>
              <w:rPr>
                <w:sz w:val="16"/>
                <w:szCs w:val="16"/>
                <w:color w:val="auto"/>
              </w:rPr>
            </w:pPr>
          </w:p>
        </w:tc>
        <w:tc>
          <w:tcPr>
            <w:tcW w:w="660" w:type="dxa"/>
            <w:vAlign w:val="bottom"/>
            <w:gridSpan w:val="6"/>
            <w:shd w:val="clear" w:color="auto" w:fill="9ADAF6"/>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1000" w:type="dxa"/>
            <w:vAlign w:val="bottom"/>
            <w:gridSpan w:val="6"/>
          </w:tcPr>
          <w:p>
            <w:pPr>
              <w:spacing w:after="0"/>
              <w:rPr>
                <w:sz w:val="16"/>
                <w:szCs w:val="16"/>
                <w:color w:val="auto"/>
              </w:rPr>
            </w:pPr>
          </w:p>
        </w:tc>
        <w:tc>
          <w:tcPr>
            <w:tcW w:w="80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4500" w:type="dxa"/>
            <w:vAlign w:val="bottom"/>
            <w:tcBorders>
              <w:right w:val="single" w:sz="8" w:color="9ADAF6"/>
            </w:tcBorders>
            <w:gridSpan w:val="33"/>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180" w:type="dxa"/>
            <w:vAlign w:val="bottom"/>
            <w:tcBorders>
              <w:right w:val="single" w:sz="8" w:color="9ADAF6"/>
            </w:tcBorders>
            <w:gridSpan w:val="2"/>
          </w:tcPr>
          <w:p>
            <w:pPr>
              <w:spacing w:after="0"/>
              <w:rPr>
                <w:sz w:val="16"/>
                <w:szCs w:val="16"/>
                <w:color w:val="auto"/>
              </w:rPr>
            </w:pPr>
          </w:p>
        </w:tc>
        <w:tc>
          <w:tcPr>
            <w:tcW w:w="800" w:type="dxa"/>
            <w:vAlign w:val="bottom"/>
            <w:tcBorders>
              <w:right w:val="single" w:sz="8" w:color="auto"/>
            </w:tcBorders>
            <w:gridSpan w:val="4"/>
            <w:shd w:val="clear" w:color="auto" w:fill="9ADAF6"/>
          </w:tcPr>
          <w:p>
            <w:pP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40" w:type="dxa"/>
            <w:vAlign w:val="bottom"/>
            <w:shd w:val="clear" w:color="auto" w:fill="9ADAF6"/>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5"/>
            <w:vMerge w:val="restart"/>
            <w:shd w:val="clear" w:color="auto" w:fill="9ADAF6"/>
          </w:tcPr>
          <w:p>
            <w:pPr>
              <w:spacing w:after="0"/>
              <w:rPr>
                <w:sz w:val="20"/>
                <w:szCs w:val="20"/>
                <w:color w:val="auto"/>
              </w:rPr>
            </w:pPr>
            <w:r>
              <w:rPr>
                <w:rFonts w:ascii="Arial" w:cs="Arial" w:eastAsia="Arial" w:hAnsi="Arial"/>
                <w:sz w:val="17"/>
                <w:szCs w:val="17"/>
                <w:b w:val="1"/>
                <w:bCs w:val="1"/>
                <w:color w:val="auto"/>
                <w:w w:val="89"/>
              </w:rPr>
              <w:t>Security</w:t>
            </w:r>
          </w:p>
        </w:tc>
        <w:tc>
          <w:tcPr>
            <w:tcW w:w="4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9ADAF6"/>
          </w:tcPr>
          <w:p>
            <w:pPr>
              <w:spacing w:after="0"/>
              <w:rPr>
                <w:sz w:val="14"/>
                <w:szCs w:val="14"/>
                <w:color w:val="auto"/>
              </w:rPr>
            </w:pPr>
          </w:p>
        </w:tc>
        <w:tc>
          <w:tcPr>
            <w:tcW w:w="84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2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580" w:type="dxa"/>
            <w:vAlign w:val="bottom"/>
            <w:gridSpan w:val="5"/>
            <w:shd w:val="clear" w:color="auto" w:fill="9ADAF6"/>
          </w:tcPr>
          <w:p>
            <w:pPr>
              <w:jc w:val="center"/>
              <w:ind w:left="62"/>
              <w:spacing w:after="0" w:line="167" w:lineRule="exact"/>
              <w:rPr>
                <w:sz w:val="20"/>
                <w:szCs w:val="20"/>
                <w:color w:val="auto"/>
              </w:rPr>
            </w:pPr>
            <w:r>
              <w:rPr>
                <w:rFonts w:ascii="Arial" w:cs="Arial" w:eastAsia="Arial" w:hAnsi="Arial"/>
                <w:sz w:val="17"/>
                <w:szCs w:val="17"/>
                <w:b w:val="1"/>
                <w:bCs w:val="1"/>
                <w:color w:val="auto"/>
                <w:w w:val="98"/>
              </w:rPr>
              <w:t>Carry</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580" w:type="dxa"/>
            <w:vAlign w:val="bottom"/>
            <w:tcBorders>
              <w:right w:val="single" w:sz="8" w:color="9ADAF6"/>
            </w:tcBorders>
            <w:gridSpan w:val="5"/>
            <w:shd w:val="clear" w:color="auto" w:fill="9ADAF6"/>
          </w:tcPr>
          <w:p>
            <w:pPr>
              <w:jc w:val="center"/>
              <w:ind w:right="140"/>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tcBorders>
              <w:right w:val="single" w:sz="8" w:color="9ADAF6"/>
            </w:tcBorders>
            <w:gridSpan w:val="2"/>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gridSpan w:val="5"/>
            <w:shd w:val="clear" w:color="auto" w:fill="9ADAF6"/>
          </w:tcPr>
          <w:p>
            <w:pPr>
              <w:jc w:val="center"/>
              <w:ind w:right="40"/>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60" w:type="dxa"/>
            <w:vAlign w:val="bottom"/>
            <w:tcBorders>
              <w:right w:val="single" w:sz="8" w:color="9ADAF6"/>
            </w:tcBorders>
          </w:tcPr>
          <w:p>
            <w:pPr>
              <w:spacing w:after="0"/>
              <w:rPr>
                <w:sz w:val="10"/>
                <w:szCs w:val="10"/>
                <w:color w:val="auto"/>
              </w:rPr>
            </w:pPr>
          </w:p>
        </w:tc>
        <w:tc>
          <w:tcPr>
            <w:tcW w:w="660" w:type="dxa"/>
            <w:vAlign w:val="bottom"/>
            <w:gridSpan w:val="2"/>
            <w:vMerge w:val="restart"/>
            <w:shd w:val="clear" w:color="auto" w:fill="9ADAF6"/>
          </w:tcPr>
          <w:p>
            <w:pPr>
              <w:spacing w:after="0"/>
              <w:rPr>
                <w:sz w:val="20"/>
                <w:szCs w:val="20"/>
                <w:color w:val="auto"/>
              </w:rPr>
            </w:pPr>
            <w:r>
              <w:rPr>
                <w:rFonts w:ascii="Arial" w:cs="Arial" w:eastAsia="Arial" w:hAnsi="Arial"/>
                <w:sz w:val="17"/>
                <w:szCs w:val="17"/>
                <w:b w:val="1"/>
                <w:bCs w:val="1"/>
                <w:color w:val="auto"/>
                <w:w w:val="95"/>
              </w:rPr>
              <w:t>Security</w:t>
            </w:r>
          </w:p>
        </w:tc>
        <w:tc>
          <w:tcPr>
            <w:tcW w:w="80" w:type="dxa"/>
            <w:vAlign w:val="bottom"/>
            <w:tcBorders>
              <w:right w:val="single" w:sz="8" w:color="9ADAF6"/>
            </w:tcBorders>
          </w:tcPr>
          <w:p>
            <w:pPr>
              <w:spacing w:after="0"/>
              <w:rPr>
                <w:sz w:val="10"/>
                <w:szCs w:val="10"/>
                <w:color w:val="auto"/>
              </w:rPr>
            </w:pPr>
          </w:p>
        </w:tc>
        <w:tc>
          <w:tcPr>
            <w:tcW w:w="620" w:type="dxa"/>
            <w:vAlign w:val="bottom"/>
            <w:gridSpan w:val="5"/>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Calculation</w:t>
            </w:r>
          </w:p>
        </w:tc>
        <w:tc>
          <w:tcPr>
            <w:tcW w:w="20" w:type="dxa"/>
            <w:vAlign w:val="bottom"/>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940" w:type="dxa"/>
            <w:vAlign w:val="bottom"/>
            <w:gridSpan w:val="3"/>
            <w:vMerge w:val="restart"/>
            <w:shd w:val="clear" w:color="auto" w:fill="9ADAF6"/>
          </w:tcPr>
          <w:p>
            <w:pPr>
              <w:jc w:val="right"/>
              <w:ind w:right="7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0"/>
                <w:szCs w:val="10"/>
                <w:color w:val="auto"/>
              </w:rPr>
            </w:pPr>
          </w:p>
        </w:tc>
        <w:tc>
          <w:tcPr>
            <w:tcW w:w="800" w:type="dxa"/>
            <w:vAlign w:val="bottom"/>
            <w:gridSpan w:val="5"/>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Maximum</w:t>
            </w: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840" w:type="dxa"/>
            <w:vAlign w:val="bottom"/>
            <w:gridSpan w:val="5"/>
            <w:vMerge w:val="continue"/>
            <w:shd w:val="clear" w:color="auto" w:fill="9ADAF6"/>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00" w:type="dxa"/>
            <w:vAlign w:val="bottom"/>
            <w:tcBorders>
              <w:right w:val="single" w:sz="8" w:color="9ADAF6"/>
            </w:tcBorders>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0"/>
                <w:szCs w:val="10"/>
                <w:color w:val="auto"/>
              </w:rPr>
            </w:pPr>
          </w:p>
        </w:tc>
        <w:tc>
          <w:tcPr>
            <w:tcW w:w="720" w:type="dxa"/>
            <w:vAlign w:val="bottom"/>
            <w:tcBorders>
              <w:right w:val="single" w:sz="8" w:color="9ADAF6"/>
            </w:tcBorders>
            <w:gridSpan w:val="2"/>
            <w:shd w:val="clear" w:color="auto" w:fill="9ADAF6"/>
          </w:tcPr>
          <w:p>
            <w:pPr>
              <w:jc w:val="center"/>
              <w:ind w:right="20"/>
              <w:spacing w:after="0" w:line="115"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16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80" w:type="dxa"/>
            <w:vAlign w:val="bottom"/>
            <w:tcBorders>
              <w:right w:val="single" w:sz="8" w:color="auto"/>
            </w:tcBorders>
            <w:gridSpan w:val="3"/>
            <w:vMerge w:val="restart"/>
            <w:shd w:val="clear" w:color="auto" w:fill="9ADAF6"/>
          </w:tcPr>
          <w:p>
            <w:pPr>
              <w:jc w:val="center"/>
              <w:ind w:right="200"/>
              <w:spacing w:after="0"/>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660" w:type="dxa"/>
            <w:vAlign w:val="bottom"/>
            <w:gridSpan w:val="2"/>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0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w w:val="96"/>
              </w:rPr>
              <w:t>Class</w:t>
            </w: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60" w:type="dxa"/>
            <w:vAlign w:val="bottom"/>
            <w:shd w:val="clear" w:color="auto" w:fill="9ADAF6"/>
          </w:tcPr>
          <w:p>
            <w:pPr>
              <w:spacing w:after="0"/>
              <w:rPr>
                <w:sz w:val="14"/>
                <w:szCs w:val="14"/>
                <w:color w:val="auto"/>
              </w:rPr>
            </w:pPr>
          </w:p>
        </w:tc>
        <w:tc>
          <w:tcPr>
            <w:tcW w:w="840" w:type="dxa"/>
            <w:vAlign w:val="bottom"/>
            <w:gridSpan w:val="5"/>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7"/>
              </w:rPr>
              <w:t>Aggregate</w:t>
            </w:r>
          </w:p>
        </w:tc>
        <w:tc>
          <w:tcPr>
            <w:tcW w:w="1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5"/>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00" w:type="dxa"/>
            <w:vAlign w:val="bottom"/>
            <w:gridSpan w:val="4"/>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700" w:type="dxa"/>
            <w:vAlign w:val="bottom"/>
            <w:gridSpan w:val="6"/>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right w:val="single" w:sz="8" w:color="9ADAF6"/>
            </w:tcBorders>
            <w:gridSpan w:val="6"/>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right w:val="single" w:sz="8" w:color="9ADAF6"/>
            </w:tcBorders>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4"/>
                <w:szCs w:val="14"/>
                <w:color w:val="auto"/>
              </w:rPr>
            </w:pPr>
          </w:p>
        </w:tc>
        <w:tc>
          <w:tcPr>
            <w:tcW w:w="160" w:type="dxa"/>
            <w:vAlign w:val="bottom"/>
            <w:tcBorders>
              <w:righ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780" w:type="dxa"/>
            <w:vAlign w:val="bottom"/>
            <w:tcBorders>
              <w:right w:val="single" w:sz="8" w:color="auto"/>
            </w:tcBorders>
            <w:gridSpan w:val="3"/>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 w:type="dxa"/>
            <w:vAlign w:val="bottom"/>
            <w:tcBorders>
              <w:right w:val="single" w:sz="8" w:color="9ADAF6"/>
            </w:tcBorders>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Type</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gridSpan w:val="3"/>
            <w:shd w:val="clear" w:color="auto" w:fill="9ADAF6"/>
          </w:tcPr>
          <w:p>
            <w:pPr>
              <w:ind w:left="100"/>
              <w:spacing w:after="0" w:line="189" w:lineRule="exact"/>
              <w:rPr>
                <w:sz w:val="20"/>
                <w:szCs w:val="20"/>
                <w:color w:val="auto"/>
              </w:rPr>
            </w:pPr>
            <w:r>
              <w:rPr>
                <w:rFonts w:ascii="Arial" w:cs="Arial" w:eastAsia="Arial" w:hAnsi="Arial"/>
                <w:sz w:val="17"/>
                <w:szCs w:val="17"/>
                <w:b w:val="1"/>
                <w:bCs w:val="1"/>
                <w:color w:val="auto"/>
              </w:rPr>
              <w:t>Title</w:t>
            </w: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4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gridSpan w:val="7"/>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640" w:type="dxa"/>
            <w:vAlign w:val="bottom"/>
            <w:gridSpan w:val="3"/>
            <w:shd w:val="clear" w:color="auto" w:fill="9ADAF6"/>
          </w:tcPr>
          <w:p>
            <w:pPr>
              <w:jc w:val="center"/>
              <w:ind w:right="280"/>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580" w:type="dxa"/>
            <w:vAlign w:val="bottom"/>
            <w:gridSpan w:val="5"/>
            <w:shd w:val="clear" w:color="auto" w:fill="9ADAF6"/>
          </w:tcPr>
          <w:p>
            <w:pPr>
              <w:jc w:val="center"/>
              <w:ind w:left="42"/>
              <w:spacing w:after="0" w:line="189" w:lineRule="exact"/>
              <w:rPr>
                <w:sz w:val="20"/>
                <w:szCs w:val="20"/>
                <w:color w:val="auto"/>
              </w:rPr>
            </w:pPr>
            <w:r>
              <w:rPr>
                <w:rFonts w:ascii="Arial" w:cs="Arial" w:eastAsia="Arial" w:hAnsi="Arial"/>
                <w:sz w:val="17"/>
                <w:szCs w:val="17"/>
                <w:b w:val="1"/>
                <w:bCs w:val="1"/>
                <w:color w:val="auto"/>
                <w:w w:val="98"/>
              </w:rPr>
              <w:t>Form</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40" w:type="dxa"/>
            <w:vAlign w:val="bottom"/>
            <w:tcBorders>
              <w:right w:val="single" w:sz="8" w:color="9ADAF6"/>
            </w:tcBorders>
            <w:gridSpan w:val="4"/>
            <w:shd w:val="clear" w:color="auto" w:fill="9ADAF6"/>
          </w:tcPr>
          <w:p>
            <w:pPr>
              <w:jc w:val="center"/>
              <w:ind w:right="180"/>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tcBorders>
              <w:right w:val="single" w:sz="8" w:color="9ADAF6"/>
            </w:tcBorders>
            <w:gridSpan w:val="2"/>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160" w:type="dxa"/>
            <w:vAlign w:val="bottom"/>
            <w:tcBorders>
              <w:right w:val="single" w:sz="8" w:color="9ADAF6"/>
            </w:tcBorders>
            <w:shd w:val="clear" w:color="auto" w:fill="9ADAF6"/>
          </w:tcPr>
          <w:p>
            <w:pPr>
              <w:spacing w:after="0"/>
              <w:rPr>
                <w:sz w:val="16"/>
                <w:szCs w:val="16"/>
                <w:color w:val="auto"/>
              </w:rPr>
            </w:pPr>
          </w:p>
        </w:tc>
        <w:tc>
          <w:tcPr>
            <w:tcW w:w="800" w:type="dxa"/>
            <w:vAlign w:val="bottom"/>
            <w:tcBorders>
              <w:right w:val="single" w:sz="8" w:color="auto"/>
            </w:tcBorders>
            <w:gridSpan w:val="4"/>
            <w:shd w:val="clear" w:color="auto" w:fill="9ADAF6"/>
          </w:tcPr>
          <w:p>
            <w:pPr>
              <w:jc w:val="center"/>
              <w:ind w:right="200"/>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60" w:type="dxa"/>
            <w:vAlign w:val="bottom"/>
            <w:tcBorders>
              <w:right w:val="single" w:sz="8" w:color="9ADAF6"/>
            </w:tcBorders>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5"/>
            <w:shd w:val="clear" w:color="auto" w:fill="9ADAF6"/>
          </w:tcPr>
          <w:p>
            <w:pPr>
              <w:jc w:val="center"/>
              <w:ind w:left="42"/>
              <w:spacing w:after="0" w:line="115" w:lineRule="exact"/>
              <w:rPr>
                <w:sz w:val="20"/>
                <w:szCs w:val="20"/>
                <w:color w:val="auto"/>
              </w:rPr>
            </w:pPr>
            <w:r>
              <w:rPr>
                <w:rFonts w:ascii="Arial" w:cs="Arial" w:eastAsia="Arial" w:hAnsi="Arial"/>
                <w:sz w:val="13"/>
                <w:szCs w:val="13"/>
                <w:b w:val="1"/>
                <w:bCs w:val="1"/>
                <w:color w:val="auto"/>
              </w:rPr>
              <w:t>Type</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right w:val="single" w:sz="8" w:color="9ADAF6"/>
            </w:tcBorders>
            <w:gridSpan w:val="6"/>
            <w:shd w:val="clear" w:color="auto" w:fill="9ADAF6"/>
          </w:tcPr>
          <w:p>
            <w:pPr>
              <w:jc w:val="center"/>
              <w:ind w:right="20"/>
              <w:spacing w:after="0" w:line="115"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2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60" w:type="dxa"/>
            <w:vAlign w:val="bottom"/>
            <w:tcBorders>
              <w:right w:val="single" w:sz="8" w:color="auto"/>
            </w:tcBorders>
            <w:gridSpan w:val="5"/>
            <w:shd w:val="clear" w:color="auto" w:fill="9ADAF6"/>
          </w:tcPr>
          <w:p>
            <w:pPr>
              <w:jc w:val="center"/>
              <w:ind w:right="40"/>
              <w:spacing w:after="0" w:line="11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9ADAF6"/>
            </w:tcBorders>
            <w:gridSpan w:val="7"/>
          </w:tcPr>
          <w:p>
            <w:pPr>
              <w:spacing w:after="0"/>
              <w:rPr>
                <w:sz w:val="11"/>
                <w:szCs w:val="11"/>
                <w:color w:val="auto"/>
              </w:rPr>
            </w:pPr>
          </w:p>
        </w:tc>
        <w:tc>
          <w:tcPr>
            <w:tcW w:w="740" w:type="dxa"/>
            <w:vAlign w:val="bottom"/>
            <w:tcBorders>
              <w:right w:val="single" w:sz="8" w:color="9ADAF6"/>
            </w:tcBorders>
            <w:gridSpan w:val="3"/>
            <w:shd w:val="clear" w:color="auto" w:fill="9ADAF6"/>
          </w:tcPr>
          <w:p>
            <w:pPr>
              <w:spacing w:after="0"/>
              <w:rPr>
                <w:sz w:val="11"/>
                <w:szCs w:val="11"/>
                <w:color w:val="auto"/>
              </w:rPr>
            </w:pPr>
          </w:p>
        </w:tc>
        <w:tc>
          <w:tcPr>
            <w:tcW w:w="660" w:type="dxa"/>
            <w:vAlign w:val="bottom"/>
            <w:gridSpan w:val="6"/>
            <w:shd w:val="clear" w:color="auto" w:fill="9ADAF6"/>
          </w:tcPr>
          <w:p>
            <w:pPr>
              <w:spacing w:after="0"/>
              <w:rPr>
                <w:sz w:val="11"/>
                <w:szCs w:val="11"/>
                <w:color w:val="auto"/>
              </w:rPr>
            </w:pPr>
          </w:p>
        </w:tc>
        <w:tc>
          <w:tcPr>
            <w:tcW w:w="920" w:type="dxa"/>
            <w:vAlign w:val="bottom"/>
            <w:vMerge w:val="continue"/>
            <w:shd w:val="clear" w:color="auto" w:fill="9ADAF6"/>
          </w:tcPr>
          <w:p>
            <w:pPr>
              <w:spacing w:after="0"/>
              <w:rPr>
                <w:sz w:val="11"/>
                <w:szCs w:val="11"/>
                <w:color w:val="auto"/>
              </w:rPr>
            </w:pPr>
          </w:p>
        </w:tc>
        <w:tc>
          <w:tcPr>
            <w:tcW w:w="1000" w:type="dxa"/>
            <w:vAlign w:val="bottom"/>
            <w:gridSpan w:val="6"/>
          </w:tcPr>
          <w:p>
            <w:pPr>
              <w:spacing w:after="0"/>
              <w:rPr>
                <w:sz w:val="11"/>
                <w:szCs w:val="11"/>
                <w:color w:val="auto"/>
              </w:rPr>
            </w:pPr>
          </w:p>
        </w:tc>
        <w:tc>
          <w:tcPr>
            <w:tcW w:w="800" w:type="dxa"/>
            <w:vAlign w:val="bottom"/>
            <w:gridSpan w:val="5"/>
            <w:vMerge w:val="continue"/>
            <w:shd w:val="clear" w:color="auto" w:fill="9ADAF6"/>
          </w:tcPr>
          <w:p>
            <w:pPr>
              <w:spacing w:after="0"/>
              <w:rPr>
                <w:sz w:val="11"/>
                <w:szCs w:val="11"/>
                <w:color w:val="auto"/>
              </w:rPr>
            </w:pPr>
          </w:p>
        </w:tc>
        <w:tc>
          <w:tcPr>
            <w:tcW w:w="4500" w:type="dxa"/>
            <w:vAlign w:val="bottom"/>
            <w:tcBorders>
              <w:right w:val="single" w:sz="8" w:color="9ADAF6"/>
            </w:tcBorders>
            <w:gridSpan w:val="33"/>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Borders>
              <w:right w:val="single" w:sz="8" w:color="9ADAF6"/>
            </w:tcBorders>
            <w:gridSpan w:val="2"/>
            <w:vMerge w:val="continue"/>
            <w:shd w:val="clear" w:color="auto" w:fill="9ADAF6"/>
          </w:tcPr>
          <w:p>
            <w:pPr>
              <w:spacing w:after="0"/>
              <w:rPr>
                <w:sz w:val="11"/>
                <w:szCs w:val="11"/>
                <w:color w:val="auto"/>
              </w:rPr>
            </w:pPr>
          </w:p>
        </w:tc>
        <w:tc>
          <w:tcPr>
            <w:tcW w:w="180" w:type="dxa"/>
            <w:vAlign w:val="bottom"/>
            <w:tcBorders>
              <w:right w:val="single" w:sz="8" w:color="9ADAF6"/>
            </w:tcBorders>
            <w:gridSpan w:val="2"/>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tcBorders>
              <w:right w:val="single" w:sz="8" w:color="auto"/>
            </w:tcBorders>
            <w:gridSpan w:val="3"/>
            <w:vMerge w:val="restart"/>
            <w:shd w:val="clear" w:color="auto" w:fill="9ADAF6"/>
          </w:tcPr>
          <w:p>
            <w:pPr>
              <w:jc w:val="center"/>
              <w:ind w:right="220"/>
              <w:spacing w:after="0" w:line="189"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3"/>
        </w:trPr>
        <w:tc>
          <w:tcPr>
            <w:tcW w:w="1020" w:type="dxa"/>
            <w:vAlign w:val="bottom"/>
            <w:tcBorders>
              <w:left w:val="single" w:sz="8" w:color="auto"/>
              <w:right w:val="single" w:sz="8" w:color="9ADAF6"/>
            </w:tcBorders>
            <w:gridSpan w:val="7"/>
          </w:tcPr>
          <w:p>
            <w:pPr>
              <w:spacing w:after="0"/>
              <w:rPr>
                <w:sz w:val="4"/>
                <w:szCs w:val="4"/>
                <w:color w:val="auto"/>
              </w:rPr>
            </w:pPr>
          </w:p>
        </w:tc>
        <w:tc>
          <w:tcPr>
            <w:tcW w:w="740" w:type="dxa"/>
            <w:vAlign w:val="bottom"/>
            <w:tcBorders>
              <w:right w:val="single" w:sz="8" w:color="9ADAF6"/>
            </w:tcBorders>
            <w:gridSpan w:val="3"/>
            <w:shd w:val="clear" w:color="auto" w:fill="9ADAF6"/>
          </w:tcPr>
          <w:p>
            <w:pPr>
              <w:spacing w:after="0"/>
              <w:rPr>
                <w:sz w:val="4"/>
                <w:szCs w:val="4"/>
                <w:color w:val="auto"/>
              </w:rPr>
            </w:pPr>
          </w:p>
        </w:tc>
        <w:tc>
          <w:tcPr>
            <w:tcW w:w="7880" w:type="dxa"/>
            <w:vAlign w:val="bottom"/>
            <w:tcBorders>
              <w:right w:val="single" w:sz="8" w:color="9ADAF6"/>
            </w:tcBorders>
            <w:gridSpan w:val="51"/>
            <w:shd w:val="clear" w:color="auto" w:fill="9ADAF6"/>
          </w:tcPr>
          <w:p>
            <w:pPr>
              <w:spacing w:after="0"/>
              <w:rPr>
                <w:sz w:val="4"/>
                <w:szCs w:val="4"/>
                <w:color w:val="auto"/>
              </w:rPr>
            </w:pPr>
          </w:p>
        </w:tc>
        <w:tc>
          <w:tcPr>
            <w:tcW w:w="740" w:type="dxa"/>
            <w:vAlign w:val="bottom"/>
            <w:tcBorders>
              <w:right w:val="single" w:sz="8" w:color="9ADAF6"/>
            </w:tcBorders>
            <w:gridSpan w:val="3"/>
          </w:tcPr>
          <w:p>
            <w:pPr>
              <w:spacing w:after="0"/>
              <w:rPr>
                <w:sz w:val="4"/>
                <w:szCs w:val="4"/>
                <w:color w:val="auto"/>
              </w:rPr>
            </w:pPr>
          </w:p>
        </w:tc>
        <w:tc>
          <w:tcPr>
            <w:tcW w:w="180" w:type="dxa"/>
            <w:vAlign w:val="bottom"/>
            <w:tcBorders>
              <w:right w:val="single" w:sz="8" w:color="9ADAF6"/>
            </w:tcBorders>
            <w:gridSpan w:val="2"/>
          </w:tcPr>
          <w:p>
            <w:pPr>
              <w:spacing w:after="0"/>
              <w:rPr>
                <w:sz w:val="4"/>
                <w:szCs w:val="4"/>
                <w:color w:val="auto"/>
              </w:rPr>
            </w:pPr>
          </w:p>
        </w:tc>
        <w:tc>
          <w:tcPr>
            <w:tcW w:w="20" w:type="dxa"/>
            <w:vAlign w:val="bottom"/>
            <w:shd w:val="clear" w:color="auto" w:fill="9ADAF6"/>
          </w:tcPr>
          <w:p>
            <w:pPr>
              <w:spacing w:after="0"/>
              <w:rPr>
                <w:sz w:val="4"/>
                <w:szCs w:val="4"/>
                <w:color w:val="auto"/>
              </w:rPr>
            </w:pPr>
          </w:p>
        </w:tc>
        <w:tc>
          <w:tcPr>
            <w:tcW w:w="780" w:type="dxa"/>
            <w:vAlign w:val="bottom"/>
            <w:tcBorders>
              <w:right w:val="single" w:sz="8" w:color="auto"/>
            </w:tcBorders>
            <w:gridSpan w:val="3"/>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9ADAF6"/>
            </w:tcBorders>
            <w:gridSpan w:val="7"/>
          </w:tcPr>
          <w:p>
            <w:pPr>
              <w:spacing w:after="0"/>
              <w:rPr>
                <w:sz w:val="16"/>
                <w:szCs w:val="16"/>
                <w:color w:val="auto"/>
              </w:rPr>
            </w:pPr>
          </w:p>
        </w:tc>
        <w:tc>
          <w:tcPr>
            <w:tcW w:w="740" w:type="dxa"/>
            <w:vAlign w:val="bottom"/>
            <w:tcBorders>
              <w:right w:val="single" w:sz="8" w:color="9ADAF6"/>
            </w:tcBorders>
            <w:gridSpan w:val="3"/>
            <w:shd w:val="clear" w:color="auto" w:fill="9ADAF6"/>
          </w:tcPr>
          <w:p>
            <w:pPr>
              <w:spacing w:after="0"/>
              <w:rPr>
                <w:sz w:val="16"/>
                <w:szCs w:val="16"/>
                <w:color w:val="auto"/>
              </w:rPr>
            </w:pPr>
          </w:p>
        </w:tc>
        <w:tc>
          <w:tcPr>
            <w:tcW w:w="7880" w:type="dxa"/>
            <w:vAlign w:val="bottom"/>
            <w:tcBorders>
              <w:right w:val="single" w:sz="8" w:color="9ADAF6"/>
            </w:tcBorders>
            <w:gridSpan w:val="51"/>
            <w:shd w:val="clear" w:color="auto" w:fill="9ADAF6"/>
          </w:tcPr>
          <w:p>
            <w:pPr>
              <w:spacing w:after="0"/>
              <w:rPr>
                <w:sz w:val="16"/>
                <w:szCs w:val="16"/>
                <w:color w:val="auto"/>
              </w:rPr>
            </w:pPr>
          </w:p>
        </w:tc>
        <w:tc>
          <w:tcPr>
            <w:tcW w:w="740" w:type="dxa"/>
            <w:vAlign w:val="bottom"/>
            <w:tcBorders>
              <w:right w:val="single" w:sz="8" w:color="9ADAF6"/>
            </w:tcBorders>
            <w:gridSpan w:val="3"/>
          </w:tcPr>
          <w:p>
            <w:pPr>
              <w:spacing w:after="0"/>
              <w:rPr>
                <w:sz w:val="16"/>
                <w:szCs w:val="16"/>
                <w:color w:val="auto"/>
              </w:rPr>
            </w:pPr>
          </w:p>
        </w:tc>
        <w:tc>
          <w:tcPr>
            <w:tcW w:w="180" w:type="dxa"/>
            <w:vAlign w:val="bottom"/>
            <w:tcBorders>
              <w:right w:val="single" w:sz="8" w:color="9ADAF6"/>
            </w:tcBorders>
            <w:gridSpan w:val="2"/>
          </w:tcPr>
          <w:p>
            <w:pPr>
              <w:spacing w:after="0"/>
              <w:rPr>
                <w:sz w:val="16"/>
                <w:szCs w:val="16"/>
                <w:color w:val="auto"/>
              </w:rPr>
            </w:pPr>
          </w:p>
        </w:tc>
        <w:tc>
          <w:tcPr>
            <w:tcW w:w="800" w:type="dxa"/>
            <w:vAlign w:val="bottom"/>
            <w:tcBorders>
              <w:right w:val="single" w:sz="8" w:color="auto"/>
            </w:tcBorders>
            <w:gridSpan w:val="4"/>
            <w:shd w:val="clear" w:color="auto" w:fill="9ADAF6"/>
          </w:tcPr>
          <w:p>
            <w:pPr>
              <w:jc w:val="center"/>
              <w:ind w:right="180"/>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9ADAF6"/>
            </w:tcBorders>
            <w:gridSpan w:val="7"/>
          </w:tcPr>
          <w:p>
            <w:pPr>
              <w:spacing w:after="0"/>
              <w:rPr>
                <w:sz w:val="19"/>
                <w:szCs w:val="19"/>
                <w:color w:val="auto"/>
              </w:rPr>
            </w:pPr>
          </w:p>
        </w:tc>
        <w:tc>
          <w:tcPr>
            <w:tcW w:w="740" w:type="dxa"/>
            <w:vAlign w:val="bottom"/>
            <w:tcBorders>
              <w:right w:val="single" w:sz="8" w:color="9ADAF6"/>
            </w:tcBorders>
            <w:gridSpan w:val="3"/>
            <w:shd w:val="clear" w:color="auto" w:fill="9ADAF6"/>
          </w:tcPr>
          <w:p>
            <w:pPr>
              <w:spacing w:after="0"/>
              <w:rPr>
                <w:sz w:val="19"/>
                <w:szCs w:val="19"/>
                <w:color w:val="auto"/>
              </w:rPr>
            </w:pPr>
          </w:p>
        </w:tc>
        <w:tc>
          <w:tcPr>
            <w:tcW w:w="7880" w:type="dxa"/>
            <w:vAlign w:val="bottom"/>
            <w:tcBorders>
              <w:right w:val="single" w:sz="8" w:color="9ADAF6"/>
            </w:tcBorders>
            <w:gridSpan w:val="51"/>
            <w:shd w:val="clear" w:color="auto" w:fill="9ADAF6"/>
          </w:tcPr>
          <w:p>
            <w:pPr>
              <w:spacing w:after="0"/>
              <w:rPr>
                <w:sz w:val="19"/>
                <w:szCs w:val="19"/>
                <w:color w:val="auto"/>
              </w:rPr>
            </w:pPr>
          </w:p>
        </w:tc>
        <w:tc>
          <w:tcPr>
            <w:tcW w:w="740" w:type="dxa"/>
            <w:vAlign w:val="bottom"/>
            <w:tcBorders>
              <w:right w:val="single" w:sz="8" w:color="9ADAF6"/>
            </w:tcBorders>
            <w:gridSpan w:val="3"/>
          </w:tcPr>
          <w:p>
            <w:pPr>
              <w:spacing w:after="0"/>
              <w:rPr>
                <w:sz w:val="19"/>
                <w:szCs w:val="19"/>
                <w:color w:val="auto"/>
              </w:rPr>
            </w:pPr>
          </w:p>
        </w:tc>
        <w:tc>
          <w:tcPr>
            <w:tcW w:w="180" w:type="dxa"/>
            <w:vAlign w:val="bottom"/>
            <w:tcBorders>
              <w:right w:val="single" w:sz="8" w:color="9ADAF6"/>
            </w:tcBorders>
            <w:gridSpan w:val="2"/>
          </w:tcPr>
          <w:p>
            <w:pPr>
              <w:spacing w:after="0"/>
              <w:rPr>
                <w:sz w:val="19"/>
                <w:szCs w:val="19"/>
                <w:color w:val="auto"/>
              </w:rPr>
            </w:pPr>
          </w:p>
        </w:tc>
        <w:tc>
          <w:tcPr>
            <w:tcW w:w="800" w:type="dxa"/>
            <w:vAlign w:val="bottom"/>
            <w:tcBorders>
              <w:right w:val="single" w:sz="8" w:color="auto"/>
            </w:tcBorders>
            <w:gridSpan w:val="4"/>
            <w:shd w:val="clear" w:color="auto" w:fill="9ADAF6"/>
          </w:tcPr>
          <w:p>
            <w:pPr>
              <w:jc w:val="center"/>
              <w:ind w:right="160"/>
              <w:spacing w:after="0"/>
              <w:rPr>
                <w:sz w:val="20"/>
                <w:szCs w:val="20"/>
                <w:color w:val="auto"/>
              </w:rPr>
            </w:pPr>
            <w:r>
              <w:rPr>
                <w:rFonts w:ascii="Arial" w:cs="Arial" w:eastAsia="Arial" w:hAnsi="Arial"/>
                <w:sz w:val="17"/>
                <w:szCs w:val="17"/>
                <w:b w:val="1"/>
                <w:bCs w:val="1"/>
                <w:color w:val="auto"/>
                <w:w w:val="95"/>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21"/>
          </w:tcPr>
          <w:p>
            <w:pPr>
              <w:jc w:val="center"/>
              <w:ind w:right="456"/>
              <w:spacing w:after="0"/>
              <w:rPr>
                <w:sz w:val="20"/>
                <w:szCs w:val="20"/>
                <w:color w:val="auto"/>
              </w:rPr>
            </w:pPr>
            <w:r>
              <w:rPr>
                <w:rFonts w:ascii="Arial" w:cs="Arial" w:eastAsia="Arial" w:hAnsi="Arial"/>
                <w:sz w:val="17"/>
                <w:szCs w:val="17"/>
                <w:b w:val="1"/>
                <w:bCs w:val="1"/>
                <w:color w:val="auto"/>
                <w:w w:val="98"/>
              </w:rPr>
              <w:t>Newly Registered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020" w:type="dxa"/>
            <w:vAlign w:val="bottom"/>
            <w:tcBorders>
              <w:left w:val="single" w:sz="8" w:color="auto"/>
              <w:right w:val="single" w:sz="8" w:color="E7E7E2"/>
            </w:tcBorders>
            <w:gridSpan w:val="7"/>
          </w:tcPr>
          <w:p>
            <w:pPr>
              <w:spacing w:after="0"/>
              <w:rPr>
                <w:sz w:val="16"/>
                <w:szCs w:val="16"/>
                <w:color w:val="auto"/>
              </w:rPr>
            </w:pPr>
          </w:p>
        </w:tc>
        <w:tc>
          <w:tcPr>
            <w:tcW w:w="740" w:type="dxa"/>
            <w:vAlign w:val="bottom"/>
            <w:tcBorders>
              <w:right w:val="single" w:sz="8" w:color="E7E7E2"/>
            </w:tcBorders>
            <w:gridSpan w:val="3"/>
            <w:shd w:val="clear" w:color="auto" w:fill="E7E7E2"/>
          </w:tcPr>
          <w:p>
            <w:pPr>
              <w:spacing w:after="0"/>
              <w:rPr>
                <w:sz w:val="16"/>
                <w:szCs w:val="16"/>
                <w:color w:val="auto"/>
              </w:rPr>
            </w:pPr>
          </w:p>
        </w:tc>
        <w:tc>
          <w:tcPr>
            <w:tcW w:w="7880" w:type="dxa"/>
            <w:vAlign w:val="bottom"/>
            <w:tcBorders>
              <w:right w:val="single" w:sz="8" w:color="E7E7E2"/>
            </w:tcBorders>
            <w:gridSpan w:val="51"/>
            <w:shd w:val="clear" w:color="auto" w:fill="E7E7E2"/>
          </w:tcPr>
          <w:p>
            <w:pPr>
              <w:spacing w:after="0" w:line="189" w:lineRule="exact"/>
              <w:rPr>
                <w:sz w:val="20"/>
                <w:szCs w:val="20"/>
                <w:color w:val="auto"/>
              </w:rPr>
            </w:pPr>
            <w:r>
              <w:rPr>
                <w:rFonts w:ascii="Arial" w:cs="Arial" w:eastAsia="Arial" w:hAnsi="Arial"/>
                <w:sz w:val="17"/>
                <w:szCs w:val="17"/>
                <w:color w:val="auto"/>
                <w:w w:val="86"/>
              </w:rPr>
              <w:t>9.375%</w:t>
            </w:r>
          </w:p>
        </w:tc>
        <w:tc>
          <w:tcPr>
            <w:tcW w:w="740" w:type="dxa"/>
            <w:vAlign w:val="bottom"/>
            <w:tcBorders>
              <w:right w:val="single" w:sz="8" w:color="E7E7E2"/>
            </w:tcBorders>
            <w:gridSpan w:val="3"/>
          </w:tcPr>
          <w:p>
            <w:pPr>
              <w:spacing w:after="0"/>
              <w:rPr>
                <w:sz w:val="16"/>
                <w:szCs w:val="16"/>
                <w:color w:val="auto"/>
              </w:rPr>
            </w:pPr>
          </w:p>
        </w:tc>
        <w:tc>
          <w:tcPr>
            <w:tcW w:w="180" w:type="dxa"/>
            <w:vAlign w:val="bottom"/>
            <w:tcBorders>
              <w:right w:val="single" w:sz="8" w:color="E7E7E2"/>
            </w:tcBorders>
            <w:gridSpan w:val="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8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180" w:type="dxa"/>
            <w:vAlign w:val="bottom"/>
            <w:tcBorders>
              <w:right w:val="single" w:sz="8" w:color="E7E7E2"/>
            </w:tcBorders>
            <w:gridSpan w:val="3"/>
          </w:tcPr>
          <w:p>
            <w:pPr>
              <w:spacing w:after="0"/>
              <w:rPr>
                <w:sz w:val="16"/>
                <w:szCs w:val="16"/>
                <w:color w:val="auto"/>
              </w:rPr>
            </w:pPr>
          </w:p>
        </w:tc>
        <w:tc>
          <w:tcPr>
            <w:tcW w:w="740" w:type="dxa"/>
            <w:vAlign w:val="bottom"/>
            <w:tcBorders>
              <w:right w:val="single" w:sz="8" w:color="E7E7E2"/>
            </w:tcBorders>
            <w:gridSpan w:val="3"/>
            <w:shd w:val="clear" w:color="auto" w:fill="E7E7E2"/>
          </w:tcPr>
          <w:p>
            <w:pPr>
              <w:spacing w:after="0"/>
              <w:rPr>
                <w:sz w:val="16"/>
                <w:szCs w:val="16"/>
                <w:color w:val="auto"/>
              </w:rPr>
            </w:pPr>
          </w:p>
        </w:tc>
        <w:tc>
          <w:tcPr>
            <w:tcW w:w="4400" w:type="dxa"/>
            <w:vAlign w:val="bottom"/>
            <w:gridSpan w:val="25"/>
            <w:shd w:val="clear" w:color="auto" w:fill="E7E7E2"/>
          </w:tcPr>
          <w:p>
            <w:pPr>
              <w:spacing w:after="0" w:line="189" w:lineRule="exact"/>
              <w:rPr>
                <w:sz w:val="20"/>
                <w:szCs w:val="20"/>
                <w:color w:val="auto"/>
              </w:rPr>
            </w:pPr>
            <w:r>
              <w:rPr>
                <w:rFonts w:ascii="Arial" w:cs="Arial" w:eastAsia="Arial" w:hAnsi="Arial"/>
                <w:sz w:val="17"/>
                <w:szCs w:val="17"/>
                <w:color w:val="auto"/>
              </w:rPr>
              <w:t>Senior</w:t>
            </w: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3300" w:type="dxa"/>
            <w:vAlign w:val="bottom"/>
            <w:tcBorders>
              <w:right w:val="single" w:sz="8" w:color="E7E7E2"/>
            </w:tcBorders>
            <w:gridSpan w:val="25"/>
          </w:tcPr>
          <w:p>
            <w:pPr>
              <w:spacing w:after="0"/>
              <w:rPr>
                <w:sz w:val="16"/>
                <w:szCs w:val="16"/>
                <w:color w:val="auto"/>
              </w:rPr>
            </w:pPr>
          </w:p>
        </w:tc>
        <w:tc>
          <w:tcPr>
            <w:tcW w:w="740" w:type="dxa"/>
            <w:vAlign w:val="bottom"/>
            <w:tcBorders>
              <w:right w:val="single" w:sz="8" w:color="E7E7E2"/>
            </w:tcBorders>
            <w:gridSpan w:val="3"/>
          </w:tcPr>
          <w:p>
            <w:pPr>
              <w:spacing w:after="0"/>
              <w:rPr>
                <w:sz w:val="16"/>
                <w:szCs w:val="16"/>
                <w:color w:val="auto"/>
              </w:rPr>
            </w:pPr>
          </w:p>
        </w:tc>
        <w:tc>
          <w:tcPr>
            <w:tcW w:w="180" w:type="dxa"/>
            <w:vAlign w:val="bottom"/>
            <w:tcBorders>
              <w:right w:val="single" w:sz="8" w:color="E7E7E2"/>
            </w:tcBorders>
            <w:gridSpan w:val="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60" w:type="dxa"/>
            <w:vAlign w:val="bottom"/>
            <w:tcBorders>
              <w:right w:val="single" w:sz="8" w:color="E7E7E2"/>
            </w:tcBorders>
          </w:tcPr>
          <w:p>
            <w:pPr>
              <w:spacing w:after="0"/>
              <w:rPr>
                <w:sz w:val="8"/>
                <w:szCs w:val="8"/>
                <w:color w:val="auto"/>
              </w:rPr>
            </w:pPr>
          </w:p>
        </w:tc>
        <w:tc>
          <w:tcPr>
            <w:tcW w:w="660" w:type="dxa"/>
            <w:vAlign w:val="bottom"/>
            <w:gridSpan w:val="2"/>
            <w:vMerge w:val="restart"/>
            <w:shd w:val="clear" w:color="auto" w:fill="E7E7E2"/>
          </w:tcPr>
          <w:p>
            <w:pPr>
              <w:spacing w:after="0"/>
              <w:rPr>
                <w:sz w:val="20"/>
                <w:szCs w:val="20"/>
                <w:color w:val="auto"/>
              </w:rPr>
            </w:pPr>
            <w:r>
              <w:rPr>
                <w:rFonts w:ascii="Arial" w:cs="Arial" w:eastAsia="Arial" w:hAnsi="Arial"/>
                <w:sz w:val="17"/>
                <w:szCs w:val="17"/>
                <w:color w:val="auto"/>
              </w:rPr>
              <w:t>Debt</w:t>
            </w:r>
          </w:p>
        </w:tc>
        <w:tc>
          <w:tcPr>
            <w:tcW w:w="80" w:type="dxa"/>
            <w:vAlign w:val="bottom"/>
            <w:tcBorders>
              <w:right w:val="single" w:sz="8" w:color="E7E7E2"/>
            </w:tcBorders>
          </w:tcPr>
          <w:p>
            <w:pPr>
              <w:spacing w:after="0"/>
              <w:rPr>
                <w:sz w:val="8"/>
                <w:szCs w:val="8"/>
                <w:color w:val="auto"/>
              </w:rPr>
            </w:pPr>
          </w:p>
        </w:tc>
        <w:tc>
          <w:tcPr>
            <w:tcW w:w="520" w:type="dxa"/>
            <w:vAlign w:val="bottom"/>
            <w:gridSpan w:val="4"/>
            <w:vMerge w:val="restart"/>
            <w:shd w:val="clear" w:color="auto" w:fill="E7E7E2"/>
          </w:tcPr>
          <w:p>
            <w:pPr>
              <w:spacing w:after="0"/>
              <w:rPr>
                <w:sz w:val="20"/>
                <w:szCs w:val="20"/>
                <w:color w:val="auto"/>
              </w:rPr>
            </w:pPr>
            <w:r>
              <w:rPr>
                <w:rFonts w:ascii="Arial" w:cs="Arial" w:eastAsia="Arial" w:hAnsi="Arial"/>
                <w:sz w:val="17"/>
                <w:szCs w:val="17"/>
                <w:color w:val="auto"/>
              </w:rPr>
              <w:t>Notes</w:t>
            </w:r>
          </w:p>
        </w:tc>
        <w:tc>
          <w:tcPr>
            <w:tcW w:w="1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6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w w:val="97"/>
              </w:rPr>
              <w:t>500,000,000</w:t>
            </w:r>
          </w:p>
        </w:tc>
        <w:tc>
          <w:tcPr>
            <w:tcW w:w="20" w:type="dxa"/>
            <w:vAlign w:val="bottom"/>
          </w:tcPr>
          <w:p>
            <w:pPr>
              <w:spacing w:after="0"/>
              <w:rPr>
                <w:sz w:val="8"/>
                <w:szCs w:val="8"/>
                <w:color w:val="auto"/>
              </w:rPr>
            </w:pPr>
          </w:p>
        </w:tc>
        <w:tc>
          <w:tcPr>
            <w:tcW w:w="800" w:type="dxa"/>
            <w:vAlign w:val="bottom"/>
            <w:gridSpan w:val="5"/>
            <w:vMerge w:val="restart"/>
            <w:shd w:val="clear" w:color="auto" w:fill="E7E7E2"/>
          </w:tcPr>
          <w:p>
            <w:pPr>
              <w:jc w:val="right"/>
              <w:spacing w:after="0"/>
              <w:rPr>
                <w:sz w:val="20"/>
                <w:szCs w:val="20"/>
                <w:color w:val="auto"/>
              </w:rPr>
            </w:pPr>
            <w:r>
              <w:rPr>
                <w:rFonts w:ascii="Arial" w:cs="Arial" w:eastAsia="Arial" w:hAnsi="Arial"/>
                <w:sz w:val="17"/>
                <w:szCs w:val="17"/>
                <w:color w:val="auto"/>
              </w:rPr>
              <w:t>$ 1.00</w:t>
            </w:r>
          </w:p>
        </w:tc>
        <w:tc>
          <w:tcPr>
            <w:tcW w:w="20" w:type="dxa"/>
            <w:vAlign w:val="bottom"/>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1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5"/>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00" w:type="dxa"/>
            <w:vAlign w:val="bottom"/>
            <w:gridSpan w:val="4"/>
            <w:vMerge w:val="restart"/>
            <w:shd w:val="clear" w:color="auto" w:fill="E7E7E2"/>
          </w:tcPr>
          <w:p>
            <w:pPr>
              <w:jc w:val="right"/>
              <w:spacing w:after="0"/>
              <w:rPr>
                <w:sz w:val="20"/>
                <w:szCs w:val="20"/>
                <w:color w:val="auto"/>
              </w:rPr>
            </w:pPr>
            <w:r>
              <w:rPr>
                <w:rFonts w:ascii="Arial" w:cs="Arial" w:eastAsia="Arial" w:hAnsi="Arial"/>
                <w:sz w:val="17"/>
                <w:szCs w:val="17"/>
                <w:color w:val="auto"/>
              </w:rPr>
              <w:t>$ 69,050.00</w:t>
            </w:r>
          </w:p>
        </w:tc>
        <w:tc>
          <w:tcPr>
            <w:tcW w:w="20" w:type="dxa"/>
            <w:vAlign w:val="bottom"/>
          </w:tcPr>
          <w:p>
            <w:pPr>
              <w:spacing w:after="0"/>
              <w:rPr>
                <w:sz w:val="8"/>
                <w:szCs w:val="8"/>
                <w:color w:val="auto"/>
              </w:rPr>
            </w:pPr>
          </w:p>
        </w:tc>
        <w:tc>
          <w:tcPr>
            <w:tcW w:w="3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8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gridSpan w:val="3"/>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60" w:type="dxa"/>
            <w:vAlign w:val="bottom"/>
            <w:tcBorders>
              <w:right w:val="single" w:sz="8" w:color="E7E7E2"/>
            </w:tcBorders>
          </w:tcPr>
          <w:p>
            <w:pPr>
              <w:spacing w:after="0"/>
              <w:rPr>
                <w:sz w:val="14"/>
                <w:szCs w:val="14"/>
                <w:color w:val="auto"/>
              </w:rPr>
            </w:pPr>
          </w:p>
        </w:tc>
        <w:tc>
          <w:tcPr>
            <w:tcW w:w="660" w:type="dxa"/>
            <w:vAlign w:val="bottom"/>
            <w:gridSpan w:val="2"/>
            <w:vMerge w:val="continue"/>
            <w:shd w:val="clear" w:color="auto" w:fill="E7E7E2"/>
          </w:tcPr>
          <w:p>
            <w:pPr>
              <w:spacing w:after="0"/>
              <w:rPr>
                <w:sz w:val="14"/>
                <w:szCs w:val="14"/>
                <w:color w:val="auto"/>
              </w:rPr>
            </w:pPr>
          </w:p>
        </w:tc>
        <w:tc>
          <w:tcPr>
            <w:tcW w:w="80" w:type="dxa"/>
            <w:vAlign w:val="bottom"/>
            <w:tcBorders>
              <w:right w:val="single" w:sz="8" w:color="E7E7E2"/>
            </w:tcBorders>
          </w:tcPr>
          <w:p>
            <w:pPr>
              <w:spacing w:after="0"/>
              <w:rPr>
                <w:sz w:val="14"/>
                <w:szCs w:val="14"/>
                <w:color w:val="auto"/>
              </w:rPr>
            </w:pPr>
          </w:p>
        </w:tc>
        <w:tc>
          <w:tcPr>
            <w:tcW w:w="520" w:type="dxa"/>
            <w:vAlign w:val="bottom"/>
            <w:gridSpan w:val="4"/>
            <w:vMerge w:val="continue"/>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7"/>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500,000,000.00</w:t>
            </w:r>
          </w:p>
        </w:tc>
        <w:tc>
          <w:tcPr>
            <w:tcW w:w="20" w:type="dxa"/>
            <w:vAlign w:val="bottom"/>
          </w:tcPr>
          <w:p>
            <w:pPr>
              <w:spacing w:after="0"/>
              <w:rPr>
                <w:sz w:val="14"/>
                <w:szCs w:val="14"/>
                <w:color w:val="auto"/>
              </w:rPr>
            </w:pPr>
          </w:p>
        </w:tc>
        <w:tc>
          <w:tcPr>
            <w:tcW w:w="820" w:type="dxa"/>
            <w:vAlign w:val="bottom"/>
            <w:gridSpan w:val="5"/>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8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160" w:type="dxa"/>
            <w:vAlign w:val="bottom"/>
            <w:shd w:val="clear" w:color="auto" w:fill="E7E7E2"/>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7E7E2"/>
          </w:tcPr>
          <w:p>
            <w:pPr>
              <w:spacing w:after="0"/>
              <w:rPr>
                <w:sz w:val="14"/>
                <w:szCs w:val="14"/>
                <w:color w:val="auto"/>
              </w:rPr>
            </w:pPr>
          </w:p>
        </w:tc>
        <w:tc>
          <w:tcPr>
            <w:tcW w:w="40" w:type="dxa"/>
            <w:vAlign w:val="bottom"/>
            <w:shd w:val="clear" w:color="auto" w:fill="E7E7E2"/>
          </w:tcPr>
          <w:p>
            <w:pPr>
              <w:spacing w:after="0"/>
              <w:rPr>
                <w:sz w:val="14"/>
                <w:szCs w:val="14"/>
                <w:color w:val="auto"/>
              </w:rPr>
            </w:pPr>
          </w:p>
        </w:tc>
        <w:tc>
          <w:tcPr>
            <w:tcW w:w="100" w:type="dxa"/>
            <w:vAlign w:val="bottom"/>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340" w:type="dxa"/>
            <w:vAlign w:val="bottom"/>
            <w:shd w:val="clear" w:color="auto" w:fill="E7E7E2"/>
          </w:tcPr>
          <w:p>
            <w:pPr>
              <w:spacing w:after="0"/>
              <w:rPr>
                <w:sz w:val="14"/>
                <w:szCs w:val="14"/>
                <w:color w:val="auto"/>
              </w:rPr>
            </w:pPr>
          </w:p>
        </w:tc>
        <w:tc>
          <w:tcPr>
            <w:tcW w:w="8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40" w:type="dxa"/>
            <w:vAlign w:val="bottom"/>
            <w:tcBorders>
              <w:right w:val="single" w:sz="8" w:color="E7E7E2"/>
            </w:tcBorders>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right w:val="single" w:sz="8" w:color="E7E7E2"/>
            </w:tcBorders>
            <w:shd w:val="clear" w:color="auto" w:fill="E7E7E2"/>
          </w:tcPr>
          <w:p>
            <w:pPr>
              <w:spacing w:after="0"/>
              <w:rPr>
                <w:sz w:val="14"/>
                <w:szCs w:val="14"/>
                <w:color w:val="auto"/>
              </w:rPr>
            </w:pPr>
          </w:p>
        </w:tc>
        <w:tc>
          <w:tcPr>
            <w:tcW w:w="20" w:type="dxa"/>
            <w:vAlign w:val="bottom"/>
            <w:shd w:val="clear" w:color="auto" w:fill="E7E7E2"/>
          </w:tcPr>
          <w:p>
            <w:pPr>
              <w:spacing w:after="0"/>
              <w:rPr>
                <w:sz w:val="14"/>
                <w:szCs w:val="14"/>
                <w:color w:val="auto"/>
              </w:rPr>
            </w:pPr>
          </w:p>
        </w:tc>
        <w:tc>
          <w:tcPr>
            <w:tcW w:w="660" w:type="dxa"/>
            <w:vAlign w:val="bottom"/>
            <w:shd w:val="clear" w:color="auto" w:fill="E7E7E2"/>
          </w:tcPr>
          <w:p>
            <w:pPr>
              <w:spacing w:after="0"/>
              <w:rPr>
                <w:sz w:val="14"/>
                <w:szCs w:val="14"/>
                <w:color w:val="auto"/>
              </w:rPr>
            </w:pPr>
          </w:p>
        </w:tc>
        <w:tc>
          <w:tcPr>
            <w:tcW w:w="40" w:type="dxa"/>
            <w:vAlign w:val="bottom"/>
            <w:tcBorders>
              <w:right w:val="single" w:sz="8" w:color="E7E7E2"/>
            </w:tcBorders>
            <w:shd w:val="clear" w:color="auto" w:fill="E7E7E2"/>
          </w:tcPr>
          <w:p>
            <w:pPr>
              <w:spacing w:after="0"/>
              <w:rPr>
                <w:sz w:val="14"/>
                <w:szCs w:val="14"/>
                <w:color w:val="auto"/>
              </w:rPr>
            </w:pPr>
          </w:p>
        </w:tc>
        <w:tc>
          <w:tcPr>
            <w:tcW w:w="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020" w:type="dxa"/>
            <w:vAlign w:val="bottom"/>
            <w:tcBorders>
              <w:left w:val="single" w:sz="8" w:color="auto"/>
              <w:right w:val="single" w:sz="8" w:color="E7E7E2"/>
            </w:tcBorders>
            <w:gridSpan w:val="7"/>
          </w:tcPr>
          <w:p>
            <w:pPr>
              <w:spacing w:after="0"/>
              <w:rPr>
                <w:sz w:val="10"/>
                <w:szCs w:val="10"/>
                <w:color w:val="auto"/>
              </w:rPr>
            </w:pPr>
          </w:p>
        </w:tc>
        <w:tc>
          <w:tcPr>
            <w:tcW w:w="740" w:type="dxa"/>
            <w:vAlign w:val="bottom"/>
            <w:tcBorders>
              <w:right w:val="single" w:sz="8" w:color="E7E7E2"/>
            </w:tcBorders>
            <w:gridSpan w:val="3"/>
            <w:shd w:val="clear" w:color="auto" w:fill="E7E7E2"/>
          </w:tcPr>
          <w:p>
            <w:pPr>
              <w:spacing w:after="0"/>
              <w:rPr>
                <w:sz w:val="10"/>
                <w:szCs w:val="10"/>
                <w:color w:val="auto"/>
              </w:rPr>
            </w:pPr>
          </w:p>
        </w:tc>
        <w:tc>
          <w:tcPr>
            <w:tcW w:w="7880" w:type="dxa"/>
            <w:vAlign w:val="bottom"/>
            <w:tcBorders>
              <w:right w:val="single" w:sz="8" w:color="E7E7E2"/>
            </w:tcBorders>
            <w:gridSpan w:val="51"/>
            <w:shd w:val="clear" w:color="auto" w:fill="E7E7E2"/>
          </w:tcPr>
          <w:p>
            <w:pPr>
              <w:spacing w:after="0" w:line="115" w:lineRule="exact"/>
              <w:rPr>
                <w:sz w:val="20"/>
                <w:szCs w:val="20"/>
                <w:color w:val="auto"/>
              </w:rPr>
            </w:pPr>
            <w:r>
              <w:rPr>
                <w:rFonts w:ascii="Arial" w:cs="Arial" w:eastAsia="Arial" w:hAnsi="Arial"/>
                <w:sz w:val="13"/>
                <w:szCs w:val="13"/>
                <w:color w:val="auto"/>
              </w:rPr>
              <w:t>Due</w:t>
            </w:r>
          </w:p>
        </w:tc>
        <w:tc>
          <w:tcPr>
            <w:tcW w:w="740" w:type="dxa"/>
            <w:vAlign w:val="bottom"/>
            <w:tcBorders>
              <w:right w:val="single" w:sz="8" w:color="E7E7E2"/>
            </w:tcBorders>
            <w:gridSpan w:val="3"/>
          </w:tcPr>
          <w:p>
            <w:pPr>
              <w:spacing w:after="0"/>
              <w:rPr>
                <w:sz w:val="10"/>
                <w:szCs w:val="10"/>
                <w:color w:val="auto"/>
              </w:rPr>
            </w:pPr>
          </w:p>
        </w:tc>
        <w:tc>
          <w:tcPr>
            <w:tcW w:w="180" w:type="dxa"/>
            <w:vAlign w:val="bottom"/>
            <w:tcBorders>
              <w:right w:val="single" w:sz="8" w:color="E7E7E2"/>
            </w:tcBorders>
            <w:gridSpan w:val="2"/>
          </w:tcPr>
          <w:p>
            <w:pPr>
              <w:spacing w:after="0"/>
              <w:rPr>
                <w:sz w:val="10"/>
                <w:szCs w:val="10"/>
                <w:color w:val="auto"/>
              </w:rPr>
            </w:pPr>
          </w:p>
        </w:tc>
        <w:tc>
          <w:tcPr>
            <w:tcW w:w="720" w:type="dxa"/>
            <w:vAlign w:val="bottom"/>
            <w:tcBorders>
              <w:right w:val="single" w:sz="8" w:color="E7E7E2"/>
            </w:tcBorders>
            <w:gridSpan w:val="3"/>
            <w:shd w:val="clear" w:color="auto" w:fill="E7E7E2"/>
          </w:tcPr>
          <w:p>
            <w:pPr>
              <w:spacing w:after="0"/>
              <w:rPr>
                <w:sz w:val="10"/>
                <w:szCs w:val="10"/>
                <w:color w:val="auto"/>
              </w:rPr>
            </w:pPr>
          </w:p>
        </w:tc>
        <w:tc>
          <w:tcPr>
            <w:tcW w:w="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19"/>
                <w:szCs w:val="19"/>
                <w:color w:val="auto"/>
              </w:rPr>
            </w:pP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7880" w:type="dxa"/>
            <w:vAlign w:val="bottom"/>
            <w:tcBorders>
              <w:right w:val="single" w:sz="8" w:color="E7E7E2"/>
            </w:tcBorders>
            <w:gridSpan w:val="51"/>
            <w:shd w:val="clear" w:color="auto" w:fill="E7E7E2"/>
          </w:tcPr>
          <w:p>
            <w:pPr>
              <w:spacing w:after="0"/>
              <w:rPr>
                <w:sz w:val="20"/>
                <w:szCs w:val="20"/>
                <w:color w:val="auto"/>
              </w:rPr>
            </w:pPr>
            <w:r>
              <w:rPr>
                <w:rFonts w:ascii="Arial" w:cs="Arial" w:eastAsia="Arial" w:hAnsi="Arial"/>
                <w:sz w:val="17"/>
                <w:szCs w:val="17"/>
                <w:color w:val="auto"/>
                <w:w w:val="79"/>
              </w:rPr>
              <w:t>2031</w:t>
            </w:r>
          </w:p>
        </w:tc>
        <w:tc>
          <w:tcPr>
            <w:tcW w:w="740" w:type="dxa"/>
            <w:vAlign w:val="bottom"/>
            <w:tcBorders>
              <w:right w:val="single" w:sz="8" w:color="E7E7E2"/>
            </w:tcBorders>
            <w:gridSpan w:val="3"/>
          </w:tcPr>
          <w:p>
            <w:pPr>
              <w:spacing w:after="0"/>
              <w:rPr>
                <w:sz w:val="19"/>
                <w:szCs w:val="19"/>
                <w:color w:val="auto"/>
              </w:rPr>
            </w:pPr>
          </w:p>
        </w:tc>
        <w:tc>
          <w:tcPr>
            <w:tcW w:w="180" w:type="dxa"/>
            <w:vAlign w:val="bottom"/>
            <w:tcBorders>
              <w:right w:val="single" w:sz="8" w:color="E7E7E2"/>
            </w:tcBorders>
            <w:gridSpan w:val="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360" w:type="dxa"/>
            <w:vAlign w:val="bottom"/>
            <w:tcBorders>
              <w:left w:val="single" w:sz="8" w:color="auto"/>
              <w:right w:val="single" w:sz="8" w:color="auto"/>
            </w:tcBorders>
            <w:gridSpan w:val="7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Fees</w:t>
            </w: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7880" w:type="dxa"/>
            <w:vAlign w:val="bottom"/>
            <w:tcBorders>
              <w:right w:val="single" w:sz="8" w:color="E7E7E2"/>
            </w:tcBorders>
            <w:gridSpan w:val="51"/>
            <w:shd w:val="clear" w:color="auto" w:fill="E7E7E2"/>
          </w:tcPr>
          <w:p>
            <w:pPr>
              <w:spacing w:after="0"/>
              <w:rPr>
                <w:sz w:val="15"/>
                <w:szCs w:val="15"/>
                <w:color w:val="auto"/>
              </w:rPr>
            </w:pPr>
          </w:p>
        </w:tc>
        <w:tc>
          <w:tcPr>
            <w:tcW w:w="740" w:type="dxa"/>
            <w:vAlign w:val="bottom"/>
            <w:tcBorders>
              <w:right w:val="single" w:sz="8" w:color="E7E7E2"/>
            </w:tcBorders>
            <w:gridSpan w:val="3"/>
          </w:tcPr>
          <w:p>
            <w:pPr>
              <w:spacing w:after="0"/>
              <w:rPr>
                <w:sz w:val="15"/>
                <w:szCs w:val="15"/>
                <w:color w:val="auto"/>
              </w:rPr>
            </w:pPr>
          </w:p>
        </w:tc>
        <w:tc>
          <w:tcPr>
            <w:tcW w:w="180" w:type="dxa"/>
            <w:vAlign w:val="bottom"/>
            <w:tcBorders>
              <w:right w:val="single" w:sz="8" w:color="E7E7E2"/>
            </w:tcBorders>
            <w:gridSpan w:val="2"/>
          </w:tcPr>
          <w:p>
            <w:pPr>
              <w:spacing w:after="0"/>
              <w:rPr>
                <w:sz w:val="15"/>
                <w:szCs w:val="15"/>
                <w:color w:val="auto"/>
              </w:rPr>
            </w:pPr>
          </w:p>
        </w:tc>
        <w:tc>
          <w:tcPr>
            <w:tcW w:w="720" w:type="dxa"/>
            <w:vAlign w:val="bottom"/>
            <w:tcBorders>
              <w:right w:val="single" w:sz="8" w:color="E7E7E2"/>
            </w:tcBorders>
            <w:gridSpan w:val="3"/>
            <w:shd w:val="clear" w:color="auto" w:fill="E7E7E2"/>
          </w:tcPr>
          <w:p>
            <w:pPr>
              <w:spacing w:after="0"/>
              <w:rPr>
                <w:sz w:val="15"/>
                <w:szCs w:val="15"/>
                <w:color w:val="auto"/>
              </w:rPr>
            </w:pPr>
          </w:p>
        </w:tc>
        <w:tc>
          <w:tcPr>
            <w:tcW w:w="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Previously</w:t>
            </w:r>
          </w:p>
        </w:tc>
        <w:tc>
          <w:tcPr>
            <w:tcW w:w="740" w:type="dxa"/>
            <w:vAlign w:val="bottom"/>
            <w:tcBorders>
              <w:right w:val="single" w:sz="8" w:color="E7E7E2"/>
            </w:tcBorders>
            <w:gridSpan w:val="3"/>
            <w:shd w:val="clear" w:color="auto" w:fill="E7E7E2"/>
          </w:tcPr>
          <w:p>
            <w:pPr>
              <w:spacing w:after="0"/>
              <w:rPr>
                <w:sz w:val="16"/>
                <w:szCs w:val="16"/>
                <w:color w:val="auto"/>
              </w:rPr>
            </w:pPr>
          </w:p>
        </w:tc>
        <w:tc>
          <w:tcPr>
            <w:tcW w:w="7880" w:type="dxa"/>
            <w:vAlign w:val="bottom"/>
            <w:tcBorders>
              <w:right w:val="single" w:sz="8" w:color="E7E7E2"/>
            </w:tcBorders>
            <w:gridSpan w:val="51"/>
            <w:shd w:val="clear" w:color="auto" w:fill="E7E7E2"/>
          </w:tcPr>
          <w:p>
            <w:pPr>
              <w:spacing w:after="0"/>
              <w:rPr>
                <w:sz w:val="16"/>
                <w:szCs w:val="16"/>
                <w:color w:val="auto"/>
              </w:rPr>
            </w:pPr>
          </w:p>
        </w:tc>
        <w:tc>
          <w:tcPr>
            <w:tcW w:w="740" w:type="dxa"/>
            <w:vAlign w:val="bottom"/>
            <w:tcBorders>
              <w:right w:val="single" w:sz="8" w:color="E7E7E2"/>
            </w:tcBorders>
            <w:gridSpan w:val="3"/>
          </w:tcPr>
          <w:p>
            <w:pPr>
              <w:spacing w:after="0"/>
              <w:rPr>
                <w:sz w:val="16"/>
                <w:szCs w:val="16"/>
                <w:color w:val="auto"/>
              </w:rPr>
            </w:pPr>
          </w:p>
        </w:tc>
        <w:tc>
          <w:tcPr>
            <w:tcW w:w="180" w:type="dxa"/>
            <w:vAlign w:val="bottom"/>
            <w:tcBorders>
              <w:right w:val="single" w:sz="8" w:color="E7E7E2"/>
            </w:tcBorders>
            <w:gridSpan w:val="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Paid</w:t>
            </w: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7880" w:type="dxa"/>
            <w:vAlign w:val="bottom"/>
            <w:tcBorders>
              <w:right w:val="single" w:sz="8" w:color="E7E7E2"/>
            </w:tcBorders>
            <w:gridSpan w:val="51"/>
            <w:shd w:val="clear" w:color="auto" w:fill="E7E7E2"/>
          </w:tcPr>
          <w:p>
            <w:pPr>
              <w:spacing w:after="0"/>
              <w:rPr>
                <w:sz w:val="19"/>
                <w:szCs w:val="19"/>
                <w:color w:val="auto"/>
              </w:rPr>
            </w:pPr>
          </w:p>
        </w:tc>
        <w:tc>
          <w:tcPr>
            <w:tcW w:w="740" w:type="dxa"/>
            <w:vAlign w:val="bottom"/>
            <w:tcBorders>
              <w:right w:val="single" w:sz="8" w:color="E7E7E2"/>
            </w:tcBorders>
            <w:gridSpan w:val="3"/>
          </w:tcPr>
          <w:p>
            <w:pPr>
              <w:spacing w:after="0"/>
              <w:rPr>
                <w:sz w:val="19"/>
                <w:szCs w:val="19"/>
                <w:color w:val="auto"/>
              </w:rPr>
            </w:pPr>
          </w:p>
        </w:tc>
        <w:tc>
          <w:tcPr>
            <w:tcW w:w="180" w:type="dxa"/>
            <w:vAlign w:val="bottom"/>
            <w:tcBorders>
              <w:right w:val="single" w:sz="8" w:color="E7E7E2"/>
            </w:tcBorders>
            <w:gridSpan w:val="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17"/>
          </w:tcPr>
          <w:p>
            <w:pPr>
              <w:jc w:val="center"/>
              <w:ind w:left="219"/>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Carry</w:t>
            </w: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7880" w:type="dxa"/>
            <w:vAlign w:val="bottom"/>
            <w:tcBorders>
              <w:right w:val="single" w:sz="8" w:color="E7E7E2"/>
            </w:tcBorders>
            <w:gridSpan w:val="51"/>
            <w:shd w:val="clear" w:color="auto" w:fill="E7E7E2"/>
          </w:tcPr>
          <w:p>
            <w:pPr>
              <w:spacing w:after="0"/>
              <w:rPr>
                <w:sz w:val="15"/>
                <w:szCs w:val="15"/>
                <w:color w:val="auto"/>
              </w:rPr>
            </w:pPr>
          </w:p>
        </w:tc>
        <w:tc>
          <w:tcPr>
            <w:tcW w:w="740" w:type="dxa"/>
            <w:vAlign w:val="bottom"/>
            <w:tcBorders>
              <w:right w:val="single" w:sz="8" w:color="E7E7E2"/>
            </w:tcBorders>
            <w:gridSpan w:val="3"/>
          </w:tcPr>
          <w:p>
            <w:pPr>
              <w:spacing w:after="0"/>
              <w:rPr>
                <w:sz w:val="15"/>
                <w:szCs w:val="15"/>
                <w:color w:val="auto"/>
              </w:rPr>
            </w:pPr>
          </w:p>
        </w:tc>
        <w:tc>
          <w:tcPr>
            <w:tcW w:w="180" w:type="dxa"/>
            <w:vAlign w:val="bottom"/>
            <w:tcBorders>
              <w:right w:val="single" w:sz="8" w:color="E7E7E2"/>
            </w:tcBorders>
            <w:gridSpan w:val="2"/>
          </w:tcPr>
          <w:p>
            <w:pPr>
              <w:spacing w:after="0"/>
              <w:rPr>
                <w:sz w:val="15"/>
                <w:szCs w:val="15"/>
                <w:color w:val="auto"/>
              </w:rPr>
            </w:pPr>
          </w:p>
        </w:tc>
        <w:tc>
          <w:tcPr>
            <w:tcW w:w="720" w:type="dxa"/>
            <w:vAlign w:val="bottom"/>
            <w:tcBorders>
              <w:right w:val="single" w:sz="8" w:color="E7E7E2"/>
            </w:tcBorders>
            <w:gridSpan w:val="3"/>
            <w:shd w:val="clear" w:color="auto" w:fill="E7E7E2"/>
          </w:tcPr>
          <w:p>
            <w:pPr>
              <w:spacing w:after="0"/>
              <w:rPr>
                <w:sz w:val="15"/>
                <w:szCs w:val="15"/>
                <w:color w:val="auto"/>
              </w:rPr>
            </w:pPr>
          </w:p>
        </w:tc>
        <w:tc>
          <w:tcPr>
            <w:tcW w:w="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Forward</w:t>
            </w:r>
          </w:p>
        </w:tc>
        <w:tc>
          <w:tcPr>
            <w:tcW w:w="740" w:type="dxa"/>
            <w:vAlign w:val="bottom"/>
            <w:tcBorders>
              <w:right w:val="single" w:sz="8" w:color="E7E7E2"/>
            </w:tcBorders>
            <w:gridSpan w:val="3"/>
            <w:shd w:val="clear" w:color="auto" w:fill="E7E7E2"/>
          </w:tcPr>
          <w:p>
            <w:pPr>
              <w:spacing w:after="0"/>
              <w:rPr>
                <w:sz w:val="16"/>
                <w:szCs w:val="16"/>
                <w:color w:val="auto"/>
              </w:rPr>
            </w:pPr>
          </w:p>
        </w:tc>
        <w:tc>
          <w:tcPr>
            <w:tcW w:w="7880" w:type="dxa"/>
            <w:vAlign w:val="bottom"/>
            <w:tcBorders>
              <w:right w:val="single" w:sz="8" w:color="E7E7E2"/>
            </w:tcBorders>
            <w:gridSpan w:val="51"/>
            <w:shd w:val="clear" w:color="auto" w:fill="E7E7E2"/>
          </w:tcPr>
          <w:p>
            <w:pPr>
              <w:spacing w:after="0"/>
              <w:rPr>
                <w:sz w:val="16"/>
                <w:szCs w:val="16"/>
                <w:color w:val="auto"/>
              </w:rPr>
            </w:pPr>
          </w:p>
        </w:tc>
        <w:tc>
          <w:tcPr>
            <w:tcW w:w="740" w:type="dxa"/>
            <w:vAlign w:val="bottom"/>
            <w:tcBorders>
              <w:right w:val="single" w:sz="8" w:color="E7E7E2"/>
            </w:tcBorders>
            <w:gridSpan w:val="3"/>
          </w:tcPr>
          <w:p>
            <w:pPr>
              <w:spacing w:after="0"/>
              <w:rPr>
                <w:sz w:val="16"/>
                <w:szCs w:val="16"/>
                <w:color w:val="auto"/>
              </w:rPr>
            </w:pPr>
          </w:p>
        </w:tc>
        <w:tc>
          <w:tcPr>
            <w:tcW w:w="180" w:type="dxa"/>
            <w:vAlign w:val="bottom"/>
            <w:tcBorders>
              <w:right w:val="single" w:sz="8" w:color="E7E7E2"/>
            </w:tcBorders>
            <w:gridSpan w:val="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Securities</w:t>
            </w: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7880" w:type="dxa"/>
            <w:vAlign w:val="bottom"/>
            <w:tcBorders>
              <w:right w:val="single" w:sz="8" w:color="E7E7E2"/>
            </w:tcBorders>
            <w:gridSpan w:val="51"/>
            <w:shd w:val="clear" w:color="auto" w:fill="E7E7E2"/>
          </w:tcPr>
          <w:p>
            <w:pPr>
              <w:spacing w:after="0"/>
              <w:rPr>
                <w:sz w:val="19"/>
                <w:szCs w:val="19"/>
                <w:color w:val="auto"/>
              </w:rPr>
            </w:pPr>
          </w:p>
        </w:tc>
        <w:tc>
          <w:tcPr>
            <w:tcW w:w="740" w:type="dxa"/>
            <w:vAlign w:val="bottom"/>
            <w:tcBorders>
              <w:right w:val="single" w:sz="8" w:color="E7E7E2"/>
            </w:tcBorders>
            <w:gridSpan w:val="3"/>
          </w:tcPr>
          <w:p>
            <w:pPr>
              <w:spacing w:after="0"/>
              <w:rPr>
                <w:sz w:val="19"/>
                <w:szCs w:val="19"/>
                <w:color w:val="auto"/>
              </w:rPr>
            </w:pPr>
          </w:p>
        </w:tc>
        <w:tc>
          <w:tcPr>
            <w:tcW w:w="180" w:type="dxa"/>
            <w:vAlign w:val="bottom"/>
            <w:tcBorders>
              <w:right w:val="single" w:sz="8" w:color="E7E7E2"/>
            </w:tcBorders>
            <w:gridSpan w:val="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160" w:type="dxa"/>
            <w:vAlign w:val="bottom"/>
            <w:tcBorders>
              <w:left w:val="single" w:sz="8" w:color="auto"/>
            </w:tcBorders>
            <w:gridSpan w:val="35"/>
          </w:tcPr>
          <w:p>
            <w:pPr>
              <w:spacing w:after="0"/>
              <w:rPr>
                <w:sz w:val="20"/>
                <w:szCs w:val="20"/>
                <w:color w:val="auto"/>
              </w:rPr>
            </w:pPr>
            <w:r>
              <w:rPr>
                <w:rFonts w:ascii="Arial" w:cs="Arial" w:eastAsia="Arial" w:hAnsi="Arial"/>
                <w:sz w:val="17"/>
                <w:szCs w:val="17"/>
                <w:color w:val="auto"/>
              </w:rPr>
              <w:t>Total Offering Amounts:</w:t>
            </w:r>
          </w:p>
        </w:tc>
        <w:tc>
          <w:tcPr>
            <w:tcW w:w="580" w:type="dxa"/>
            <w:vAlign w:val="bottom"/>
            <w:gridSpan w:val="5"/>
          </w:tcPr>
          <w:p>
            <w:pPr>
              <w:jc w:val="right"/>
              <w:ind w:right="316"/>
              <w:spacing w:after="0"/>
              <w:rPr>
                <w:sz w:val="20"/>
                <w:szCs w:val="20"/>
                <w:color w:val="auto"/>
              </w:rPr>
            </w:pPr>
            <w:r>
              <w:rPr>
                <w:rFonts w:ascii="Arial" w:cs="Arial" w:eastAsia="Arial" w:hAnsi="Arial"/>
                <w:sz w:val="17"/>
                <w:szCs w:val="17"/>
                <w:color w:val="auto"/>
              </w:rPr>
              <w:t>$</w:t>
            </w:r>
          </w:p>
        </w:tc>
        <w:tc>
          <w:tcPr>
            <w:tcW w:w="4620" w:type="dxa"/>
            <w:vAlign w:val="bottom"/>
            <w:tcBorders>
              <w:right w:val="single" w:sz="8" w:color="auto"/>
            </w:tcBorders>
            <w:gridSpan w:val="30"/>
          </w:tcPr>
          <w:p>
            <w:pPr>
              <w:jc w:val="right"/>
              <w:ind w:right="3160"/>
              <w:spacing w:after="0"/>
              <w:rPr>
                <w:sz w:val="20"/>
                <w:szCs w:val="20"/>
                <w:color w:val="auto"/>
              </w:rPr>
            </w:pPr>
            <w:r>
              <w:rPr>
                <w:rFonts w:ascii="Arial" w:cs="Arial" w:eastAsia="Arial" w:hAnsi="Arial"/>
                <w:sz w:val="17"/>
                <w:szCs w:val="17"/>
                <w:color w:val="auto"/>
              </w:rPr>
              <w:t>$ 69,050.00</w:t>
            </w:r>
          </w:p>
        </w:tc>
        <w:tc>
          <w:tcPr>
            <w:tcW w:w="0" w:type="dxa"/>
            <w:vAlign w:val="bottom"/>
          </w:tcPr>
          <w:p>
            <w:pPr>
              <w:spacing w:after="0"/>
              <w:rPr>
                <w:sz w:val="1"/>
                <w:szCs w:val="1"/>
                <w:color w:val="auto"/>
              </w:rPr>
            </w:pPr>
          </w:p>
        </w:tc>
      </w:tr>
      <w:tr>
        <w:trPr>
          <w:trHeight w:val="222"/>
        </w:trPr>
        <w:tc>
          <w:tcPr>
            <w:tcW w:w="11360" w:type="dxa"/>
            <w:vAlign w:val="bottom"/>
            <w:tcBorders>
              <w:left w:val="single" w:sz="8" w:color="auto"/>
              <w:right w:val="single" w:sz="8" w:color="auto"/>
            </w:tcBorders>
            <w:gridSpan w:val="70"/>
          </w:tcPr>
          <w:p>
            <w:pPr>
              <w:jc w:val="right"/>
              <w:ind w:right="11360"/>
              <w:spacing w:after="0"/>
              <w:rPr>
                <w:sz w:val="20"/>
                <w:szCs w:val="20"/>
                <w:color w:val="auto"/>
              </w:rPr>
            </w:pPr>
            <w:r>
              <w:rPr>
                <w:rFonts w:ascii="Arial" w:cs="Arial" w:eastAsia="Arial" w:hAnsi="Arial"/>
                <w:sz w:val="17"/>
                <w:szCs w:val="17"/>
                <w:color w:val="auto"/>
              </w:rPr>
              <w:t>500,000,000.00</w:t>
            </w:r>
          </w:p>
        </w:tc>
        <w:tc>
          <w:tcPr>
            <w:tcW w:w="0" w:type="dxa"/>
            <w:vAlign w:val="bottom"/>
          </w:tcPr>
          <w:p>
            <w:pPr>
              <w:spacing w:after="0"/>
              <w:rPr>
                <w:sz w:val="1"/>
                <w:szCs w:val="1"/>
                <w:color w:val="auto"/>
              </w:rPr>
            </w:pPr>
          </w:p>
        </w:tc>
      </w:tr>
      <w:tr>
        <w:trPr>
          <w:trHeight w:val="230"/>
        </w:trPr>
        <w:tc>
          <w:tcPr>
            <w:tcW w:w="7560" w:type="dxa"/>
            <w:vAlign w:val="bottom"/>
            <w:tcBorders>
              <w:left w:val="single" w:sz="8" w:color="auto"/>
            </w:tcBorders>
            <w:gridSpan w:val="44"/>
          </w:tcPr>
          <w:p>
            <w:pPr>
              <w:spacing w:after="0"/>
              <w:rPr>
                <w:sz w:val="20"/>
                <w:szCs w:val="20"/>
                <w:color w:val="auto"/>
              </w:rPr>
            </w:pPr>
            <w:r>
              <w:rPr>
                <w:rFonts w:ascii="Arial" w:cs="Arial" w:eastAsia="Arial" w:hAnsi="Arial"/>
                <w:sz w:val="17"/>
                <w:szCs w:val="17"/>
                <w:color w:val="auto"/>
              </w:rPr>
              <w:t>Total Fees Previously Paid:</w:t>
            </w:r>
          </w:p>
        </w:tc>
        <w:tc>
          <w:tcPr>
            <w:tcW w:w="3800" w:type="dxa"/>
            <w:vAlign w:val="bottom"/>
            <w:tcBorders>
              <w:right w:val="single" w:sz="8" w:color="auto"/>
            </w:tcBorders>
            <w:gridSpan w:val="26"/>
          </w:tcPr>
          <w:p>
            <w:pPr>
              <w:jc w:val="right"/>
              <w:ind w:right="3160"/>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0"/>
        </w:trPr>
        <w:tc>
          <w:tcPr>
            <w:tcW w:w="7560" w:type="dxa"/>
            <w:vAlign w:val="bottom"/>
            <w:tcBorders>
              <w:left w:val="single" w:sz="8" w:color="auto"/>
            </w:tcBorders>
            <w:gridSpan w:val="44"/>
          </w:tcPr>
          <w:p>
            <w:pPr>
              <w:spacing w:after="0"/>
              <w:rPr>
                <w:sz w:val="20"/>
                <w:szCs w:val="20"/>
                <w:color w:val="auto"/>
              </w:rPr>
            </w:pPr>
            <w:r>
              <w:rPr>
                <w:rFonts w:ascii="Arial" w:cs="Arial" w:eastAsia="Arial" w:hAnsi="Arial"/>
                <w:sz w:val="17"/>
                <w:szCs w:val="17"/>
                <w:color w:val="auto"/>
              </w:rPr>
              <w:t>Total Fee Offsets:</w:t>
            </w:r>
          </w:p>
        </w:tc>
        <w:tc>
          <w:tcPr>
            <w:tcW w:w="3800" w:type="dxa"/>
            <w:vAlign w:val="bottom"/>
            <w:tcBorders>
              <w:right w:val="single" w:sz="8" w:color="auto"/>
            </w:tcBorders>
            <w:gridSpan w:val="26"/>
          </w:tcPr>
          <w:p>
            <w:pPr>
              <w:jc w:val="right"/>
              <w:ind w:right="3160"/>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45"/>
        </w:trPr>
        <w:tc>
          <w:tcPr>
            <w:tcW w:w="6740" w:type="dxa"/>
            <w:vAlign w:val="bottom"/>
            <w:tcBorders>
              <w:left w:val="single" w:sz="8" w:color="auto"/>
              <w:bottom w:val="single" w:sz="8" w:color="auto"/>
            </w:tcBorders>
            <w:gridSpan w:val="40"/>
          </w:tcPr>
          <w:p>
            <w:pPr>
              <w:spacing w:after="0"/>
              <w:rPr>
                <w:sz w:val="20"/>
                <w:szCs w:val="20"/>
                <w:color w:val="auto"/>
              </w:rPr>
            </w:pPr>
            <w:r>
              <w:rPr>
                <w:rFonts w:ascii="Arial" w:cs="Arial" w:eastAsia="Arial" w:hAnsi="Arial"/>
                <w:sz w:val="17"/>
                <w:szCs w:val="17"/>
                <w:color w:val="auto"/>
              </w:rPr>
              <w:t>Net Fee Due:</w:t>
            </w:r>
          </w:p>
        </w:tc>
        <w:tc>
          <w:tcPr>
            <w:tcW w:w="4620" w:type="dxa"/>
            <w:vAlign w:val="bottom"/>
            <w:tcBorders>
              <w:bottom w:val="single" w:sz="8" w:color="auto"/>
              <w:right w:val="single" w:sz="8" w:color="auto"/>
            </w:tcBorders>
            <w:gridSpan w:val="30"/>
          </w:tcPr>
          <w:p>
            <w:pPr>
              <w:jc w:val="right"/>
              <w:ind w:right="3160"/>
              <w:spacing w:after="0"/>
              <w:rPr>
                <w:sz w:val="20"/>
                <w:szCs w:val="20"/>
                <w:color w:val="auto"/>
              </w:rPr>
            </w:pPr>
            <w:r>
              <w:rPr>
                <w:rFonts w:ascii="Arial" w:cs="Arial" w:eastAsia="Arial" w:hAnsi="Arial"/>
                <w:sz w:val="17"/>
                <w:szCs w:val="17"/>
                <w:color w:val="auto"/>
              </w:rPr>
              <w:t>$ 69,050.00</w:t>
            </w:r>
          </w:p>
        </w:tc>
        <w:tc>
          <w:tcPr>
            <w:tcW w:w="0" w:type="dxa"/>
            <w:vAlign w:val="bottom"/>
          </w:tcPr>
          <w:p>
            <w:pPr>
              <w:spacing w:after="0"/>
              <w:rPr>
                <w:sz w:val="1"/>
                <w:szCs w:val="1"/>
                <w:color w:val="auto"/>
              </w:rPr>
            </w:pPr>
          </w:p>
        </w:tc>
      </w:tr>
      <w:tr>
        <w:trPr>
          <w:trHeight w:val="444"/>
        </w:trPr>
        <w:tc>
          <w:tcPr>
            <w:tcW w:w="11360" w:type="dxa"/>
            <w:vAlign w:val="bottom"/>
            <w:gridSpan w:val="70"/>
          </w:tcPr>
          <w:p>
            <w:pPr>
              <w:spacing w:after="0"/>
              <w:rPr>
                <w:sz w:val="20"/>
                <w:szCs w:val="20"/>
                <w:color w:val="auto"/>
              </w:rPr>
            </w:pPr>
            <w:r>
              <w:rPr>
                <w:rFonts w:ascii="Arial" w:cs="Arial" w:eastAsia="Arial" w:hAnsi="Arial"/>
                <w:sz w:val="17"/>
                <w:szCs w:val="17"/>
                <w:b w:val="1"/>
                <w:bCs w:val="1"/>
                <w:color w:val="auto"/>
              </w:rPr>
              <w:t>Offering Note</w:t>
            </w:r>
          </w:p>
        </w:tc>
        <w:tc>
          <w:tcPr>
            <w:tcW w:w="0" w:type="dxa"/>
            <w:vAlign w:val="bottom"/>
          </w:tcPr>
          <w:p>
            <w:pPr>
              <w:spacing w:after="0"/>
              <w:rPr>
                <w:sz w:val="1"/>
                <w:szCs w:val="1"/>
                <w:color w:val="auto"/>
              </w:rPr>
            </w:pPr>
          </w:p>
        </w:tc>
      </w:tr>
      <w:tr>
        <w:trPr>
          <w:trHeight w:val="363"/>
        </w:trPr>
        <w:tc>
          <w:tcPr>
            <w:tcW w:w="11360" w:type="dxa"/>
            <w:vAlign w:val="bottom"/>
            <w:gridSpan w:val="70"/>
          </w:tcPr>
          <w:p>
            <w:pPr>
              <w:spacing w:after="0"/>
              <w:rPr>
                <w:sz w:val="20"/>
                <w:szCs w:val="20"/>
                <w:color w:val="auto"/>
              </w:rPr>
            </w:pPr>
            <w:r>
              <w:rPr>
                <w:rFonts w:ascii="Arial" w:cs="Arial" w:eastAsia="Arial" w:hAnsi="Arial"/>
                <w:sz w:val="20"/>
                <w:szCs w:val="20"/>
                <w:color w:val="auto"/>
                <w:vertAlign w:val="superscript"/>
              </w:rPr>
              <w:t>1</w:t>
            </w:r>
            <w:r>
              <w:rPr>
                <w:rFonts w:ascii="Arial" w:cs="Arial" w:eastAsia="Arial" w:hAnsi="Arial"/>
                <w:sz w:val="17"/>
                <w:szCs w:val="17"/>
                <w:color w:val="auto"/>
              </w:rPr>
              <w:t xml:space="preserve">  Footnote.</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240" w:type="dxa"/>
            <w:vAlign w:val="bottom"/>
            <w:tcBorders>
              <w:bottom w:val="single" w:sz="8" w:color="9A9A9A"/>
            </w:tcBorders>
            <w:gridSpan w:val="68"/>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9"/>
        </w:trPr>
        <w:tc>
          <w:tcPr>
            <w:tcW w:w="40" w:type="dxa"/>
            <w:vAlign w:val="bottom"/>
          </w:tcPr>
          <w:p>
            <w:pPr>
              <w:spacing w:after="0"/>
              <w:rPr>
                <w:sz w:val="24"/>
                <w:szCs w:val="24"/>
                <w:color w:val="auto"/>
              </w:rPr>
            </w:pPr>
          </w:p>
        </w:tc>
        <w:tc>
          <w:tcPr>
            <w:tcW w:w="3300" w:type="dxa"/>
            <w:vAlign w:val="bottom"/>
            <w:gridSpan w:val="16"/>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8"/>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86"/>
        </w:trPr>
        <w:tc>
          <w:tcPr>
            <w:tcW w:w="1020" w:type="dxa"/>
            <w:vAlign w:val="bottom"/>
            <w:tcBorders>
              <w:top w:val="single" w:sz="8" w:color="auto"/>
              <w:left w:val="single" w:sz="8" w:color="auto"/>
              <w:right w:val="single" w:sz="8" w:color="9ADAF6"/>
            </w:tcBorders>
            <w:gridSpan w:val="7"/>
          </w:tcPr>
          <w:p>
            <w:pPr>
              <w:spacing w:after="0"/>
              <w:rPr>
                <w:sz w:val="16"/>
                <w:szCs w:val="16"/>
                <w:color w:val="auto"/>
              </w:rPr>
            </w:pPr>
          </w:p>
        </w:tc>
        <w:tc>
          <w:tcPr>
            <w:tcW w:w="740" w:type="dxa"/>
            <w:vAlign w:val="bottom"/>
            <w:tcBorders>
              <w:top w:val="single" w:sz="8" w:color="auto"/>
              <w:right w:val="single" w:sz="8" w:color="9ADAF6"/>
            </w:tcBorders>
            <w:gridSpan w:val="3"/>
          </w:tcPr>
          <w:p>
            <w:pPr>
              <w:spacing w:after="0"/>
              <w:rPr>
                <w:sz w:val="16"/>
                <w:szCs w:val="16"/>
                <w:color w:val="auto"/>
              </w:rPr>
            </w:pPr>
          </w:p>
        </w:tc>
        <w:tc>
          <w:tcPr>
            <w:tcW w:w="7880" w:type="dxa"/>
            <w:vAlign w:val="bottom"/>
            <w:tcBorders>
              <w:top w:val="single" w:sz="8" w:color="auto"/>
              <w:right w:val="single" w:sz="8" w:color="9ADAF6"/>
            </w:tcBorders>
            <w:gridSpan w:val="51"/>
          </w:tcPr>
          <w:p>
            <w:pPr>
              <w:spacing w:after="0"/>
              <w:rPr>
                <w:sz w:val="16"/>
                <w:szCs w:val="16"/>
                <w:color w:val="auto"/>
              </w:rPr>
            </w:pPr>
          </w:p>
        </w:tc>
        <w:tc>
          <w:tcPr>
            <w:tcW w:w="920" w:type="dxa"/>
            <w:vAlign w:val="bottom"/>
            <w:tcBorders>
              <w:top w:val="single" w:sz="8" w:color="auto"/>
              <w:right w:val="single" w:sz="8" w:color="9ADAF6"/>
            </w:tcBorders>
            <w:gridSpan w:val="5"/>
            <w:shd w:val="clear" w:color="auto" w:fill="9ADAF6"/>
          </w:tcPr>
          <w:p>
            <w:pPr>
              <w:spacing w:after="0"/>
              <w:rPr>
                <w:sz w:val="20"/>
                <w:szCs w:val="20"/>
                <w:color w:val="auto"/>
              </w:rPr>
            </w:pPr>
            <w:r>
              <w:rPr>
                <w:rFonts w:ascii="Arial" w:cs="Arial" w:eastAsia="Arial" w:hAnsi="Arial"/>
                <w:sz w:val="17"/>
                <w:szCs w:val="17"/>
                <w:b w:val="1"/>
                <w:bCs w:val="1"/>
                <w:color w:val="auto"/>
              </w:rPr>
              <w:t>Unsold</w:t>
            </w:r>
          </w:p>
        </w:tc>
        <w:tc>
          <w:tcPr>
            <w:tcW w:w="720" w:type="dxa"/>
            <w:vAlign w:val="bottom"/>
            <w:tcBorders>
              <w:top w:val="single" w:sz="8" w:color="auto"/>
              <w:right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59"/>
              <w:spacing w:after="0" w:line="189"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760" w:type="dxa"/>
            <w:vAlign w:val="bottom"/>
            <w:gridSpan w:val="7"/>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rPr>
              <w:t>Unsold</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00" w:type="dxa"/>
            <w:vAlign w:val="bottom"/>
            <w:tcBorders>
              <w:right w:val="single" w:sz="8" w:color="9ADAF6"/>
            </w:tcBorders>
            <w:gridSpan w:val="4"/>
            <w:shd w:val="clear" w:color="auto" w:fill="9ADAF6"/>
          </w:tcPr>
          <w:p>
            <w:pPr>
              <w:jc w:val="center"/>
              <w:ind w:right="3"/>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5"/>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80" w:type="dxa"/>
            <w:vAlign w:val="bottom"/>
            <w:gridSpan w:val="5"/>
            <w:vMerge w:val="restart"/>
            <w:shd w:val="clear" w:color="auto" w:fill="9ADAF6"/>
          </w:tcPr>
          <w:p>
            <w:pPr>
              <w:jc w:val="center"/>
              <w:ind w:right="16"/>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59"/>
              <w:spacing w:after="0" w:line="189" w:lineRule="exact"/>
              <w:rPr>
                <w:sz w:val="20"/>
                <w:szCs w:val="20"/>
                <w:color w:val="auto"/>
              </w:rPr>
            </w:pPr>
            <w:r>
              <w:rPr>
                <w:rFonts w:ascii="Arial" w:cs="Arial" w:eastAsia="Arial" w:hAnsi="Arial"/>
                <w:sz w:val="17"/>
                <w:szCs w:val="17"/>
                <w:b w:val="1"/>
                <w:bCs w:val="1"/>
                <w:color w:val="auto"/>
                <w:w w:val="95"/>
              </w:rPr>
              <w:t>Type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gridSpan w:val="3"/>
            <w:shd w:val="clear" w:color="auto" w:fill="9ADAF6"/>
          </w:tcPr>
          <w:p>
            <w:pPr>
              <w:jc w:val="center"/>
              <w:ind w:left="20"/>
              <w:spacing w:after="0" w:line="189" w:lineRule="exact"/>
              <w:rPr>
                <w:sz w:val="20"/>
                <w:szCs w:val="20"/>
                <w:color w:val="auto"/>
              </w:rPr>
            </w:pPr>
            <w:r>
              <w:rPr>
                <w:rFonts w:ascii="Arial" w:cs="Arial" w:eastAsia="Arial" w:hAnsi="Arial"/>
                <w:sz w:val="17"/>
                <w:szCs w:val="17"/>
                <w:b w:val="1"/>
                <w:bCs w:val="1"/>
                <w:color w:val="auto"/>
                <w:w w:val="96"/>
              </w:rPr>
              <w:t>Offering</w:t>
            </w: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Paid</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6"/>
            <w:vMerge w:val="restart"/>
            <w:shd w:val="clear" w:color="auto" w:fill="9ADAF6"/>
          </w:tcPr>
          <w:p>
            <w:pPr>
              <w:ind w:left="6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5"/>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8"/>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8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gridSpan w:val="3"/>
            <w:vMerge w:val="restart"/>
            <w:shd w:val="clear" w:color="auto" w:fill="9ADAF6"/>
          </w:tcPr>
          <w:p>
            <w:pPr>
              <w:jc w:val="center"/>
              <w:ind w:left="20"/>
              <w:spacing w:after="0"/>
              <w:rPr>
                <w:sz w:val="20"/>
                <w:szCs w:val="20"/>
                <w:color w:val="auto"/>
              </w:rPr>
            </w:pPr>
            <w:r>
              <w:rPr>
                <w:rFonts w:ascii="Arial" w:cs="Arial" w:eastAsia="Arial" w:hAnsi="Arial"/>
                <w:sz w:val="17"/>
                <w:szCs w:val="17"/>
                <w:b w:val="1"/>
                <w:bCs w:val="1"/>
                <w:color w:val="auto"/>
                <w:w w:val="99"/>
              </w:rPr>
              <w:t>Amount</w:t>
            </w: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60" w:type="dxa"/>
            <w:vAlign w:val="bottom"/>
            <w:tcBorders>
              <w:right w:val="single" w:sz="8" w:color="9ADAF6"/>
            </w:tcBorders>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8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vMerge w:val="continue"/>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5"/>
            <w:shd w:val="clear" w:color="auto" w:fill="9ADAF6"/>
          </w:tcPr>
          <w:p>
            <w:pPr>
              <w:jc w:val="center"/>
              <w:ind w:left="16"/>
              <w:spacing w:after="0" w:line="167" w:lineRule="exact"/>
              <w:rPr>
                <w:sz w:val="20"/>
                <w:szCs w:val="20"/>
                <w:color w:val="auto"/>
              </w:rPr>
            </w:pPr>
            <w:r>
              <w:rPr>
                <w:rFonts w:ascii="Arial" w:cs="Arial" w:eastAsia="Arial" w:hAnsi="Arial"/>
                <w:sz w:val="17"/>
                <w:szCs w:val="17"/>
                <w:b w:val="1"/>
                <w:bCs w:val="1"/>
                <w:color w:val="auto"/>
                <w:w w:val="96"/>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80" w:type="dxa"/>
            <w:vAlign w:val="bottom"/>
            <w:gridSpan w:val="5"/>
            <w:shd w:val="clear" w:color="auto" w:fill="9ADAF6"/>
          </w:tcPr>
          <w:p>
            <w:pPr>
              <w:jc w:val="center"/>
              <w:ind w:right="16"/>
              <w:spacing w:after="0" w:line="167"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8"/>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740" w:type="dxa"/>
            <w:vAlign w:val="bottom"/>
            <w:gridSpan w:val="3"/>
            <w:vMerge w:val="continue"/>
            <w:shd w:val="clear" w:color="auto" w:fill="9ADAF6"/>
          </w:tcPr>
          <w:p>
            <w:pPr>
              <w:spacing w:after="0"/>
              <w:rPr>
                <w:sz w:val="14"/>
                <w:szCs w:val="14"/>
                <w:color w:val="auto"/>
              </w:rPr>
            </w:pPr>
          </w:p>
        </w:tc>
        <w:tc>
          <w:tcPr>
            <w:tcW w:w="16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1060" w:type="dxa"/>
            <w:vAlign w:val="bottom"/>
            <w:gridSpan w:val="3"/>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Name</w:t>
            </w: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6"/>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39"/>
              <w:spacing w:after="0" w:line="189" w:lineRule="exact"/>
              <w:rPr>
                <w:sz w:val="20"/>
                <w:szCs w:val="20"/>
                <w:color w:val="auto"/>
              </w:rPr>
            </w:pPr>
            <w:r>
              <w:rPr>
                <w:rFonts w:ascii="Arial" w:cs="Arial" w:eastAsia="Arial" w:hAnsi="Arial"/>
                <w:sz w:val="17"/>
                <w:szCs w:val="17"/>
                <w:b w:val="1"/>
                <w:bCs w:val="1"/>
                <w:color w:val="auto"/>
                <w:w w:val="99"/>
              </w:rPr>
              <w:t>with 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80" w:type="dxa"/>
            <w:vAlign w:val="bottom"/>
            <w:tcBorders>
              <w:right w:val="single" w:sz="8" w:color="9ADAF6"/>
            </w:tcBorders>
          </w:tcPr>
          <w:p>
            <w:pPr>
              <w:spacing w:after="0"/>
              <w:rPr>
                <w:sz w:val="16"/>
                <w:szCs w:val="16"/>
                <w:color w:val="auto"/>
              </w:rPr>
            </w:pPr>
          </w:p>
        </w:tc>
        <w:tc>
          <w:tcPr>
            <w:tcW w:w="920" w:type="dxa"/>
            <w:vAlign w:val="bottom"/>
            <w:tcBorders>
              <w:right w:val="single" w:sz="8" w:color="9ADAF6"/>
            </w:tcBorders>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60" w:type="dxa"/>
            <w:vAlign w:val="bottom"/>
            <w:tcBorders>
              <w:right w:val="single" w:sz="8" w:color="9ADAF6"/>
            </w:tcBorders>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shd w:val="clear" w:color="auto" w:fill="9ADAF6"/>
          </w:tcPr>
          <w:p>
            <w:pPr>
              <w:spacing w:after="0"/>
              <w:rPr>
                <w:sz w:val="10"/>
                <w:szCs w:val="10"/>
                <w:color w:val="auto"/>
              </w:rPr>
            </w:pPr>
          </w:p>
        </w:tc>
        <w:tc>
          <w:tcPr>
            <w:tcW w:w="9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1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shd w:val="clear" w:color="auto" w:fill="9ADAF6"/>
          </w:tcPr>
          <w:p>
            <w:pPr>
              <w:jc w:val="center"/>
              <w:ind w:left="39"/>
              <w:spacing w:after="0" w:line="115" w:lineRule="exact"/>
              <w:rPr>
                <w:sz w:val="20"/>
                <w:szCs w:val="20"/>
                <w:color w:val="auto"/>
              </w:rPr>
            </w:pPr>
            <w:r>
              <w:rPr>
                <w:rFonts w:ascii="Arial" w:cs="Arial" w:eastAsia="Arial" w:hAnsi="Arial"/>
                <w:sz w:val="13"/>
                <w:szCs w:val="13"/>
                <w:b w:val="1"/>
                <w:bCs w:val="1"/>
                <w:color w:val="auto"/>
              </w:rPr>
              <w:t>Offset</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760" w:type="dxa"/>
            <w:vAlign w:val="bottom"/>
            <w:gridSpan w:val="7"/>
            <w:shd w:val="clear" w:color="auto" w:fill="9ADAF6"/>
          </w:tcPr>
          <w:p>
            <w:pPr>
              <w:jc w:val="center"/>
              <w:ind w:right="76"/>
              <w:spacing w:after="0" w:line="115" w:lineRule="exact"/>
              <w:rPr>
                <w:sz w:val="20"/>
                <w:szCs w:val="20"/>
                <w:color w:val="auto"/>
              </w:rPr>
            </w:pPr>
            <w:r>
              <w:rPr>
                <w:rFonts w:ascii="Arial" w:cs="Arial" w:eastAsia="Arial" w:hAnsi="Arial"/>
                <w:sz w:val="13"/>
                <w:szCs w:val="13"/>
                <w:b w:val="1"/>
                <w:bCs w:val="1"/>
                <w:color w:val="auto"/>
              </w:rPr>
              <w:t>Offset</w:t>
            </w:r>
          </w:p>
        </w:tc>
        <w:tc>
          <w:tcPr>
            <w:tcW w:w="8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900" w:type="dxa"/>
            <w:vAlign w:val="bottom"/>
            <w:tcBorders>
              <w:right w:val="single" w:sz="8" w:color="9ADAF6"/>
            </w:tcBorders>
            <w:gridSpan w:val="4"/>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1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39"/>
              <w:spacing w:after="0" w:line="189" w:lineRule="exact"/>
              <w:rPr>
                <w:sz w:val="20"/>
                <w:szCs w:val="20"/>
                <w:color w:val="auto"/>
              </w:rPr>
            </w:pPr>
            <w:r>
              <w:rPr>
                <w:rFonts w:ascii="Arial" w:cs="Arial" w:eastAsia="Arial" w:hAnsi="Arial"/>
                <w:sz w:val="17"/>
                <w:szCs w:val="17"/>
                <w:b w:val="1"/>
                <w:bCs w:val="1"/>
                <w:color w:val="auto"/>
                <w:w w:val="96"/>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gridSpan w:val="3"/>
            <w:shd w:val="clear" w:color="auto" w:fill="9ADAF6"/>
          </w:tcPr>
          <w:p>
            <w:pPr>
              <w:jc w:val="center"/>
              <w:ind w:left="20"/>
              <w:spacing w:after="0" w:line="189" w:lineRule="exact"/>
              <w:rPr>
                <w:sz w:val="20"/>
                <w:szCs w:val="20"/>
                <w:color w:val="auto"/>
              </w:rPr>
            </w:pPr>
            <w:r>
              <w:rPr>
                <w:rFonts w:ascii="Arial" w:cs="Arial" w:eastAsia="Arial" w:hAnsi="Arial"/>
                <w:sz w:val="17"/>
                <w:szCs w:val="17"/>
                <w:b w:val="1"/>
                <w:bCs w:val="1"/>
                <w:color w:val="auto"/>
                <w:w w:val="97"/>
              </w:rPr>
              <w:t>Offset</w:t>
            </w:r>
          </w:p>
        </w:tc>
        <w:tc>
          <w:tcPr>
            <w:tcW w:w="1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9ADAF6"/>
            </w:tcBorders>
            <w:gridSpan w:val="7"/>
          </w:tcPr>
          <w:p>
            <w:pPr>
              <w:spacing w:after="0"/>
              <w:rPr>
                <w:sz w:val="19"/>
                <w:szCs w:val="19"/>
                <w:color w:val="auto"/>
              </w:rPr>
            </w:pPr>
          </w:p>
        </w:tc>
        <w:tc>
          <w:tcPr>
            <w:tcW w:w="740" w:type="dxa"/>
            <w:vAlign w:val="bottom"/>
            <w:tcBorders>
              <w:right w:val="single" w:sz="8" w:color="9ADAF6"/>
            </w:tcBorders>
            <w:gridSpan w:val="3"/>
          </w:tcPr>
          <w:p>
            <w:pPr>
              <w:spacing w:after="0"/>
              <w:rPr>
                <w:sz w:val="19"/>
                <w:szCs w:val="19"/>
                <w:color w:val="auto"/>
              </w:rPr>
            </w:pPr>
          </w:p>
        </w:tc>
        <w:tc>
          <w:tcPr>
            <w:tcW w:w="7880" w:type="dxa"/>
            <w:vAlign w:val="bottom"/>
            <w:tcBorders>
              <w:right w:val="single" w:sz="8" w:color="9ADAF6"/>
            </w:tcBorders>
            <w:gridSpan w:val="51"/>
          </w:tcPr>
          <w:p>
            <w:pPr>
              <w:spacing w:after="0"/>
              <w:rPr>
                <w:sz w:val="19"/>
                <w:szCs w:val="19"/>
                <w:color w:val="auto"/>
              </w:rPr>
            </w:pPr>
          </w:p>
        </w:tc>
        <w:tc>
          <w:tcPr>
            <w:tcW w:w="920" w:type="dxa"/>
            <w:vAlign w:val="bottom"/>
            <w:tcBorders>
              <w:right w:val="single" w:sz="8" w:color="9ADAF6"/>
            </w:tcBorders>
            <w:gridSpan w:val="5"/>
            <w:shd w:val="clear" w:color="auto" w:fill="9ADAF6"/>
          </w:tcPr>
          <w:p>
            <w:pPr>
              <w:spacing w:after="0"/>
              <w:rPr>
                <w:sz w:val="20"/>
                <w:szCs w:val="20"/>
                <w:color w:val="auto"/>
              </w:rPr>
            </w:pPr>
            <w:r>
              <w:rPr>
                <w:rFonts w:ascii="Arial" w:cs="Arial" w:eastAsia="Arial" w:hAnsi="Arial"/>
                <w:sz w:val="17"/>
                <w:szCs w:val="17"/>
                <w:b w:val="1"/>
                <w:bCs w:val="1"/>
                <w:color w:val="auto"/>
              </w:rPr>
              <w:t>Claimed</w:t>
            </w: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17"/>
          </w:tcPr>
          <w:p>
            <w:pPr>
              <w:jc w:val="center"/>
              <w:ind w:left="119"/>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Fee Offset</w:t>
            </w:r>
          </w:p>
        </w:tc>
        <w:tc>
          <w:tcPr>
            <w:tcW w:w="740" w:type="dxa"/>
            <w:vAlign w:val="bottom"/>
            <w:tcBorders>
              <w:right w:val="single" w:sz="8" w:color="E7E7E2"/>
            </w:tcBorders>
            <w:gridSpan w:val="3"/>
          </w:tcPr>
          <w:p>
            <w:pPr>
              <w:spacing w:after="0"/>
              <w:rPr>
                <w:sz w:val="15"/>
                <w:szCs w:val="15"/>
                <w:color w:val="auto"/>
              </w:rPr>
            </w:pPr>
          </w:p>
        </w:tc>
        <w:tc>
          <w:tcPr>
            <w:tcW w:w="7880" w:type="dxa"/>
            <w:vAlign w:val="bottom"/>
            <w:tcBorders>
              <w:right w:val="single" w:sz="8" w:color="E7E7E2"/>
            </w:tcBorders>
            <w:gridSpan w:val="51"/>
          </w:tcPr>
          <w:p>
            <w:pPr>
              <w:spacing w:after="0"/>
              <w:rPr>
                <w:sz w:val="15"/>
                <w:szCs w:val="15"/>
                <w:color w:val="auto"/>
              </w:rPr>
            </w:pP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180" w:type="dxa"/>
            <w:vAlign w:val="bottom"/>
            <w:tcBorders>
              <w:right w:val="single" w:sz="8" w:color="E7E7E2"/>
            </w:tcBorders>
            <w:gridSpan w:val="2"/>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Claims</w:t>
            </w:r>
          </w:p>
        </w:tc>
        <w:tc>
          <w:tcPr>
            <w:tcW w:w="740" w:type="dxa"/>
            <w:vAlign w:val="bottom"/>
            <w:tcBorders>
              <w:right w:val="single" w:sz="8" w:color="E7E7E2"/>
            </w:tcBorders>
            <w:gridSpan w:val="3"/>
          </w:tcPr>
          <w:p>
            <w:pPr>
              <w:spacing w:after="0"/>
              <w:rPr>
                <w:sz w:val="19"/>
                <w:szCs w:val="19"/>
                <w:color w:val="auto"/>
              </w:rPr>
            </w:pPr>
          </w:p>
        </w:tc>
        <w:tc>
          <w:tcPr>
            <w:tcW w:w="7880" w:type="dxa"/>
            <w:vAlign w:val="bottom"/>
            <w:tcBorders>
              <w:right w:val="single" w:sz="8" w:color="E7E7E2"/>
            </w:tcBorders>
            <w:gridSpan w:val="51"/>
          </w:tcPr>
          <w:p>
            <w:pPr>
              <w:spacing w:after="0"/>
              <w:rPr>
                <w:sz w:val="19"/>
                <w:szCs w:val="19"/>
                <w:color w:val="auto"/>
              </w:rPr>
            </w:pP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180" w:type="dxa"/>
            <w:vAlign w:val="bottom"/>
            <w:tcBorders>
              <w:right w:val="single" w:sz="8" w:color="E7E7E2"/>
            </w:tcBorders>
            <w:gridSpan w:val="2"/>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80" w:type="dxa"/>
            <w:vAlign w:val="bottom"/>
            <w:tcBorders>
              <w:left w:val="single" w:sz="8" w:color="auto"/>
              <w:right w:val="single" w:sz="8" w:color="auto"/>
            </w:tcBorders>
            <w:gridSpan w:val="6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Fee Offset</w:t>
            </w:r>
          </w:p>
        </w:tc>
        <w:tc>
          <w:tcPr>
            <w:tcW w:w="740" w:type="dxa"/>
            <w:vAlign w:val="bottom"/>
            <w:tcBorders>
              <w:right w:val="single" w:sz="8" w:color="E7E7E2"/>
            </w:tcBorders>
            <w:gridSpan w:val="3"/>
          </w:tcPr>
          <w:p>
            <w:pPr>
              <w:spacing w:after="0"/>
              <w:rPr>
                <w:sz w:val="15"/>
                <w:szCs w:val="15"/>
                <w:color w:val="auto"/>
              </w:rPr>
            </w:pPr>
          </w:p>
        </w:tc>
        <w:tc>
          <w:tcPr>
            <w:tcW w:w="7880" w:type="dxa"/>
            <w:vAlign w:val="bottom"/>
            <w:tcBorders>
              <w:right w:val="single" w:sz="8" w:color="E7E7E2"/>
            </w:tcBorders>
            <w:gridSpan w:val="51"/>
          </w:tcPr>
          <w:p>
            <w:pPr>
              <w:spacing w:after="0"/>
              <w:rPr>
                <w:sz w:val="15"/>
                <w:szCs w:val="15"/>
                <w:color w:val="auto"/>
              </w:rPr>
            </w:pP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180" w:type="dxa"/>
            <w:vAlign w:val="bottom"/>
            <w:tcBorders>
              <w:right w:val="single" w:sz="8" w:color="E7E7E2"/>
            </w:tcBorders>
            <w:gridSpan w:val="2"/>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Sources</w:t>
            </w:r>
          </w:p>
        </w:tc>
        <w:tc>
          <w:tcPr>
            <w:tcW w:w="740" w:type="dxa"/>
            <w:vAlign w:val="bottom"/>
            <w:tcBorders>
              <w:right w:val="single" w:sz="8" w:color="E7E7E2"/>
            </w:tcBorders>
            <w:gridSpan w:val="3"/>
          </w:tcPr>
          <w:p>
            <w:pPr>
              <w:spacing w:after="0"/>
              <w:rPr>
                <w:sz w:val="19"/>
                <w:szCs w:val="19"/>
                <w:color w:val="auto"/>
              </w:rPr>
            </w:pPr>
          </w:p>
        </w:tc>
        <w:tc>
          <w:tcPr>
            <w:tcW w:w="7880" w:type="dxa"/>
            <w:vAlign w:val="bottom"/>
            <w:tcBorders>
              <w:right w:val="single" w:sz="8" w:color="E7E7E2"/>
            </w:tcBorders>
            <w:gridSpan w:val="51"/>
          </w:tcPr>
          <w:p>
            <w:pPr>
              <w:spacing w:after="0"/>
              <w:rPr>
                <w:sz w:val="19"/>
                <w:szCs w:val="19"/>
                <w:color w:val="auto"/>
              </w:rPr>
            </w:pP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180" w:type="dxa"/>
            <w:vAlign w:val="bottom"/>
            <w:tcBorders>
              <w:right w:val="single" w:sz="8" w:color="E7E7E2"/>
            </w:tcBorders>
            <w:gridSpan w:val="2"/>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280" w:type="dxa"/>
            <w:vAlign w:val="bottom"/>
            <w:tcBorders>
              <w:left w:val="single" w:sz="8" w:color="auto"/>
              <w:right w:val="single" w:sz="8" w:color="auto"/>
            </w:tcBorders>
            <w:gridSpan w:val="69"/>
          </w:tcPr>
          <w:p>
            <w:pPr>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Fee Offset</w:t>
            </w:r>
          </w:p>
        </w:tc>
        <w:tc>
          <w:tcPr>
            <w:tcW w:w="740" w:type="dxa"/>
            <w:vAlign w:val="bottom"/>
            <w:tcBorders>
              <w:right w:val="single" w:sz="8" w:color="E7E7E2"/>
            </w:tcBorders>
            <w:gridSpan w:val="3"/>
          </w:tcPr>
          <w:p>
            <w:pPr>
              <w:spacing w:after="0"/>
              <w:rPr>
                <w:sz w:val="15"/>
                <w:szCs w:val="15"/>
                <w:color w:val="auto"/>
              </w:rPr>
            </w:pPr>
          </w:p>
        </w:tc>
        <w:tc>
          <w:tcPr>
            <w:tcW w:w="7880" w:type="dxa"/>
            <w:vAlign w:val="bottom"/>
            <w:tcBorders>
              <w:right w:val="single" w:sz="8" w:color="E7E7E2"/>
            </w:tcBorders>
            <w:gridSpan w:val="51"/>
          </w:tcPr>
          <w:p>
            <w:pPr>
              <w:spacing w:after="0"/>
              <w:rPr>
                <w:sz w:val="15"/>
                <w:szCs w:val="15"/>
                <w:color w:val="auto"/>
              </w:rPr>
            </w:pP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180" w:type="dxa"/>
            <w:vAlign w:val="bottom"/>
            <w:tcBorders>
              <w:right w:val="single" w:sz="8" w:color="E7E7E2"/>
            </w:tcBorders>
            <w:gridSpan w:val="2"/>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Claims</w:t>
            </w:r>
          </w:p>
        </w:tc>
        <w:tc>
          <w:tcPr>
            <w:tcW w:w="740" w:type="dxa"/>
            <w:vAlign w:val="bottom"/>
            <w:tcBorders>
              <w:right w:val="single" w:sz="8" w:color="E7E7E2"/>
            </w:tcBorders>
            <w:gridSpan w:val="3"/>
          </w:tcPr>
          <w:p>
            <w:pPr>
              <w:spacing w:after="0"/>
              <w:rPr>
                <w:sz w:val="19"/>
                <w:szCs w:val="19"/>
                <w:color w:val="auto"/>
              </w:rPr>
            </w:pPr>
          </w:p>
        </w:tc>
        <w:tc>
          <w:tcPr>
            <w:tcW w:w="7880" w:type="dxa"/>
            <w:vAlign w:val="bottom"/>
            <w:tcBorders>
              <w:right w:val="single" w:sz="8" w:color="E7E7E2"/>
            </w:tcBorders>
            <w:gridSpan w:val="51"/>
          </w:tcPr>
          <w:p>
            <w:pPr>
              <w:spacing w:after="0"/>
              <w:rPr>
                <w:sz w:val="19"/>
                <w:szCs w:val="19"/>
                <w:color w:val="auto"/>
              </w:rPr>
            </w:pP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180" w:type="dxa"/>
            <w:vAlign w:val="bottom"/>
            <w:tcBorders>
              <w:right w:val="single" w:sz="8" w:color="E7E7E2"/>
            </w:tcBorders>
            <w:gridSpan w:val="2"/>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80" w:type="dxa"/>
            <w:vAlign w:val="bottom"/>
            <w:tcBorders>
              <w:left w:val="single" w:sz="8" w:color="auto"/>
              <w:right w:val="single" w:sz="8" w:color="auto"/>
            </w:tcBorders>
            <w:gridSpan w:val="6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Fee Offset</w:t>
            </w:r>
          </w:p>
        </w:tc>
        <w:tc>
          <w:tcPr>
            <w:tcW w:w="740" w:type="dxa"/>
            <w:vAlign w:val="bottom"/>
            <w:tcBorders>
              <w:right w:val="single" w:sz="8" w:color="E7E7E2"/>
            </w:tcBorders>
            <w:gridSpan w:val="3"/>
          </w:tcPr>
          <w:p>
            <w:pPr>
              <w:spacing w:after="0"/>
              <w:rPr>
                <w:sz w:val="15"/>
                <w:szCs w:val="15"/>
                <w:color w:val="auto"/>
              </w:rPr>
            </w:pPr>
          </w:p>
        </w:tc>
        <w:tc>
          <w:tcPr>
            <w:tcW w:w="7880" w:type="dxa"/>
            <w:vAlign w:val="bottom"/>
            <w:tcBorders>
              <w:right w:val="single" w:sz="8" w:color="E7E7E2"/>
            </w:tcBorders>
            <w:gridSpan w:val="51"/>
          </w:tcPr>
          <w:p>
            <w:pPr>
              <w:spacing w:after="0"/>
              <w:rPr>
                <w:sz w:val="15"/>
                <w:szCs w:val="15"/>
                <w:color w:val="auto"/>
              </w:rPr>
            </w:pPr>
          </w:p>
        </w:tc>
        <w:tc>
          <w:tcPr>
            <w:tcW w:w="740" w:type="dxa"/>
            <w:vAlign w:val="bottom"/>
            <w:tcBorders>
              <w:right w:val="single" w:sz="8" w:color="E7E7E2"/>
            </w:tcBorders>
            <w:gridSpan w:val="3"/>
            <w:shd w:val="clear" w:color="auto" w:fill="E7E7E2"/>
          </w:tcPr>
          <w:p>
            <w:pPr>
              <w:spacing w:after="0"/>
              <w:rPr>
                <w:sz w:val="15"/>
                <w:szCs w:val="15"/>
                <w:color w:val="auto"/>
              </w:rPr>
            </w:pPr>
          </w:p>
        </w:tc>
        <w:tc>
          <w:tcPr>
            <w:tcW w:w="180" w:type="dxa"/>
            <w:vAlign w:val="bottom"/>
            <w:tcBorders>
              <w:right w:val="single" w:sz="8" w:color="E7E7E2"/>
            </w:tcBorders>
            <w:gridSpan w:val="2"/>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020" w:type="dxa"/>
            <w:vAlign w:val="bottom"/>
            <w:tcBorders>
              <w:left w:val="single" w:sz="8" w:color="auto"/>
              <w:right w:val="single" w:sz="8" w:color="E7E7E2"/>
            </w:tcBorders>
            <w:gridSpan w:val="7"/>
          </w:tcPr>
          <w:p>
            <w:pPr>
              <w:spacing w:after="0"/>
              <w:rPr>
                <w:sz w:val="20"/>
                <w:szCs w:val="20"/>
                <w:color w:val="auto"/>
              </w:rPr>
            </w:pPr>
            <w:r>
              <w:rPr>
                <w:rFonts w:ascii="Arial" w:cs="Arial" w:eastAsia="Arial" w:hAnsi="Arial"/>
                <w:sz w:val="17"/>
                <w:szCs w:val="17"/>
                <w:color w:val="auto"/>
              </w:rPr>
              <w:t>Sources</w:t>
            </w:r>
          </w:p>
        </w:tc>
        <w:tc>
          <w:tcPr>
            <w:tcW w:w="740" w:type="dxa"/>
            <w:vAlign w:val="bottom"/>
            <w:tcBorders>
              <w:right w:val="single" w:sz="8" w:color="E7E7E2"/>
            </w:tcBorders>
            <w:gridSpan w:val="3"/>
          </w:tcPr>
          <w:p>
            <w:pPr>
              <w:spacing w:after="0"/>
              <w:rPr>
                <w:sz w:val="19"/>
                <w:szCs w:val="19"/>
                <w:color w:val="auto"/>
              </w:rPr>
            </w:pPr>
          </w:p>
        </w:tc>
        <w:tc>
          <w:tcPr>
            <w:tcW w:w="7880" w:type="dxa"/>
            <w:vAlign w:val="bottom"/>
            <w:tcBorders>
              <w:right w:val="single" w:sz="8" w:color="E7E7E2"/>
            </w:tcBorders>
            <w:gridSpan w:val="51"/>
          </w:tcPr>
          <w:p>
            <w:pPr>
              <w:spacing w:after="0"/>
              <w:rPr>
                <w:sz w:val="19"/>
                <w:szCs w:val="19"/>
                <w:color w:val="auto"/>
              </w:rPr>
            </w:pPr>
          </w:p>
        </w:tc>
        <w:tc>
          <w:tcPr>
            <w:tcW w:w="740" w:type="dxa"/>
            <w:vAlign w:val="bottom"/>
            <w:tcBorders>
              <w:right w:val="single" w:sz="8" w:color="E7E7E2"/>
            </w:tcBorders>
            <w:gridSpan w:val="3"/>
            <w:shd w:val="clear" w:color="auto" w:fill="E7E7E2"/>
          </w:tcPr>
          <w:p>
            <w:pPr>
              <w:spacing w:after="0"/>
              <w:rPr>
                <w:sz w:val="19"/>
                <w:szCs w:val="19"/>
                <w:color w:val="auto"/>
              </w:rPr>
            </w:pPr>
          </w:p>
        </w:tc>
        <w:tc>
          <w:tcPr>
            <w:tcW w:w="180" w:type="dxa"/>
            <w:vAlign w:val="bottom"/>
            <w:tcBorders>
              <w:right w:val="single" w:sz="8" w:color="E7E7E2"/>
            </w:tcBorders>
            <w:gridSpan w:val="2"/>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80" w:type="dxa"/>
            <w:vAlign w:val="bottom"/>
            <w:tcBorders>
              <w:left w:val="single" w:sz="8" w:color="auto"/>
              <w:bottom w:val="single" w:sz="8" w:color="auto"/>
              <w:right w:val="single" w:sz="8" w:color="auto"/>
            </w:tcBorders>
            <w:gridSpan w:val="6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Pr>
          <w:p>
            <w:pPr>
              <w:spacing w:after="0"/>
              <w:rPr>
                <w:sz w:val="24"/>
                <w:szCs w:val="24"/>
                <w:color w:val="auto"/>
              </w:rPr>
            </w:pPr>
          </w:p>
        </w:tc>
        <w:tc>
          <w:tcPr>
            <w:tcW w:w="3300" w:type="dxa"/>
            <w:vAlign w:val="bottom"/>
            <w:gridSpan w:val="16"/>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8"/>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top w:val="single" w:sz="8" w:color="auto"/>
              <w:left w:val="single" w:sz="8" w:color="auto"/>
            </w:tcBorders>
          </w:tcPr>
          <w:p>
            <w:pPr>
              <w:spacing w:after="0"/>
              <w:rPr>
                <w:sz w:val="16"/>
                <w:szCs w:val="16"/>
                <w:color w:val="auto"/>
              </w:rPr>
            </w:pPr>
          </w:p>
        </w:tc>
        <w:tc>
          <w:tcPr>
            <w:tcW w:w="4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60" w:type="dxa"/>
            <w:vAlign w:val="bottom"/>
            <w:tcBorders>
              <w:top w:val="single" w:sz="8" w:color="auto"/>
              <w:right w:val="single" w:sz="8" w:color="9ADAF6"/>
            </w:tcBorders>
            <w:shd w:val="clear" w:color="auto" w:fill="9ADAF6"/>
          </w:tcPr>
          <w:p>
            <w:pPr>
              <w:spacing w:after="0"/>
              <w:rPr>
                <w:sz w:val="16"/>
                <w:szCs w:val="16"/>
                <w:color w:val="auto"/>
              </w:rPr>
            </w:pPr>
          </w:p>
        </w:tc>
        <w:tc>
          <w:tcPr>
            <w:tcW w:w="40" w:type="dxa"/>
            <w:vAlign w:val="bottom"/>
            <w:tcBorders>
              <w:top w:val="single" w:sz="8" w:color="auto"/>
            </w:tcBorders>
            <w:shd w:val="clear" w:color="auto" w:fill="9ADAF6"/>
          </w:tcPr>
          <w:p>
            <w:pPr>
              <w:spacing w:after="0"/>
              <w:rPr>
                <w:sz w:val="16"/>
                <w:szCs w:val="16"/>
                <w:color w:val="auto"/>
              </w:rPr>
            </w:pPr>
          </w:p>
        </w:tc>
        <w:tc>
          <w:tcPr>
            <w:tcW w:w="620" w:type="dxa"/>
            <w:vAlign w:val="bottom"/>
            <w:tcBorders>
              <w:top w:val="single" w:sz="8" w:color="auto"/>
            </w:tcBorders>
            <w:shd w:val="clear" w:color="auto" w:fill="9ADAF6"/>
          </w:tcPr>
          <w:p>
            <w:pPr>
              <w:spacing w:after="0"/>
              <w:rPr>
                <w:sz w:val="16"/>
                <w:szCs w:val="16"/>
                <w:color w:val="auto"/>
              </w:rPr>
            </w:pPr>
          </w:p>
        </w:tc>
        <w:tc>
          <w:tcPr>
            <w:tcW w:w="8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28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tcBorders>
            <w:shd w:val="clear" w:color="auto" w:fill="9ADAF6"/>
          </w:tcPr>
          <w:p>
            <w:pPr>
              <w:spacing w:after="0"/>
              <w:rPr>
                <w:sz w:val="16"/>
                <w:szCs w:val="16"/>
                <w:color w:val="auto"/>
              </w:rPr>
            </w:pPr>
          </w:p>
        </w:tc>
        <w:tc>
          <w:tcPr>
            <w:tcW w:w="9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6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3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4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000" w:type="dxa"/>
            <w:vAlign w:val="bottom"/>
            <w:tcBorders>
              <w:top w:val="single" w:sz="8" w:color="auto"/>
            </w:tcBorders>
            <w:gridSpan w:val="6"/>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Amount of</w:t>
            </w:r>
          </w:p>
        </w:tc>
        <w:tc>
          <w:tcPr>
            <w:tcW w:w="18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10"/>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6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shd w:val="clear" w:color="auto" w:fill="9ADAF6"/>
          </w:tcPr>
          <w:p>
            <w:pPr>
              <w:spacing w:after="0"/>
              <w:rPr>
                <w:sz w:val="16"/>
                <w:szCs w:val="16"/>
                <w:color w:val="auto"/>
              </w:rPr>
            </w:pPr>
          </w:p>
        </w:tc>
        <w:tc>
          <w:tcPr>
            <w:tcW w:w="8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68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right w:val="single" w:sz="8" w:color="9ADAF6"/>
            </w:tcBorders>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6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700" w:type="dxa"/>
            <w:vAlign w:val="bottom"/>
            <w:tcBorders>
              <w:top w:val="single" w:sz="8" w:color="auto"/>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0" w:type="dxa"/>
            <w:vAlign w:val="bottom"/>
            <w:gridSpan w:val="6"/>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40" w:type="dxa"/>
            <w:vAlign w:val="bottom"/>
            <w:gridSpan w:val="6"/>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gridSpan w:val="5"/>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Form</w:t>
            </w: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9"/>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900" w:type="dxa"/>
            <w:vAlign w:val="bottom"/>
            <w:gridSpan w:val="6"/>
            <w:vMerge w:val="restart"/>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0" w:type="dxa"/>
            <w:vAlign w:val="bottom"/>
            <w:gridSpan w:val="6"/>
            <w:vMerge w:val="continue"/>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40" w:type="dxa"/>
            <w:vAlign w:val="bottom"/>
            <w:gridSpan w:val="6"/>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gridSpan w:val="5"/>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80" w:type="dxa"/>
            <w:vAlign w:val="bottom"/>
            <w:tcBorders>
              <w:right w:val="single" w:sz="8" w:color="auto"/>
            </w:tcBorders>
            <w:gridSpan w:val="4"/>
            <w:vMerge w:val="restart"/>
            <w:shd w:val="clear" w:color="auto" w:fill="9ADAF6"/>
          </w:tcPr>
          <w:p>
            <w:pPr>
              <w:jc w:val="center"/>
              <w:ind w:right="60"/>
              <w:spacing w:after="0" w:line="189" w:lineRule="exact"/>
              <w:rPr>
                <w:sz w:val="20"/>
                <w:szCs w:val="20"/>
                <w:color w:val="auto"/>
              </w:rPr>
            </w:pPr>
            <w:r>
              <w:rPr>
                <w:rFonts w:ascii="Arial" w:cs="Arial" w:eastAsia="Arial" w:hAnsi="Arial"/>
                <w:sz w:val="17"/>
                <w:szCs w:val="17"/>
                <w:b w:val="1"/>
                <w:bCs w:val="1"/>
                <w:color w:val="auto"/>
                <w:w w:val="98"/>
              </w:rPr>
              <w:t>Effective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9"/>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900" w:type="dxa"/>
            <w:vAlign w:val="bottom"/>
            <w:gridSpan w:val="6"/>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0" w:type="dxa"/>
            <w:vAlign w:val="bottom"/>
            <w:gridSpan w:val="6"/>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10"/>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gridSpan w:val="4"/>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0"/>
              </w:rPr>
              <w:t>Type</w:t>
            </w: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80" w:type="dxa"/>
            <w:vAlign w:val="bottom"/>
            <w:tcBorders>
              <w:right w:val="single" w:sz="8" w:color="auto"/>
            </w:tcBorders>
            <w:gridSpan w:val="4"/>
            <w:vMerge w:val="continue"/>
            <w:shd w:val="clear" w:color="auto" w:fill="9ADAF6"/>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0" w:type="dxa"/>
            <w:vAlign w:val="bottom"/>
            <w:gridSpan w:val="6"/>
            <w:vMerge w:val="continue"/>
            <w:shd w:val="clear" w:color="auto" w:fill="9ADAF6"/>
          </w:tcPr>
          <w:p>
            <w:pPr>
              <w:spacing w:after="0"/>
              <w:rPr>
                <w:sz w:val="8"/>
                <w:szCs w:val="8"/>
                <w:color w:val="auto"/>
              </w:rPr>
            </w:pPr>
          </w:p>
        </w:tc>
        <w:tc>
          <w:tcPr>
            <w:tcW w:w="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10"/>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gridSpan w:val="4"/>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9ADAF6"/>
            </w:tcBorders>
            <w:gridSpan w:val="7"/>
          </w:tcPr>
          <w:p>
            <w:pPr>
              <w:spacing w:after="0"/>
              <w:rPr>
                <w:sz w:val="11"/>
                <w:szCs w:val="11"/>
                <w:color w:val="auto"/>
              </w:rPr>
            </w:pPr>
          </w:p>
        </w:tc>
        <w:tc>
          <w:tcPr>
            <w:tcW w:w="740" w:type="dxa"/>
            <w:vAlign w:val="bottom"/>
            <w:tcBorders>
              <w:right w:val="single" w:sz="8" w:color="9ADAF6"/>
            </w:tcBorders>
            <w:gridSpan w:val="3"/>
            <w:shd w:val="clear" w:color="auto" w:fill="9ADAF6"/>
          </w:tcPr>
          <w:p>
            <w:pPr>
              <w:spacing w:after="0"/>
              <w:rPr>
                <w:sz w:val="11"/>
                <w:szCs w:val="11"/>
                <w:color w:val="auto"/>
              </w:rPr>
            </w:pPr>
          </w:p>
        </w:tc>
        <w:tc>
          <w:tcPr>
            <w:tcW w:w="3400" w:type="dxa"/>
            <w:vAlign w:val="bottom"/>
            <w:gridSpan w:val="19"/>
            <w:shd w:val="clear" w:color="auto" w:fill="9ADAF6"/>
          </w:tcPr>
          <w:p>
            <w:pPr>
              <w:spacing w:after="0"/>
              <w:rPr>
                <w:sz w:val="11"/>
                <w:szCs w:val="11"/>
                <w:color w:val="auto"/>
              </w:rPr>
            </w:pPr>
          </w:p>
        </w:tc>
        <w:tc>
          <w:tcPr>
            <w:tcW w:w="100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600" w:type="dxa"/>
            <w:vAlign w:val="bottom"/>
            <w:gridSpan w:val="6"/>
            <w:shd w:val="clear" w:color="auto" w:fill="9ADAF6"/>
          </w:tcPr>
          <w:p>
            <w:pPr>
              <w:spacing w:after="0"/>
              <w:rPr>
                <w:sz w:val="11"/>
                <w:szCs w:val="11"/>
                <w:color w:val="auto"/>
              </w:rPr>
            </w:pPr>
          </w:p>
        </w:tc>
        <w:tc>
          <w:tcPr>
            <w:tcW w:w="144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1440" w:type="dxa"/>
            <w:vAlign w:val="bottom"/>
            <w:tcBorders>
              <w:right w:val="single" w:sz="8" w:color="9ADAF6"/>
            </w:tcBorders>
            <w:gridSpan w:val="14"/>
            <w:shd w:val="clear" w:color="auto" w:fill="9ADAF6"/>
          </w:tcPr>
          <w:p>
            <w:pPr>
              <w:spacing w:after="0"/>
              <w:rPr>
                <w:sz w:val="11"/>
                <w:szCs w:val="11"/>
                <w:color w:val="auto"/>
              </w:rPr>
            </w:pPr>
          </w:p>
        </w:tc>
        <w:tc>
          <w:tcPr>
            <w:tcW w:w="740" w:type="dxa"/>
            <w:vAlign w:val="bottom"/>
            <w:tcBorders>
              <w:right w:val="single" w:sz="8" w:color="9ADAF6"/>
            </w:tcBorders>
            <w:gridSpan w:val="3"/>
            <w:shd w:val="clear" w:color="auto" w:fill="9ADAF6"/>
          </w:tcPr>
          <w:p>
            <w:pPr>
              <w:spacing w:after="0"/>
              <w:rPr>
                <w:sz w:val="11"/>
                <w:szCs w:val="11"/>
                <w:color w:val="auto"/>
              </w:rPr>
            </w:pPr>
          </w:p>
        </w:tc>
        <w:tc>
          <w:tcPr>
            <w:tcW w:w="180" w:type="dxa"/>
            <w:vAlign w:val="bottom"/>
            <w:tcBorders>
              <w:right w:val="single" w:sz="8" w:color="9ADAF6"/>
            </w:tcBorders>
            <w:gridSpan w:val="2"/>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20" w:type="dxa"/>
            <w:vAlign w:val="bottom"/>
            <w:tcBorders>
              <w:left w:val="single" w:sz="8" w:color="auto"/>
              <w:right w:val="single" w:sz="8" w:color="9ADAF6"/>
            </w:tcBorders>
            <w:gridSpan w:val="7"/>
          </w:tcPr>
          <w:p>
            <w:pPr>
              <w:spacing w:after="0"/>
              <w:rPr>
                <w:sz w:val="7"/>
                <w:szCs w:val="7"/>
                <w:color w:val="auto"/>
              </w:rPr>
            </w:pPr>
          </w:p>
        </w:tc>
        <w:tc>
          <w:tcPr>
            <w:tcW w:w="740" w:type="dxa"/>
            <w:vAlign w:val="bottom"/>
            <w:tcBorders>
              <w:right w:val="single" w:sz="8" w:color="9ADAF6"/>
            </w:tcBorders>
            <w:gridSpan w:val="3"/>
            <w:shd w:val="clear" w:color="auto" w:fill="9ADAF6"/>
          </w:tcPr>
          <w:p>
            <w:pPr>
              <w:spacing w:after="0"/>
              <w:rPr>
                <w:sz w:val="7"/>
                <w:szCs w:val="7"/>
                <w:color w:val="auto"/>
              </w:rPr>
            </w:pPr>
          </w:p>
        </w:tc>
        <w:tc>
          <w:tcPr>
            <w:tcW w:w="3400" w:type="dxa"/>
            <w:vAlign w:val="bottom"/>
            <w:gridSpan w:val="19"/>
            <w:shd w:val="clear" w:color="auto" w:fill="9ADAF6"/>
          </w:tcPr>
          <w:p>
            <w:pPr>
              <w:spacing w:after="0"/>
              <w:rPr>
                <w:sz w:val="7"/>
                <w:szCs w:val="7"/>
                <w:color w:val="auto"/>
              </w:rPr>
            </w:pPr>
          </w:p>
        </w:tc>
        <w:tc>
          <w:tcPr>
            <w:tcW w:w="1000" w:type="dxa"/>
            <w:vAlign w:val="bottom"/>
            <w:gridSpan w:val="6"/>
            <w:vMerge w:val="continue"/>
            <w:shd w:val="clear" w:color="auto" w:fill="9ADAF6"/>
          </w:tcPr>
          <w:p>
            <w:pPr>
              <w:spacing w:after="0"/>
              <w:rPr>
                <w:sz w:val="7"/>
                <w:szCs w:val="7"/>
                <w:color w:val="auto"/>
              </w:rPr>
            </w:pPr>
          </w:p>
        </w:tc>
        <w:tc>
          <w:tcPr>
            <w:tcW w:w="600" w:type="dxa"/>
            <w:vAlign w:val="bottom"/>
            <w:gridSpan w:val="6"/>
            <w:shd w:val="clear" w:color="auto" w:fill="9ADAF6"/>
          </w:tcPr>
          <w:p>
            <w:pPr>
              <w:spacing w:after="0"/>
              <w:rPr>
                <w:sz w:val="7"/>
                <w:szCs w:val="7"/>
                <w:color w:val="auto"/>
              </w:rPr>
            </w:pPr>
          </w:p>
        </w:tc>
        <w:tc>
          <w:tcPr>
            <w:tcW w:w="1440" w:type="dxa"/>
            <w:vAlign w:val="bottom"/>
            <w:gridSpan w:val="6"/>
            <w:vMerge w:val="continue"/>
            <w:shd w:val="clear" w:color="auto" w:fill="9ADAF6"/>
          </w:tcPr>
          <w:p>
            <w:pPr>
              <w:spacing w:after="0"/>
              <w:rPr>
                <w:sz w:val="7"/>
                <w:szCs w:val="7"/>
                <w:color w:val="auto"/>
              </w:rPr>
            </w:pPr>
          </w:p>
        </w:tc>
        <w:tc>
          <w:tcPr>
            <w:tcW w:w="1440" w:type="dxa"/>
            <w:vAlign w:val="bottom"/>
            <w:tcBorders>
              <w:right w:val="single" w:sz="8" w:color="9ADAF6"/>
            </w:tcBorders>
            <w:gridSpan w:val="14"/>
            <w:shd w:val="clear" w:color="auto" w:fill="9ADAF6"/>
          </w:tcPr>
          <w:p>
            <w:pPr>
              <w:spacing w:after="0"/>
              <w:rPr>
                <w:sz w:val="7"/>
                <w:szCs w:val="7"/>
                <w:color w:val="auto"/>
              </w:rPr>
            </w:pPr>
          </w:p>
        </w:tc>
        <w:tc>
          <w:tcPr>
            <w:tcW w:w="740" w:type="dxa"/>
            <w:vAlign w:val="bottom"/>
            <w:tcBorders>
              <w:right w:val="single" w:sz="8" w:color="9ADAF6"/>
            </w:tcBorders>
            <w:gridSpan w:val="3"/>
            <w:shd w:val="clear" w:color="auto" w:fill="9ADAF6"/>
          </w:tcPr>
          <w:p>
            <w:pPr>
              <w:spacing w:after="0"/>
              <w:rPr>
                <w:sz w:val="7"/>
                <w:szCs w:val="7"/>
                <w:color w:val="auto"/>
              </w:rPr>
            </w:pPr>
          </w:p>
        </w:tc>
        <w:tc>
          <w:tcPr>
            <w:tcW w:w="180" w:type="dxa"/>
            <w:vAlign w:val="bottom"/>
            <w:tcBorders>
              <w:right w:val="single" w:sz="8" w:color="9ADAF6"/>
            </w:tcBorders>
            <w:gridSpan w:val="2"/>
            <w:shd w:val="clear" w:color="auto" w:fill="9ADAF6"/>
          </w:tcPr>
          <w:p>
            <w:pPr>
              <w:spacing w:after="0"/>
              <w:rPr>
                <w:sz w:val="7"/>
                <w:szCs w:val="7"/>
                <w:color w:val="auto"/>
              </w:rPr>
            </w:pPr>
          </w:p>
        </w:tc>
        <w:tc>
          <w:tcPr>
            <w:tcW w:w="720" w:type="dxa"/>
            <w:vAlign w:val="bottom"/>
            <w:tcBorders>
              <w:right w:val="single" w:sz="8" w:color="auto"/>
            </w:tcBorders>
            <w:gridSpan w:val="3"/>
            <w:shd w:val="clear" w:color="auto" w:fill="9ADAF6"/>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E7E7E2"/>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E7E7E2"/>
              <w:right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280" w:type="dxa"/>
            <w:vAlign w:val="bottom"/>
            <w:tcBorders>
              <w:left w:val="single" w:sz="8" w:color="auto"/>
              <w:bottom w:val="single" w:sz="8" w:color="auto"/>
              <w:right w:val="single" w:sz="8" w:color="auto"/>
            </w:tcBorders>
            <w:gridSpan w:val="6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-3623310</wp:posOffset>
            </wp:positionV>
            <wp:extent cx="3175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-3623310</wp:posOffset>
            </wp:positionV>
            <wp:extent cx="3175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pacing w:after="0" w:line="195"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maximum aggregate offering price of the securities to which the prospectus relates is $500,000,000.00. The prospectus is a final prospectus for the</w:t>
      </w:r>
    </w:p>
    <w:p>
      <w:pPr>
        <w:spacing w:after="0" w:line="20"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related offering.</w:t>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2"/>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1)"/>
      <w:numFmt w:val="lowerRoman"/>
      <w:start w:val="1"/>
    </w:lvl>
  </w:abstractNum>
  <w:abstractNum w:abstractNumId="25">
    <w:nsid w:val="5577F8E1"/>
    <w:multiLevelType w:val="hybridMultilevel"/>
    <w:lvl w:ilvl="0">
      <w:lvlJc w:val="left"/>
      <w:lvlText w:val="(%1)"/>
      <w:numFmt w:val="lowerRoman"/>
      <w:start w:val="4"/>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jpe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jpe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50" Type="http://schemas.openxmlformats.org/officeDocument/2006/relationships/hyperlink" Target="http://www.sec.gov/ix?doc=/Archives/edgar/data/1593538/000119312526076753/navi-20251231.htm" TargetMode="External"/><Relationship Id="rId51" Type="http://schemas.openxmlformats.org/officeDocument/2006/relationships/hyperlink" Target="http://www.sec.gov/ix?doc=/Archives/edgar/data/1593538/000119312526191605/navi-20260331.htm" TargetMode="External"/><Relationship Id="rId52" Type="http://schemas.openxmlformats.org/officeDocument/2006/relationships/hyperlink" Target="http://www.sec.gov/ix?doc=/Archives/edgar/data/1593538/000114036126000724/ef20062525_8k.htm" TargetMode="External"/><Relationship Id="rId53" Type="http://schemas.openxmlformats.org/officeDocument/2006/relationships/hyperlink" Target="http://www.sec.gov/ix?doc=/Archives/edgar/data/1593538/000114036126013765/ef20069880_8k.htm" TargetMode="External"/><Relationship Id="rId54" Type="http://schemas.openxmlformats.org/officeDocument/2006/relationships/hyperlink" Target="http://www.sec.gov/ix?doc=/Archives/edgar/data/1593538/000114036126014980/ny20066419x1_def14a.htm" TargetMode="External"/><Relationship Id="rId84" Type="http://schemas.openxmlformats.org/officeDocument/2006/relationships/hyperlink" Target="http://www.sec.gov/Archives/edgar/data/1593538/000119312514138083/d635153d1012ba.htm" TargetMode="External"/><Relationship Id="rId85" Type="http://schemas.openxmlformats.org/officeDocument/2006/relationships/hyperlink" Target="http://www.sec.gov/ix?doc=/Archives/edgar/data/0001593538/000095017025029207/navi-20241231.htm" TargetMode="External"/><Relationship Id="rId86" Type="http://schemas.openxmlformats.org/officeDocument/2006/relationships/hyperlink" Target="http://www.sec.gov/ix?doc=/Archives/edgar/data/0001593538/000095017025032042/navi-20241231.htm" TargetMode="External"/><Relationship Id="rId87" Type="http://schemas.openxmlformats.org/officeDocument/2006/relationships/hyperlink" Target="http://www.sec.gov/ix?doc=/Archives/edgar/data/1593538/000095017025061089/navi-20250331.htm" TargetMode="External"/><Relationship Id="rId88" Type="http://schemas.openxmlformats.org/officeDocument/2006/relationships/hyperlink" Target="http://www.sec.gov/ix?doc=/Archives/edgar/data/0001593538/000114036125012335/ef20046878_8k.htm" TargetMode="External"/><Relationship Id="rId89" Type="http://schemas.openxmlformats.org/officeDocument/2006/relationships/hyperlink" Target="http://www.sec.gov/ix?doc=/Archives/edgar/data/0001593538/000114036125014395/edge20043286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2026-05-27T15:43:59Z</dcterms:created>
  <dcterms:modified xsi:type="dcterms:W3CDTF">2026-05-27T15:43:59Z</dcterms:modified>
</cp:coreProperties>
</file>