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HAUBER STEPHEN 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13865 SUNRISE VALLEY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NAVIENT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NAVI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05/22/2026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45"/>
        <w:spacing w:after="0"/>
        <w:rPr>
          <w:sz w:val="20"/>
          <w:szCs w:val="20"/>
          <w:color w:val="auto"/>
        </w:rPr>
      </w:pPr>
      <w:r>
        <w:rPr>
          <w:rFonts w:ascii="Times New Roman" w:cs="Times New Roman" w:eastAsia="Times New Roman" w:hAnsi="Times New Roman"/>
          <w:sz w:val="17"/>
          <w:szCs w:val="17"/>
          <w:color w:val="0000FF"/>
        </w:rPr>
        <w:t>EVP, CFO &amp; PAO</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3"/>
                <w:szCs w:val="3"/>
                <w:color w:val="auto"/>
              </w:rPr>
            </w:pPr>
          </w:p>
        </w:tc>
        <w:tc>
          <w:tcPr>
            <w:tcW w:w="3560" w:type="dxa"/>
            <w:vAlign w:val="bottom"/>
            <w:gridSpan w:val="9"/>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40" w:type="dxa"/>
            <w:vAlign w:val="bottom"/>
            <w:gridSpan w:val="6"/>
            <w:vMerge w:val="continue"/>
          </w:tcPr>
          <w:p>
            <w:pPr>
              <w:spacing w:after="0"/>
              <w:rPr>
                <w:sz w:val="8"/>
                <w:szCs w:val="8"/>
                <w:color w:val="auto"/>
              </w:rPr>
            </w:pPr>
          </w:p>
        </w:tc>
        <w:tc>
          <w:tcPr>
            <w:tcW w:w="200" w:type="dxa"/>
            <w:vAlign w:val="bottom"/>
          </w:tcPr>
          <w:p>
            <w:pPr>
              <w:spacing w:after="0"/>
              <w:rPr>
                <w:sz w:val="8"/>
                <w:szCs w:val="8"/>
                <w:color w:val="auto"/>
              </w:rPr>
            </w:pPr>
          </w:p>
        </w:tc>
        <w:tc>
          <w:tcPr>
            <w:tcW w:w="356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HERNDON</w:t>
            </w:r>
          </w:p>
        </w:tc>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89"/>
              </w:rPr>
              <w:t>VA</w:t>
            </w:r>
          </w:p>
        </w:tc>
        <w:tc>
          <w:tcPr>
            <w:tcW w:w="84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20171</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80" w:type="dxa"/>
            <w:vAlign w:val="bottom"/>
            <w:gridSpan w:val="6"/>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980" w:type="dxa"/>
            <w:vAlign w:val="bottom"/>
            <w:gridSpan w:val="6"/>
          </w:tcPr>
          <w:p>
            <w:pPr>
              <w:ind w:left="16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ind w:left="16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gridSpan w:val="2"/>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05/22/2026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220"/>
              <w:spacing w:after="0" w:line="320" w:lineRule="exact"/>
              <w:rPr>
                <w:sz w:val="20"/>
                <w:szCs w:val="20"/>
                <w:color w:val="auto"/>
              </w:rPr>
            </w:pPr>
            <w:r>
              <w:rPr>
                <w:rFonts w:ascii="Times New Roman" w:cs="Times New Roman" w:eastAsia="Times New Roman" w:hAnsi="Times New Roman"/>
                <w:sz w:val="34"/>
                <w:szCs w:val="34"/>
                <w:color w:val="0000FF"/>
                <w:vertAlign w:val="subscript"/>
              </w:rPr>
              <w:t>816</w:t>
            </w:r>
            <w:r>
              <w:rPr>
                <w:rFonts w:ascii="Times New Roman" w:cs="Times New Roman" w:eastAsia="Times New Roman" w:hAnsi="Times New Roman"/>
                <w:sz w:val="11"/>
                <w:szCs w:val="11"/>
                <w:color w:val="008000"/>
              </w:rPr>
              <w:t>(1)</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8.44</w:t>
            </w:r>
          </w:p>
        </w:tc>
        <w:tc>
          <w:tcPr>
            <w:tcW w:w="124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rPr>
              <w:t>353,517.473</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As previously reported, on May 23, 2024, the reporting person was granted 5,020 RSUs under the Navient Corporation 2024 Omnibus Incentive Plan representing the right to receive shares of Navient Corporation common stock in the future, which vest in one-third increments on each of the first, second and third anniversaries of the grant date. On May 22, 2026, 1,673 shares of such RSUs were settled and an additional 175.319 shares were issued to the reporting person upon the vesting of the related dividend equivalent rights. In connection with this settlement, 816 shares were withheld by Navient, as approved by the Navient Compensation and Human Resources Committee, to satisfy the reporting person's tax withholding obligations.</w:t>
      </w:r>
    </w:p>
    <w:p>
      <w:pPr>
        <w:spacing w:after="0" w:line="24" w:lineRule="exact"/>
        <w:rPr>
          <w:rFonts w:ascii="Times New Roman" w:cs="Times New Roman" w:eastAsia="Times New Roman" w:hAnsi="Times New Roman"/>
          <w:sz w:val="13"/>
          <w:szCs w:val="13"/>
          <w:color w:val="008000"/>
        </w:rPr>
      </w:pPr>
    </w:p>
    <w:p>
      <w:pPr>
        <w:ind w:left="40" w:right="3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Dividend equivalent rights 3,386.837 issued on RSUs are included in the reporting person's common stock holding balance. Each dividend equivalent right is the economic equivalent of one share of Navient Corporation common stock.</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Matthew Sheldon (POA)</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05/26/2026</w:t>
            </w:r>
          </w:p>
        </w:tc>
        <w:tc>
          <w:tcPr>
            <w:tcW w:w="0" w:type="dxa"/>
            <w:vAlign w:val="bottom"/>
          </w:tcPr>
          <w:p>
            <w:pPr>
              <w:spacing w:after="0"/>
              <w:rPr>
                <w:sz w:val="1"/>
                <w:szCs w:val="1"/>
                <w:color w:val="auto"/>
              </w:rPr>
            </w:pPr>
          </w:p>
        </w:tc>
      </w:tr>
      <w:tr>
        <w:trPr>
          <w:trHeight w:val="87"/>
        </w:trPr>
        <w:tc>
          <w:tcPr>
            <w:tcW w:w="194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for Stephen M. Hauber</w:t>
            </w:r>
          </w:p>
        </w:tc>
        <w:tc>
          <w:tcPr>
            <w:tcW w:w="1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40" w:type="dxa"/>
            <w:vAlign w:val="bottom"/>
            <w:tcBorders>
              <w:top w:val="single" w:sz="8" w:color="auto"/>
            </w:tcBorders>
            <w:gridSpan w:val="2"/>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00" w:type="dxa"/>
            <w:vAlign w:val="bottom"/>
            <w:shd w:val="clear" w:color="auto" w:fill="00000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10338" TargetMode="External"/><Relationship Id="rId14" Type="http://schemas.openxmlformats.org/officeDocument/2006/relationships/hyperlink" Target="http://www.sec.gov/cgi-bin/browse-edgar?action=getcompany&amp;CIK=00015935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2026-05-26T16:49:56Z</dcterms:created>
  <dcterms:modified xsi:type="dcterms:W3CDTF">2026-05-26T16:49:56Z</dcterms:modified>
</cp:coreProperties>
</file>