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401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KLANE LARRY A</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13865 SUNRISE VALLEY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NAVIENT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HERNDON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20171</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18,018.018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82,436.0625</w:t>
            </w:r>
            <w:r>
              <w:rPr>
                <w:rFonts w:ascii="Times New Roman" w:cs="Times New Roman" w:eastAsia="Times New Roman" w:hAnsi="Times New Roman"/>
                <w:sz w:val="20"/>
                <w:szCs w:val="20"/>
                <w:color w:val="008000"/>
                <w:vertAlign w:val="superscript"/>
              </w:rPr>
              <w:t>(2)</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3"/>
              <w:spacing w:after="0" w:line="137" w:lineRule="exact"/>
              <w:rPr>
                <w:sz w:val="20"/>
                <w:szCs w:val="20"/>
                <w:color w:val="auto"/>
              </w:rPr>
            </w:pPr>
            <w:r>
              <w:rPr>
                <w:rFonts w:ascii="Times New Roman" w:cs="Times New Roman" w:eastAsia="Times New Roman" w:hAnsi="Times New Roman"/>
                <w:sz w:val="12"/>
                <w:szCs w:val="12"/>
                <w:color w:val="0000FF"/>
              </w:rPr>
              <w:t>06/04/2026</w:t>
            </w:r>
          </w:p>
        </w:tc>
        <w:tc>
          <w:tcPr>
            <w:tcW w:w="1080" w:type="dxa"/>
            <w:vAlign w:val="bottom"/>
          </w:tcPr>
          <w:p>
            <w:pPr>
              <w:spacing w:after="0"/>
              <w:rPr>
                <w:sz w:val="11"/>
                <w:szCs w:val="11"/>
                <w:color w:val="auto"/>
              </w:rPr>
            </w:pPr>
          </w:p>
        </w:tc>
        <w:tc>
          <w:tcPr>
            <w:tcW w:w="8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0000FF"/>
              </w:rPr>
              <w:t>18,018.018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1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880" w:type="dxa"/>
            <w:vAlign w:val="bottom"/>
            <w:gridSpan w:val="2"/>
            <w:vMerge w:val="continue"/>
          </w:tcPr>
          <w:p>
            <w:pPr>
              <w:spacing w:after="0"/>
              <w:rPr>
                <w:sz w:val="11"/>
                <w:szCs w:val="11"/>
                <w:color w:val="auto"/>
              </w:rPr>
            </w:pPr>
          </w:p>
        </w:tc>
        <w:tc>
          <w:tcPr>
            <w:tcW w:w="600" w:type="dxa"/>
            <w:vAlign w:val="bottom"/>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6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phantom stock units acquired pursuant to the terms of the Navient Corporation Deferred Compensation Plan for Directors. Phantom stock units are settled in shares of Navient Corporation common stock, on a one-to-one basis, upon distribution. The Phantom stock units will vest with continued active service on the Navient Board of Directors as follows: 25% will vest on the grant date (June 4, 2026); 25% will vest on August 1, 2026; 25% will vest on November 1, 2026; and 25% will vest on February 1, 2027.</w:t>
      </w:r>
    </w:p>
    <w:p>
      <w:pPr>
        <w:spacing w:after="0" w:line="16" w:lineRule="exact"/>
        <w:rPr>
          <w:rFonts w:ascii="Times New Roman" w:cs="Times New Roman" w:eastAsia="Times New Roman" w:hAnsi="Times New Roman"/>
          <w:sz w:val="12"/>
          <w:szCs w:val="12"/>
          <w:color w:val="008000"/>
        </w:rPr>
      </w:pPr>
    </w:p>
    <w:p>
      <w:pPr>
        <w:ind w:left="40" w:right="240" w:hanging="4"/>
        <w:spacing w:after="0" w:line="27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Dividend equivalent rights (4,205.7759 units) accrued on phantom stock units pursuant to the terms of the Navient Corporation Deferred Compensation Plan for Directors are included in the reporting person's holding balance.</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Matthew Sheldon (POA) for</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06/05/2026</w:t>
            </w:r>
          </w:p>
        </w:tc>
        <w:tc>
          <w:tcPr>
            <w:tcW w:w="0" w:type="dxa"/>
            <w:vAlign w:val="bottom"/>
          </w:tcPr>
          <w:p>
            <w:pPr>
              <w:spacing w:after="0"/>
              <w:rPr>
                <w:sz w:val="1"/>
                <w:szCs w:val="1"/>
                <w:color w:val="auto"/>
              </w:rPr>
            </w:pPr>
          </w:p>
        </w:tc>
      </w:tr>
      <w:tr>
        <w:trPr>
          <w:trHeight w:val="84"/>
        </w:trPr>
        <w:tc>
          <w:tcPr>
            <w:tcW w:w="98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8"/>
              </w:rPr>
              <w:t>Larry A. Klane</w:t>
            </w:r>
          </w:p>
        </w:tc>
        <w:tc>
          <w:tcPr>
            <w:tcW w:w="104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980" w:type="dxa"/>
            <w:vAlign w:val="bottom"/>
            <w:tcBorders>
              <w:bottom w:val="single" w:sz="8" w:color="auto"/>
            </w:tcBorders>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036" TargetMode="External"/><Relationship Id="rId14" Type="http://schemas.openxmlformats.org/officeDocument/2006/relationships/hyperlink" Target="http://www.sec.gov/cgi-bin/browse-edgar?action=getcompany&amp;CIK=0001593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2026-06-05T16:21:58Z</dcterms:created>
  <dcterms:modified xsi:type="dcterms:W3CDTF">2026-06-05T16:21:58Z</dcterms:modified>
</cp:coreProperties>
</file>