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Navient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001-43525</w:t>
            </w:r>
          </w:p>
        </w:tc>
        <w:tc>
          <w:tcPr>
            <w:tcW w:w="18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46-4054283</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2"/>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Herndon, Virginia</w:t>
            </w:r>
          </w:p>
        </w:tc>
        <w:tc>
          <w:tcPr>
            <w:tcW w:w="2800" w:type="dxa"/>
            <w:vAlign w:val="bottom"/>
          </w:tcPr>
          <w:p>
            <w:pPr>
              <w:spacing w:after="0"/>
              <w:rPr>
                <w:sz w:val="19"/>
                <w:szCs w:val="19"/>
                <w:color w:val="auto"/>
              </w:rPr>
            </w:pPr>
          </w:p>
        </w:tc>
        <w:tc>
          <w:tcPr>
            <w:tcW w:w="18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184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302 283-8000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258445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NAVI</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120015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4, 2026, Navient Holdings, Inc. (the “Company”) issued an informational press release announcing its financial results for the quarter ended September 30, 2026 were available on the “Investor” page of its website located at https://www.Navient.com/investors. Additionally, on November 4, 2026, the Company posted its financial results for the quarter ended September 30, 2026 to its above-referenced web location. A copy of each press release is furnished as Exhibit 99.1 and Exhibit 99.2 hereto.</w:t>
      </w:r>
    </w:p>
    <w:p>
      <w:pPr>
        <w:spacing w:after="0" w:line="2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ind w:left="440"/>
        <w:spacing w:after="0"/>
        <w:tabs>
          <w:tab w:leader="none" w:pos="7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color w:val="auto"/>
        </w:rPr>
        <w:t>Number</w:t>
      </w:r>
      <w:r>
        <w:rPr>
          <w:sz w:val="20"/>
          <w:szCs w:val="20"/>
          <w:color w:val="auto"/>
        </w:rPr>
        <w:tab/>
      </w:r>
      <w:r>
        <w:rPr>
          <w:rFonts w:ascii="Times New Roman" w:cs="Times New Roman" w:eastAsia="Times New Roman" w:hAnsi="Times New Roman"/>
          <w:sz w:val="14"/>
          <w:szCs w:val="14"/>
          <w:color w:val="auto"/>
        </w:rPr>
        <w:t>Description</w:t>
      </w:r>
    </w:p>
    <w:p>
      <w:pPr>
        <w:spacing w:after="0" w:line="354" w:lineRule="exact"/>
        <w:rPr>
          <w:sz w:val="20"/>
          <w:szCs w:val="20"/>
          <w:color w:val="auto"/>
        </w:rPr>
      </w:pPr>
    </w:p>
    <w:p>
      <w:pPr>
        <w:ind w:left="140"/>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November 4,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-7620</wp:posOffset>
            </wp:positionV>
            <wp:extent cx="18116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spacing w:after="0" w:line="205" w:lineRule="exact"/>
        <w:rPr>
          <w:sz w:val="20"/>
          <w:szCs w:val="20"/>
          <w:color w:val="auto"/>
        </w:rPr>
      </w:pPr>
    </w:p>
    <w:p>
      <w:pPr>
        <w:ind w:left="140"/>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FF"/>
        </w:rPr>
        <w:t>Financial Press Release, dated November 4,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-7620</wp:posOffset>
            </wp:positionV>
            <wp:extent cx="2265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65680" cy="8255"/>
                    </a:xfrm>
                    <a:prstGeom prst="rect">
                      <a:avLst/>
                    </a:prstGeom>
                    <a:noFill/>
                  </pic:spPr>
                </pic:pic>
              </a:graphicData>
            </a:graphic>
          </wp:anchor>
        </w:drawing>
      </w:r>
    </w:p>
    <w:p>
      <w:pPr>
        <w:spacing w:after="0" w:line="43" w:lineRule="exact"/>
        <w:rPr>
          <w:sz w:val="20"/>
          <w:szCs w:val="20"/>
          <w:color w:val="auto"/>
        </w:rPr>
      </w:pPr>
    </w:p>
    <w:p>
      <w:pPr>
        <w:ind w:right="2920" w:firstLine="152"/>
        <w:spacing w:after="0" w:line="642" w:lineRule="auto"/>
        <w:tabs>
          <w:tab w:leader="none" w:pos="868" w:val="left"/>
        </w:tabs>
        <w:numPr>
          <w:ilvl w:val="1"/>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401320</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765" w:right="11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10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16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rPr>
              <w:t>NAVIENT HOLDINGS, INC.</w:t>
            </w:r>
          </w:p>
        </w:tc>
      </w:tr>
      <w:tr>
        <w:trPr>
          <w:trHeight w:val="432"/>
        </w:trPr>
        <w:tc>
          <w:tcPr>
            <w:tcW w:w="3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November 4, 2026</w:t>
            </w:r>
          </w:p>
        </w:tc>
        <w:tc>
          <w:tcPr>
            <w:tcW w:w="7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/s/ STEVE HAUBER</w:t>
            </w:r>
          </w:p>
        </w:tc>
      </w:tr>
      <w:tr>
        <w:trPr>
          <w:trHeight w:val="191"/>
        </w:trPr>
        <w:tc>
          <w:tcPr>
            <w:tcW w:w="38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2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Steve Hauber</w:t>
            </w:r>
          </w:p>
        </w:tc>
        <w:tc>
          <w:tcPr>
            <w:tcW w:w="660" w:type="dxa"/>
            <w:vAlign w:val="bottom"/>
          </w:tcPr>
          <w:p>
            <w:pPr>
              <w:spacing w:after="0"/>
              <w:rPr>
                <w:sz w:val="16"/>
                <w:szCs w:val="16"/>
                <w:color w:val="auto"/>
              </w:rPr>
            </w:pPr>
          </w:p>
        </w:tc>
      </w:tr>
      <w:tr>
        <w:trPr>
          <w:trHeight w:val="234"/>
        </w:trPr>
        <w:tc>
          <w:tcPr>
            <w:tcW w:w="38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38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03"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292100</wp:posOffset>
            </wp:positionV>
            <wp:extent cx="178308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9"/>
          <w:szCs w:val="29"/>
          <w:color w:val="470A68"/>
        </w:rPr>
        <w:t>NEWS RELEASE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470A68"/>
        </w:rPr>
        <w:t>For immediate release</w:t>
      </w: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i w:val="1"/>
          <w:iCs w:val="1"/>
          <w:color w:val="auto"/>
        </w:rPr>
        <w:t>Navient posts third quarter 2026 financial results</w:t>
      </w:r>
    </w:p>
    <w:p>
      <w:pPr>
        <w:spacing w:after="0" w:line="236" w:lineRule="exact"/>
        <w:rPr>
          <w:sz w:val="20"/>
          <w:szCs w:val="20"/>
          <w:color w:val="auto"/>
        </w:rPr>
      </w:pPr>
    </w:p>
    <w:p>
      <w:pPr>
        <w:jc w:val="both"/>
        <w:ind w:right="80"/>
        <w:spacing w:after="0" w:line="242" w:lineRule="auto"/>
        <w:rPr>
          <w:sz w:val="20"/>
          <w:szCs w:val="20"/>
          <w:color w:val="auto"/>
        </w:rPr>
      </w:pPr>
      <w:r>
        <w:rPr>
          <w:rFonts w:ascii="Arial" w:cs="Arial" w:eastAsia="Arial" w:hAnsi="Arial"/>
          <w:sz w:val="20"/>
          <w:szCs w:val="20"/>
          <w:b w:val="1"/>
          <w:bCs w:val="1"/>
          <w:color w:val="auto"/>
        </w:rPr>
        <w:t>HERNDON, Va., Nov. 4, 2026</w:t>
      </w:r>
      <w:r>
        <w:rPr>
          <w:rFonts w:ascii="Arial" w:cs="Arial" w:eastAsia="Arial" w:hAnsi="Arial"/>
          <w:sz w:val="20"/>
          <w:szCs w:val="20"/>
          <w:color w:val="auto"/>
        </w:rPr>
        <w:t>— Navient (Nasdaq: NAVI) today posted its 2026 third quarter financial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Complete financial results are available on the company’s website at </w:t>
      </w:r>
      <w:r>
        <w:rPr>
          <w:rFonts w:ascii="Arial" w:cs="Arial" w:eastAsia="Arial" w:hAnsi="Arial"/>
          <w:sz w:val="20"/>
          <w:szCs w:val="20"/>
          <w:u w:val="single" w:color="auto"/>
          <w:color w:val="0000FF"/>
        </w:rPr>
        <w:t>Navient.com/investors.</w:t>
      </w:r>
      <w:r>
        <w:rPr>
          <w:rFonts w:ascii="Arial" w:cs="Arial" w:eastAsia="Arial" w:hAnsi="Arial"/>
          <w:sz w:val="20"/>
          <w:szCs w:val="20"/>
          <w:color w:val="auto"/>
        </w:rPr>
        <w:t xml:space="preserve"> The materials will also be available on a Form 8-K on the SEC’s website at </w:t>
      </w:r>
      <w:r>
        <w:rPr>
          <w:rFonts w:ascii="Arial" w:cs="Arial" w:eastAsia="Arial" w:hAnsi="Arial"/>
          <w:sz w:val="20"/>
          <w:szCs w:val="20"/>
          <w:u w:val="single" w:color="auto"/>
          <w:color w:val="0000FF"/>
        </w:rPr>
        <w:t>www.sec.gov</w:t>
      </w:r>
      <w:r>
        <w:rPr>
          <w:rFonts w:ascii="Arial" w:cs="Arial" w:eastAsia="Arial" w:hAnsi="Arial"/>
          <w:sz w:val="20"/>
          <w:szCs w:val="20"/>
          <w:color w:val="auto"/>
        </w:rPr>
        <w:t>.</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Navient will hold a live audio webcast today, Nov. 4, 2026, at 5 p.m. ET, hosted by Edward Bramson, CEO and chair of the board, and Steve Hauber, CFO.</w:t>
      </w:r>
    </w:p>
    <w:p>
      <w:pPr>
        <w:spacing w:after="0" w:line="155"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xml:space="preserve">The webcast will be available on </w:t>
      </w:r>
      <w:r>
        <w:rPr>
          <w:rFonts w:ascii="Arial" w:cs="Arial" w:eastAsia="Arial" w:hAnsi="Arial"/>
          <w:sz w:val="20"/>
          <w:szCs w:val="20"/>
          <w:u w:val="single" w:color="auto"/>
          <w:color w:val="0000FF"/>
        </w:rPr>
        <w:t>Navient.com/investors</w:t>
      </w:r>
      <w:r>
        <w:rPr>
          <w:rFonts w:ascii="Arial" w:cs="Arial" w:eastAsia="Arial" w:hAnsi="Arial"/>
          <w:sz w:val="20"/>
          <w:szCs w:val="20"/>
          <w:color w:val="auto"/>
        </w:rPr>
        <w:t>. Supplemental financial information and presentation slides used during the call will be available no later than the start time. A replay of the webcast will be available shortly after the event's conclusion.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Navient</w:t>
      </w:r>
    </w:p>
    <w:p>
      <w:pPr>
        <w:spacing w:after="0" w:line="1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Navient (Nasdaq: NAVI) creates long-term value for customers and investors with responsible lending, flexible refinancing, trusted servicing oversight, and decades of education finance and portfolio management expertise. Through our Earnest business, we help customers confidently achieve financial success through digital financial services. Our employees thrive in a culture of belonging, where they are supported and proud to deliver meaningful outcomes. Learn more on </w:t>
      </w:r>
      <w:r>
        <w:rPr>
          <w:rFonts w:ascii="Arial" w:cs="Arial" w:eastAsia="Arial" w:hAnsi="Arial"/>
          <w:sz w:val="18"/>
          <w:szCs w:val="18"/>
          <w:u w:val="single" w:color="auto"/>
          <w:color w:val="0000FF"/>
        </w:rPr>
        <w:t>Navient.com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Cate Fitzgerald, 703-831-6347, </w:t>
      </w:r>
      <w:r>
        <w:rPr>
          <w:rFonts w:ascii="Arial" w:cs="Arial" w:eastAsia="Arial" w:hAnsi="Arial"/>
          <w:sz w:val="18"/>
          <w:szCs w:val="18"/>
          <w:u w:val="single" w:color="auto"/>
          <w:color w:val="0000FF"/>
        </w:rPr>
        <w:t>catherine.fitzgerald@navient.com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Micah Andrews, 571-415-5413, </w:t>
      </w:r>
      <w:r>
        <w:rPr>
          <w:rFonts w:ascii="Arial" w:cs="Arial" w:eastAsia="Arial" w:hAnsi="Arial"/>
          <w:sz w:val="18"/>
          <w:szCs w:val="18"/>
          <w:u w:val="single" w:color="auto"/>
          <w:color w:val="0000FF"/>
        </w:rPr>
        <w:t>micah.andrews@navient.com</w:t>
      </w:r>
    </w:p>
    <w:p>
      <w:pPr>
        <w:ind w:left="820"/>
        <w:spacing w:after="0"/>
        <w:rPr>
          <w:sz w:val="20"/>
          <w:szCs w:val="20"/>
          <w:color w:val="auto"/>
        </w:rPr>
      </w:pPr>
      <w:r>
        <w:rPr>
          <w:rFonts w:ascii="Arial" w:cs="Arial" w:eastAsia="Arial" w:hAnsi="Arial"/>
          <w:sz w:val="18"/>
          <w:szCs w:val="18"/>
          <w:color w:val="auto"/>
        </w:rPr>
        <w:t xml:space="preserve">Roger Yankoupe, 571-592-8569, </w:t>
      </w:r>
      <w:r>
        <w:rPr>
          <w:rFonts w:ascii="Arial" w:cs="Arial" w:eastAsia="Arial" w:hAnsi="Arial"/>
          <w:sz w:val="18"/>
          <w:szCs w:val="18"/>
          <w:u w:val="single" w:color="auto"/>
          <w:color w:val="0000FF"/>
        </w:rPr>
        <w:t>roger.yankoupe@navient.com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613410</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9" w:right="10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355" w:lineRule="exact"/>
        <w:rPr>
          <w:sz w:val="20"/>
          <w:szCs w:val="20"/>
          <w:color w:val="auto"/>
        </w:rPr>
      </w:pPr>
    </w:p>
    <w:p>
      <w:pPr>
        <w:ind w:left="6525"/>
        <w:spacing w:after="0"/>
        <w:rPr>
          <w:sz w:val="20"/>
          <w:szCs w:val="20"/>
          <w:color w:val="auto"/>
        </w:rPr>
      </w:pPr>
      <w:r>
        <w:rPr>
          <w:rFonts w:ascii="Arial" w:cs="Arial" w:eastAsia="Arial" w:hAnsi="Arial"/>
          <w:sz w:val="19"/>
          <w:szCs w:val="19"/>
          <w:b w:val="1"/>
          <w:bCs w:val="1"/>
          <w:color w:val="482366"/>
        </w:rPr>
        <w:t>NAVIENT REPORTS THIRD-QUARTER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178308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291465"/>
                    </a:xfrm>
                    <a:prstGeom prst="rect">
                      <a:avLst/>
                    </a:prstGeom>
                    <a:noFill/>
                  </pic:spPr>
                </pic:pic>
              </a:graphicData>
            </a:graphic>
          </wp:anchor>
        </w:drawing>
      </w:r>
    </w:p>
    <w:p>
      <w:pPr>
        <w:ind w:left="7565"/>
        <w:spacing w:after="0"/>
        <w:rPr>
          <w:sz w:val="20"/>
          <w:szCs w:val="20"/>
          <w:color w:val="auto"/>
        </w:rPr>
      </w:pPr>
      <w:r>
        <w:rPr>
          <w:rFonts w:ascii="Arial" w:cs="Arial" w:eastAsia="Arial" w:hAnsi="Arial"/>
          <w:sz w:val="19"/>
          <w:szCs w:val="19"/>
          <w:b w:val="1"/>
          <w:bCs w:val="1"/>
          <w:color w:val="482366"/>
        </w:rPr>
        <w:t>2026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617220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4318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5" w:right="40"/>
        <w:spacing w:after="0" w:line="271" w:lineRule="auto"/>
        <w:rPr>
          <w:sz w:val="20"/>
          <w:szCs w:val="20"/>
          <w:color w:val="auto"/>
        </w:rPr>
      </w:pPr>
      <w:r>
        <w:rPr>
          <w:rFonts w:ascii="Arial" w:cs="Arial" w:eastAsia="Arial" w:hAnsi="Arial"/>
          <w:sz w:val="18"/>
          <w:szCs w:val="18"/>
          <w:b w:val="1"/>
          <w:bCs w:val="1"/>
          <w:color w:val="auto"/>
        </w:rPr>
        <w:t xml:space="preserve">HERNDON, Va., November 4, 2026 </w:t>
      </w:r>
      <w:r>
        <w:rPr>
          <w:rFonts w:ascii="Arial" w:cs="Arial" w:eastAsia="Arial" w:hAnsi="Arial"/>
          <w:sz w:val="18"/>
          <w:szCs w:val="18"/>
          <w:color w:val="auto"/>
        </w:rPr>
        <w:t>— Navient (Nasdaq: NAVI) today announced third-quarter 2026 net income of $15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($0.16 per diluted share) on a GAAP basis.</w:t>
      </w:r>
    </w:p>
    <w:p>
      <w:pPr>
        <w:spacing w:after="0" w:line="140" w:lineRule="exact"/>
        <w:rPr>
          <w:sz w:val="20"/>
          <w:szCs w:val="20"/>
          <w:color w:val="auto"/>
        </w:rPr>
      </w:pPr>
    </w:p>
    <w:p>
      <w:pPr>
        <w:jc w:val="both"/>
        <w:ind w:left="5" w:right="40"/>
        <w:spacing w:after="0" w:line="228" w:lineRule="auto"/>
        <w:rPr>
          <w:sz w:val="20"/>
          <w:szCs w:val="20"/>
          <w:color w:val="auto"/>
        </w:rPr>
      </w:pPr>
      <w:r>
        <w:rPr>
          <w:rFonts w:ascii="Arial" w:cs="Arial" w:eastAsia="Arial" w:hAnsi="Arial"/>
          <w:sz w:val="18"/>
          <w:szCs w:val="18"/>
          <w:color w:val="auto"/>
        </w:rPr>
        <w:t>Earnings for the period included derivative hedging gains and a tax benefit aggregating $12 million on an after-tax basis ($0.13 per diluted share). Navient’s definition of Core Earnings excludes these items and, accordingly, Core Earnings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for the period were $3 million ($0.03 per diluted share).</w:t>
      </w:r>
    </w:p>
    <w:p>
      <w:pPr>
        <w:spacing w:after="0" w:line="168" w:lineRule="exact"/>
        <w:rPr>
          <w:sz w:val="20"/>
          <w:szCs w:val="20"/>
          <w:color w:val="auto"/>
        </w:rPr>
      </w:pPr>
    </w:p>
    <w:p>
      <w:pPr>
        <w:ind w:left="5" w:right="200"/>
        <w:spacing w:after="0" w:line="253" w:lineRule="auto"/>
        <w:rPr>
          <w:sz w:val="20"/>
          <w:szCs w:val="20"/>
          <w:color w:val="auto"/>
        </w:rPr>
      </w:pPr>
      <w:r>
        <w:rPr>
          <w:rFonts w:ascii="Arial" w:cs="Arial" w:eastAsia="Arial" w:hAnsi="Arial"/>
          <w:sz w:val="18"/>
          <w:szCs w:val="18"/>
          <w:color w:val="auto"/>
        </w:rPr>
        <w:t>Earnings in the quarter were increased by $23 million ($0.18 per diluted share) as a result of a net fair value increase from applying the fair value option to In-School Loans originated in the quarter and were reduced by loan loss provisions on newly originated Refinance Loans and Personal Loans in the quarter of $16 million ($0.13 per diluted share).</w:t>
      </w:r>
    </w:p>
    <w:p>
      <w:pPr>
        <w:spacing w:after="0" w:line="155" w:lineRule="exact"/>
        <w:rPr>
          <w:sz w:val="20"/>
          <w:szCs w:val="20"/>
          <w:color w:val="auto"/>
        </w:rPr>
      </w:pPr>
    </w:p>
    <w:p>
      <w:pPr>
        <w:ind w:left="5" w:right="120"/>
        <w:spacing w:after="0" w:line="244" w:lineRule="auto"/>
        <w:rPr>
          <w:sz w:val="20"/>
          <w:szCs w:val="20"/>
          <w:color w:val="auto"/>
        </w:rPr>
      </w:pPr>
      <w:r>
        <w:rPr>
          <w:rFonts w:ascii="Arial" w:cs="Arial" w:eastAsia="Arial" w:hAnsi="Arial"/>
          <w:sz w:val="18"/>
          <w:szCs w:val="18"/>
          <w:color w:val="auto"/>
        </w:rPr>
        <w:t>Loan originations for the third quarter, under the Earnest brand, were $1.4 billion, an increase of 77% from the third quarter of the prior year. Third-quarter 2026 originations included $46 million of Personal Loans resulting from Earnest’s continuing test program for this new product, versus no originations in the prior year as the Personal Loan product was launched in the fourth quarter of 2025. Refinance Loan originations in the quarter were $870 million and In-School Loan originations were $479 million, resulting in increases of 65% and 84%, respectively, versus the prior year period.</w:t>
      </w:r>
    </w:p>
    <w:p>
      <w:pPr>
        <w:spacing w:after="0" w:line="163" w:lineRule="exact"/>
        <w:rPr>
          <w:sz w:val="20"/>
          <w:szCs w:val="20"/>
          <w:color w:val="auto"/>
        </w:rPr>
      </w:pPr>
    </w:p>
    <w:p>
      <w:pPr>
        <w:jc w:val="both"/>
        <w:ind w:left="5" w:right="500"/>
        <w:spacing w:after="0" w:line="301" w:lineRule="auto"/>
        <w:rPr>
          <w:sz w:val="20"/>
          <w:szCs w:val="20"/>
          <w:color w:val="auto"/>
        </w:rPr>
      </w:pPr>
      <w:r>
        <w:rPr>
          <w:rFonts w:ascii="Arial" w:cs="Arial" w:eastAsia="Arial" w:hAnsi="Arial"/>
          <w:sz w:val="17"/>
          <w:szCs w:val="17"/>
          <w:color w:val="auto"/>
        </w:rPr>
        <w:t>Average FICO scores for Personal Loans, Refinance Loans and In-School Loans in the quarter were 768, 775, and 770, respectively, reflecting the company’s strategy since 2024 to focus on originating loans to higher credit quality borrowers.</w:t>
      </w:r>
    </w:p>
    <w:p>
      <w:pPr>
        <w:spacing w:after="0" w:line="117" w:lineRule="exact"/>
        <w:rPr>
          <w:sz w:val="20"/>
          <w:szCs w:val="20"/>
          <w:color w:val="auto"/>
        </w:rPr>
      </w:pPr>
    </w:p>
    <w:p>
      <w:pPr>
        <w:jc w:val="both"/>
        <w:ind w:left="5" w:right="380"/>
        <w:spacing w:after="0" w:line="253" w:lineRule="auto"/>
        <w:rPr>
          <w:sz w:val="20"/>
          <w:szCs w:val="20"/>
          <w:color w:val="auto"/>
        </w:rPr>
      </w:pPr>
      <w:r>
        <w:rPr>
          <w:rFonts w:ascii="Arial" w:cs="Arial" w:eastAsia="Arial" w:hAnsi="Arial"/>
          <w:sz w:val="18"/>
          <w:szCs w:val="18"/>
          <w:color w:val="auto"/>
        </w:rPr>
        <w:t>Net income and earnings per diluted share reported for the third quarter 2026 include a number of significant items. These significant items, set forth below, resulted in a net reduction in pre-tax earnings of $34 million ($0.27 per diluted share) and apply both to GAAP and Core Earnings.</w:t>
      </w:r>
    </w:p>
    <w:p>
      <w:pPr>
        <w:spacing w:after="0" w:line="16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PORTFOLIO OPTIMIZATION</w:t>
      </w:r>
    </w:p>
    <w:p>
      <w:pPr>
        <w:spacing w:after="0" w:line="198" w:lineRule="exact"/>
        <w:rPr>
          <w:sz w:val="20"/>
          <w:szCs w:val="20"/>
          <w:color w:val="auto"/>
        </w:rPr>
      </w:pPr>
    </w:p>
    <w:p>
      <w:pPr>
        <w:ind w:left="5"/>
        <w:spacing w:after="0"/>
        <w:rPr>
          <w:sz w:val="20"/>
          <w:szCs w:val="20"/>
          <w:color w:val="auto"/>
        </w:rPr>
      </w:pPr>
      <w:r>
        <w:rPr>
          <w:rFonts w:ascii="Arial" w:cs="Arial" w:eastAsia="Arial" w:hAnsi="Arial"/>
          <w:sz w:val="18"/>
          <w:szCs w:val="18"/>
          <w:color w:val="auto"/>
        </w:rPr>
        <w:t>$162 million ($1.31 per diluted share) of gains from the sale of approximately $750 million of Legacy Private Education Loans.</w:t>
      </w:r>
    </w:p>
    <w:p>
      <w:pPr>
        <w:spacing w:after="0" w:line="14" w:lineRule="exact"/>
        <w:rPr>
          <w:sz w:val="20"/>
          <w:szCs w:val="20"/>
          <w:color w:val="auto"/>
        </w:rPr>
      </w:pPr>
    </w:p>
    <w:p>
      <w:pPr>
        <w:ind w:left="5"/>
        <w:spacing w:after="0"/>
        <w:rPr>
          <w:sz w:val="20"/>
          <w:szCs w:val="20"/>
          <w:color w:val="auto"/>
        </w:rPr>
      </w:pPr>
      <w:r>
        <w:rPr>
          <w:rFonts w:ascii="Arial" w:cs="Arial" w:eastAsia="Arial" w:hAnsi="Arial"/>
          <w:sz w:val="18"/>
          <w:szCs w:val="18"/>
          <w:color w:val="auto"/>
        </w:rPr>
        <w:t>This gain includes $91 million ($0.73 per diluted share) relating to an original acquisition discount on these loans.</w:t>
      </w:r>
    </w:p>
    <w:p>
      <w:pPr>
        <w:spacing w:after="0" w:line="180" w:lineRule="exact"/>
        <w:rPr>
          <w:sz w:val="20"/>
          <w:szCs w:val="20"/>
          <w:color w:val="auto"/>
        </w:rPr>
      </w:pPr>
    </w:p>
    <w:p>
      <w:pPr>
        <w:ind w:left="5" w:right="80"/>
        <w:spacing w:after="0" w:line="253" w:lineRule="auto"/>
        <w:rPr>
          <w:sz w:val="20"/>
          <w:szCs w:val="20"/>
          <w:color w:val="auto"/>
        </w:rPr>
      </w:pPr>
      <w:r>
        <w:rPr>
          <w:rFonts w:ascii="Arial" w:cs="Arial" w:eastAsia="Arial" w:hAnsi="Arial"/>
          <w:sz w:val="18"/>
          <w:szCs w:val="18"/>
          <w:color w:val="auto"/>
        </w:rPr>
        <w:t>$29 million ($0.23 per diluted share) net reduction in the fair value (reflected in provision for loan losses) of approximately $1.4 billion of Legacy Private Education Loans as a result of classifying them as held for sale as of September 30, 2026. The company had established an allowance for loan losses in the amount of $92 million for these loans.</w:t>
      </w:r>
    </w:p>
    <w:p>
      <w:pPr>
        <w:spacing w:after="0" w:line="15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CHANGES IN LOAN LOSS RESERVES </w:t>
      </w:r>
      <w:r>
        <w:rPr>
          <w:rFonts w:ascii="Arial" w:cs="Arial" w:eastAsia="Arial" w:hAnsi="Arial"/>
          <w:sz w:val="18"/>
          <w:szCs w:val="18"/>
          <w:color w:val="auto"/>
        </w:rPr>
        <w:t>(excluding allowance for loan losses on newly originated loans)</w:t>
      </w:r>
    </w:p>
    <w:p>
      <w:pPr>
        <w:spacing w:after="0" w:line="198" w:lineRule="exact"/>
        <w:rPr>
          <w:sz w:val="20"/>
          <w:szCs w:val="20"/>
          <w:color w:val="auto"/>
        </w:rPr>
      </w:pPr>
    </w:p>
    <w:p>
      <w:pPr>
        <w:ind w:left="5" w:right="180"/>
        <w:spacing w:after="0" w:line="271" w:lineRule="auto"/>
        <w:rPr>
          <w:sz w:val="20"/>
          <w:szCs w:val="20"/>
          <w:color w:val="auto"/>
        </w:rPr>
      </w:pPr>
      <w:r>
        <w:rPr>
          <w:rFonts w:ascii="Arial" w:cs="Arial" w:eastAsia="Arial" w:hAnsi="Arial"/>
          <w:sz w:val="18"/>
          <w:szCs w:val="18"/>
          <w:color w:val="auto"/>
        </w:rPr>
        <w:t>$42 million ($ 0.34 per diluted share) benefit from the release of allowance for loan losses related to classifying approximately $1.0 billion of In-School Loans as held for sale at September 30, 2026.</w:t>
      </w:r>
    </w:p>
    <w:p>
      <w:pPr>
        <w:spacing w:after="0" w:line="140" w:lineRule="exact"/>
        <w:rPr>
          <w:sz w:val="20"/>
          <w:szCs w:val="20"/>
          <w:color w:val="auto"/>
        </w:rPr>
      </w:pPr>
    </w:p>
    <w:p>
      <w:pPr>
        <w:ind w:left="5" w:right="540"/>
        <w:spacing w:after="0" w:line="253" w:lineRule="auto"/>
        <w:rPr>
          <w:sz w:val="20"/>
          <w:szCs w:val="20"/>
          <w:color w:val="auto"/>
        </w:rPr>
      </w:pPr>
      <w:r>
        <w:rPr>
          <w:rFonts w:ascii="Arial" w:cs="Arial" w:eastAsia="Arial" w:hAnsi="Arial"/>
          <w:sz w:val="18"/>
          <w:szCs w:val="18"/>
          <w:color w:val="auto"/>
        </w:rPr>
        <w:t>$178 million ($1.44 per diluted share) of provision for loan losses for Legacy Private Education Loans primarily related to recent and forecasted delinquencies and charge-offs persisting at elevated levels for a longer duration than previously anticipated.</w:t>
      </w:r>
    </w:p>
    <w:p>
      <w:pPr>
        <w:spacing w:after="0" w:line="155" w:lineRule="exact"/>
        <w:rPr>
          <w:sz w:val="20"/>
          <w:szCs w:val="20"/>
          <w:color w:val="auto"/>
        </w:rPr>
      </w:pPr>
    </w:p>
    <w:p>
      <w:pPr>
        <w:ind w:left="5" w:right="720"/>
        <w:spacing w:after="0" w:line="271" w:lineRule="auto"/>
        <w:rPr>
          <w:sz w:val="20"/>
          <w:szCs w:val="20"/>
          <w:color w:val="auto"/>
        </w:rPr>
      </w:pPr>
      <w:r>
        <w:rPr>
          <w:rFonts w:ascii="Arial" w:cs="Arial" w:eastAsia="Arial" w:hAnsi="Arial"/>
          <w:sz w:val="18"/>
          <w:szCs w:val="18"/>
          <w:color w:val="auto"/>
        </w:rPr>
        <w:t>$33 million ($0.27 per diluted share) of provision for loan losses for Refinance Loans. These principally relate to loans originated prior to the change in credit policy for such loan originations beginning in 2024.</w:t>
      </w:r>
    </w:p>
    <w:p>
      <w:pPr>
        <w:spacing w:after="0" w:line="140" w:lineRule="exact"/>
        <w:rPr>
          <w:sz w:val="20"/>
          <w:szCs w:val="20"/>
          <w:color w:val="auto"/>
        </w:rPr>
      </w:pPr>
    </w:p>
    <w:p>
      <w:pPr>
        <w:ind w:left="5" w:right="280"/>
        <w:spacing w:after="0" w:line="301" w:lineRule="auto"/>
        <w:rPr>
          <w:sz w:val="20"/>
          <w:szCs w:val="20"/>
          <w:color w:val="auto"/>
        </w:rPr>
      </w:pPr>
      <w:r>
        <w:rPr>
          <w:rFonts w:ascii="Arial" w:cs="Arial" w:eastAsia="Arial" w:hAnsi="Arial"/>
          <w:sz w:val="17"/>
          <w:szCs w:val="17"/>
          <w:color w:val="auto"/>
        </w:rPr>
        <w:t>$13 million ($0.10 per diluted share) of provision for loan losses for the FFELP government-guaranteed portfolio. This is primarily the result of an increase in premium allocated to future defaults, as well as the continued extension of the portfolio.</w:t>
      </w:r>
    </w:p>
    <w:p>
      <w:pPr>
        <w:spacing w:after="0" w:line="126" w:lineRule="exact"/>
        <w:rPr>
          <w:sz w:val="20"/>
          <w:szCs w:val="20"/>
          <w:color w:val="auto"/>
        </w:rPr>
      </w:pPr>
    </w:p>
    <w:p>
      <w:pPr>
        <w:ind w:left="365" w:hanging="365"/>
        <w:spacing w:after="0"/>
        <w:tabs>
          <w:tab w:leader="none" w:pos="365"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Item is a non-GAAP financial measure. For a description and reconciliation, see “Non-GAAP Financial Measures” on pages 18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729615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1174" w:right="10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OTHER ITEMS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$15 million ($0.12 per diluted share) benefit, principally from the receipt of insurance proceeds related to prior litigation.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for the quarter are attached to this release.</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Commenting on the results, Edward Bramson, CEO and chair of the board of directors, said, “These results continue Navient’s trend of growing originations while maintaining high credit quality. During the quarter, we also made further progress in diversifying our origination mix by increasing the proportion of In-School and Personal Loans. We continued the transition of our loan portfolios toward more market-based measures, classifying approximately $ 2.4 billion of additional loans as held for sale and electing the fair value option for newly originated In-School Loans. We also sold approximately $750 million of Legacy Private Education Loans at a gain as part of our ongoing portfolio optimization strategy. We are evaluating additional loan sales as we continue to optimize the portfolio and reallocate capital toward more strategic uses.”</w:t>
      </w:r>
    </w:p>
    <w:p>
      <w:pPr>
        <w:spacing w:after="0" w:line="17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Navient will hold a live audio webcast today, November 4, 2026, at 5 p.m. ET, hosted by Edward Bramson, CEO and chair of the board, and Steve Hauber, CFO. The webcast will be available on Navient.com/investors. Supplemental financial information and presentation slides used during the call will be available no later than the start time. A replay of the webcast will be available shortly after the event’s conclusion.</w:t>
      </w:r>
    </w:p>
    <w:p>
      <w:pPr>
        <w:spacing w:after="0" w:line="160"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Definitions for capitalized terms in this release can be found in Navient’s Annual Report on Form 10-K for the year ended December 31, 2025 (filed with the SEC on February 26, 2026).</w:t>
      </w:r>
    </w:p>
    <w:p>
      <w:pPr>
        <w:spacing w:after="0" w:line="14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b w:val="1"/>
          <w:bCs w:val="1"/>
          <w:color w:val="auto"/>
        </w:rPr>
        <w:t>This news release contains “forward-looking statements,” within the meaning of the federal securities law, about our business and prospectus and other information that is based on management’s current expectations as of the date of this release.</w:t>
      </w:r>
    </w:p>
    <w:p>
      <w:pPr>
        <w:spacing w:after="0" w:line="14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Statements that are not historical facts, including statements about our beliefs, opinions, or expectations and statements that assume or are dependent upon future events, are forward-looking statements and often contain words such as “expect,” “assume,” “anticipate,” “intend,” “plan,” “believe,” “seek,” “see,” “will,” “would,” “may,” “could,” “should,” “goals,” or “target.” Such statements are based on management’s expectations as of the date of this release and involve many risks and uncertainties that could cause our actual results to differ materially from those expressed or implied in our forward-looking statements. For Navient, these factors include, among other things: general economic conditions, including the potential impact of artificial intelligence, inflation and interest rates on Navient and its clients and customers and on the creditworthiness of third parties; increased defaults on education loans held by us; unanticipated repayment trends on education loans including prepayments or deferrals resulting from new interpretations or the timing of the execution and implementation of current laws, rules or regulations or future laws, executive orders or other policy initiatives that operate to encourage or require consolidation, abolish existing or create additional income-based repayment or debt forgiveness programs or establish other policies and programs which may increase or decrease the prepayment rates on education loans and accelerate or slow down the repayment of the bonds in our securitization trusts; a reduction in our credit ratings; changes to applicable laws, rules, regulations and government policies, as well as changing regulatory and governmental oversight; changes in the general interest rate environment, including the availability of any relevant money-market index rate or the relationship between the relevant money-market index rate and the rate at which our assets are priced; the interest rate characteristics of our assets do not always match those of our funding arrangements; adverse market conditions or an inability to effectively manage our liquidity risk or access liquidity could negatively impact us; the cost and availability of funding in the capital markets; our ability to earn Floor Income and our ability to enter into hedges relative to that Floor Income are dependent on the future interest rate environment and therefore are variable; our use of derivatives exposes us to credit and market risk; our ability to continually and effectively align our cost structure with our business operations; a failure or breach of our operating systems, infrastructure or information technology systems; failure by any third party providing us material services or products or a breach or violation of law by one of these third parties; acquisitions, new products, strategic initiatives and investments or divestitures that we pursue; shareholder activism; reputational risk and social factors; and the other factors that are described in the “Risk Factors” section of Navient’s Annual Report on Form 10-K for the year ended December 31, 2025, and in our other reports filed with the Securities and Exchange Commission. 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release are qualified by these cautionary statements and are made only as of the date of this release. The company does not undertake any obligation to update or revise these forward-looking statements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479425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0"/>
          </w:cols>
          <w:pgMar w:left="700" w:top="985" w:right="10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Navient</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Navient (Nasdaq: NAVI) creates long-term value for customers and investors with responsible lending, flexible refinancing, trusted servicing oversight, and decades of education finance and portfolio management expertise. Through our Earnest business, we help customers confidently achieve financial success through digital financial services. Our employees thrive in a culture of belonging, where they are supported and proud to deliver meaningful outcomes. Learn more on Navient.com.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Cate Fitzgerald, 703-831-6347, catherine.fitzgerald@navient.com</w:t>
      </w:r>
    </w:p>
    <w:p>
      <w:pPr>
        <w:spacing w:after="0" w:line="234" w:lineRule="auto"/>
        <w:rPr>
          <w:sz w:val="20"/>
          <w:szCs w:val="20"/>
          <w:color w:val="auto"/>
        </w:rPr>
      </w:pPr>
      <w:r>
        <w:rPr>
          <w:rFonts w:ascii="Arial" w:cs="Arial" w:eastAsia="Arial" w:hAnsi="Arial"/>
          <w:sz w:val="18"/>
          <w:szCs w:val="18"/>
          <w:color w:val="auto"/>
        </w:rPr>
        <w:t>Investors: Micah Andrews, 571-415-5413, micah.andrews@navient.com</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Roger Yankoupe, 571-592-8569, roger.yankoupe@navient.com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479425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0"/>
          </w:cols>
          <w:pgMar w:left="700" w:top="985" w:right="1099" w:bottom="1440" w:gutter="0" w:footer="0" w:header="0"/>
        </w:sectPr>
      </w:pPr>
    </w:p>
    <w:bookmarkStart w:id="7" w:name="page8"/>
    <w:bookmarkEnd w:id="7"/>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988695</wp:posOffset>
            </wp:positionV>
            <wp:extent cx="64122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ind w:left="105"/>
        <w:spacing w:after="0"/>
        <w:rPr>
          <w:sz w:val="20"/>
          <w:szCs w:val="20"/>
          <w:color w:val="auto"/>
        </w:rPr>
      </w:pPr>
      <w:r>
        <w:rPr>
          <w:rFonts w:ascii="Arial" w:cs="Arial" w:eastAsia="Arial" w:hAnsi="Arial"/>
          <w:sz w:val="18"/>
          <w:szCs w:val="18"/>
          <w:b w:val="1"/>
          <w:bCs w:val="1"/>
          <w:color w:val="FFFFFF"/>
        </w:rPr>
        <w:t>SEGMENT RESULTS — CORE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214630</wp:posOffset>
            </wp:positionV>
            <wp:extent cx="641223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97485"/>
                    </a:xfrm>
                    <a:prstGeom prst="rect">
                      <a:avLst/>
                    </a:prstGeom>
                    <a:noFill/>
                  </pic:spPr>
                </pic:pic>
              </a:graphicData>
            </a:graphic>
          </wp:anchor>
        </w:drawing>
      </w:r>
    </w:p>
    <w:p>
      <w:pPr>
        <w:spacing w:after="0" w:line="354" w:lineRule="exact"/>
        <w:rPr>
          <w:sz w:val="20"/>
          <w:szCs w:val="20"/>
          <w:color w:val="auto"/>
        </w:rPr>
      </w:pPr>
    </w:p>
    <w:p>
      <w:pPr>
        <w:ind w:left="105"/>
        <w:spacing w:after="0"/>
        <w:rPr>
          <w:sz w:val="20"/>
          <w:szCs w:val="20"/>
          <w:color w:val="auto"/>
        </w:rPr>
      </w:pPr>
      <w:r>
        <w:rPr>
          <w:rFonts w:ascii="Arial" w:cs="Arial" w:eastAsia="Arial" w:hAnsi="Arial"/>
          <w:sz w:val="18"/>
          <w:szCs w:val="18"/>
          <w:b w:val="1"/>
          <w:bCs w:val="1"/>
          <w:color w:val="FFFFFF"/>
        </w:rPr>
        <w:t>CONSUMER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43180</wp:posOffset>
            </wp:positionV>
            <wp:extent cx="641223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308610"/>
                    </a:xfrm>
                    <a:prstGeom prst="rect">
                      <a:avLst/>
                    </a:prstGeom>
                    <a:noFill/>
                  </pic:spPr>
                </pic:pic>
              </a:graphicData>
            </a:graphic>
          </wp:anchor>
        </w:drawing>
      </w:r>
    </w:p>
    <w:p>
      <w:pPr>
        <w:spacing w:after="0" w:line="88" w:lineRule="exact"/>
        <w:rPr>
          <w:sz w:val="20"/>
          <w:szCs w:val="20"/>
          <w:color w:val="auto"/>
        </w:rPr>
      </w:pPr>
    </w:p>
    <w:p>
      <w:pPr>
        <w:ind w:left="105" w:right="240"/>
        <w:spacing w:after="0" w:line="286" w:lineRule="auto"/>
        <w:rPr>
          <w:sz w:val="20"/>
          <w:szCs w:val="20"/>
          <w:color w:val="auto"/>
        </w:rPr>
      </w:pPr>
      <w:r>
        <w:rPr>
          <w:rFonts w:ascii="Arial" w:cs="Arial" w:eastAsia="Arial" w:hAnsi="Arial"/>
          <w:sz w:val="16"/>
          <w:szCs w:val="16"/>
          <w:color w:val="auto"/>
        </w:rPr>
        <w:t>In this segment, Navient owns and manages a portfolio of Consumer Loans. Through our Earnest brand, we also originate and refinance Consumer Loans.</w:t>
      </w:r>
    </w:p>
    <w:p>
      <w:pPr>
        <w:spacing w:after="0" w:line="16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RESULTS AND KEY PERFORMANCE METRICS</w:t>
      </w:r>
    </w:p>
    <w:p>
      <w:pPr>
        <w:spacing w:after="0" w:line="253" w:lineRule="exact"/>
        <w:rPr>
          <w:sz w:val="20"/>
          <w:szCs w:val="20"/>
          <w:color w:val="auto"/>
        </w:rPr>
      </w:pPr>
    </w:p>
    <w:tbl>
      <w:tblPr>
        <w:tblLayout w:type="fixed"/>
        <w:tblInd w:w="1005" w:type="dxa"/>
        <w:tblCellMar>
          <w:top w:w="0" w:type="dxa"/>
          <w:left w:w="0" w:type="dxa"/>
          <w:bottom w:w="0" w:type="dxa"/>
          <w:right w:w="0" w:type="dxa"/>
        </w:tblCellMar>
      </w:tblP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2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3Q26</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2Q26</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3Q25</w:t>
            </w:r>
          </w:p>
        </w:tc>
        <w:tc>
          <w:tcPr>
            <w:tcW w:w="160" w:type="dxa"/>
            <w:vAlign w:val="bottom"/>
          </w:tcPr>
          <w:p>
            <w:pPr>
              <w:spacing w:after="0"/>
              <w:rPr>
                <w:sz w:val="14"/>
                <w:szCs w:val="14"/>
                <w:color w:val="auto"/>
              </w:rPr>
            </w:pPr>
          </w:p>
        </w:tc>
      </w:tr>
      <w:tr>
        <w:trPr>
          <w:trHeight w:val="156"/>
        </w:trPr>
        <w:tc>
          <w:tcPr>
            <w:tcW w:w="42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interest income</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87</w:t>
            </w: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93</w:t>
            </w: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98</w:t>
            </w:r>
          </w:p>
        </w:tc>
        <w:tc>
          <w:tcPr>
            <w:tcW w:w="160" w:type="dxa"/>
            <w:vAlign w:val="bottom"/>
            <w:shd w:val="clear" w:color="auto" w:fill="CFF0FC"/>
          </w:tcPr>
          <w:p>
            <w:pPr>
              <w:spacing w:after="0"/>
              <w:rPr>
                <w:sz w:val="13"/>
                <w:szCs w:val="13"/>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Less: Provision for loan losses</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w:t>
            </w:r>
          </w:p>
        </w:tc>
        <w:tc>
          <w:tcPr>
            <w:tcW w:w="160" w:type="dxa"/>
            <w:vAlign w:val="bottom"/>
          </w:tcPr>
          <w:p>
            <w:pPr>
              <w:spacing w:after="0"/>
              <w:rPr>
                <w:sz w:val="14"/>
                <w:szCs w:val="14"/>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Gains on sales of loans</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Net fair value changes of loans</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4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CFF0FC"/>
            </w:tcBorders>
            <w:shd w:val="clear" w:color="auto" w:fill="CFF0FC"/>
          </w:tcPr>
          <w:p>
            <w:pPr>
              <w:spacing w:after="0"/>
              <w:rPr>
                <w:sz w:val="14"/>
                <w:szCs w:val="14"/>
                <w:color w:val="auto"/>
              </w:rPr>
            </w:pPr>
          </w:p>
        </w:tc>
      </w:tr>
      <w:tr>
        <w:trPr>
          <w:trHeight w:val="156"/>
        </w:trPr>
        <w:tc>
          <w:tcPr>
            <w:tcW w:w="4220" w:type="dxa"/>
            <w:vAlign w:val="bottom"/>
            <w:gridSpan w:val="2"/>
          </w:tcPr>
          <w:p>
            <w:pPr>
              <w:spacing w:after="0" w:line="155" w:lineRule="exact"/>
              <w:rPr>
                <w:sz w:val="20"/>
                <w:szCs w:val="20"/>
                <w:color w:val="auto"/>
              </w:rPr>
            </w:pPr>
            <w:r>
              <w:rPr>
                <w:rFonts w:ascii="Arial" w:cs="Arial" w:eastAsia="Arial" w:hAnsi="Arial"/>
                <w:sz w:val="14"/>
                <w:szCs w:val="14"/>
                <w:color w:val="auto"/>
              </w:rPr>
              <w:t>Total revenue</w:t>
            </w: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60</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77</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(54)</w:t>
            </w:r>
          </w:p>
        </w:tc>
      </w:tr>
      <w:tr>
        <w:trPr>
          <w:trHeight w:val="162"/>
        </w:trPr>
        <w:tc>
          <w:tcPr>
            <w:tcW w:w="4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Expenses</w:t>
            </w: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3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60" w:type="dxa"/>
            <w:vAlign w:val="bottom"/>
            <w:tcBorders>
              <w:bottom w:val="single" w:sz="8" w:color="CFF0FC"/>
            </w:tcBorders>
            <w:shd w:val="clear" w:color="auto" w:fill="CFF0FC"/>
          </w:tcPr>
          <w:p>
            <w:pPr>
              <w:spacing w:after="0"/>
              <w:rPr>
                <w:sz w:val="14"/>
                <w:szCs w:val="14"/>
                <w:color w:val="auto"/>
              </w:rPr>
            </w:pPr>
          </w:p>
        </w:tc>
      </w:tr>
      <w:tr>
        <w:trPr>
          <w:trHeight w:val="156"/>
        </w:trPr>
        <w:tc>
          <w:tcPr>
            <w:tcW w:w="4220" w:type="dxa"/>
            <w:vAlign w:val="bottom"/>
            <w:gridSpan w:val="2"/>
          </w:tcPr>
          <w:p>
            <w:pPr>
              <w:spacing w:after="0" w:line="155" w:lineRule="exact"/>
              <w:rPr>
                <w:sz w:val="20"/>
                <w:szCs w:val="20"/>
                <w:color w:val="auto"/>
              </w:rPr>
            </w:pPr>
            <w:r>
              <w:rPr>
                <w:rFonts w:ascii="Arial" w:cs="Arial" w:eastAsia="Arial" w:hAnsi="Arial"/>
                <w:sz w:val="14"/>
                <w:szCs w:val="14"/>
                <w:color w:val="auto"/>
              </w:rPr>
              <w:t>Pre-tax income</w:t>
            </w:r>
          </w:p>
        </w:tc>
        <w:tc>
          <w:tcPr>
            <w:tcW w:w="2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35</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(99)</w:t>
            </w:r>
          </w:p>
        </w:tc>
      </w:tr>
      <w:tr>
        <w:trPr>
          <w:trHeight w:val="20"/>
        </w:trPr>
        <w:tc>
          <w:tcPr>
            <w:tcW w:w="1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42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income</w:t>
            </w: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(76)</w:t>
            </w:r>
          </w:p>
        </w:tc>
      </w:tr>
      <w:tr>
        <w:trPr>
          <w:trHeight w:val="143"/>
        </w:trPr>
        <w:tc>
          <w:tcPr>
            <w:tcW w:w="1260" w:type="dxa"/>
            <w:vAlign w:val="bottom"/>
            <w:tcBorders>
              <w:top w:val="single" w:sz="8" w:color="CFF0FC"/>
            </w:tcBorders>
          </w:tcPr>
          <w:p>
            <w:pPr>
              <w:spacing w:after="0"/>
              <w:rPr>
                <w:sz w:val="12"/>
                <w:szCs w:val="12"/>
                <w:color w:val="auto"/>
              </w:rPr>
            </w:pPr>
          </w:p>
        </w:tc>
        <w:tc>
          <w:tcPr>
            <w:tcW w:w="296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Segment net interest margin</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2.09%</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2.26%</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2.39%</w:t>
            </w:r>
          </w:p>
        </w:tc>
      </w:tr>
      <w:tr>
        <w:trPr>
          <w:trHeight w:val="153"/>
        </w:trPr>
        <w:tc>
          <w:tcPr>
            <w:tcW w:w="4220" w:type="dxa"/>
            <w:vAlign w:val="bottom"/>
            <w:gridSpan w:val="2"/>
          </w:tcPr>
          <w:p>
            <w:pPr>
              <w:spacing w:after="0" w:line="153" w:lineRule="exact"/>
              <w:rPr>
                <w:sz w:val="20"/>
                <w:szCs w:val="20"/>
                <w:color w:val="auto"/>
              </w:rPr>
            </w:pPr>
            <w:r>
              <w:rPr>
                <w:rFonts w:ascii="Arial" w:cs="Arial" w:eastAsia="Arial" w:hAnsi="Arial"/>
                <w:sz w:val="14"/>
                <w:szCs w:val="14"/>
                <w:color w:val="auto"/>
              </w:rPr>
              <w:t>Private Education Loans (including Refinance Education</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1"/>
        </w:trPr>
        <w:tc>
          <w:tcPr>
            <w:tcW w:w="4220" w:type="dxa"/>
            <w:vAlign w:val="bottom"/>
            <w:gridSpan w:val="2"/>
          </w:tcPr>
          <w:p>
            <w:pPr>
              <w:spacing w:after="0"/>
              <w:rPr>
                <w:sz w:val="20"/>
                <w:szCs w:val="20"/>
                <w:color w:val="auto"/>
              </w:rPr>
            </w:pPr>
            <w:r>
              <w:rPr>
                <w:rFonts w:ascii="Arial" w:cs="Arial" w:eastAsia="Arial" w:hAnsi="Arial"/>
                <w:sz w:val="14"/>
                <w:szCs w:val="14"/>
                <w:color w:val="auto"/>
              </w:rPr>
              <w:t>Loans):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42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Private Education Loan spread</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2.20%</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2.38%</w:t>
            </w:r>
          </w:p>
        </w:tc>
        <w:tc>
          <w:tcPr>
            <w:tcW w:w="2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2.48%</w:t>
            </w:r>
          </w:p>
        </w:tc>
      </w:tr>
      <w:tr>
        <w:trPr>
          <w:trHeight w:val="162"/>
        </w:trPr>
        <w:tc>
          <w:tcPr>
            <w:tcW w:w="4220" w:type="dxa"/>
            <w:vAlign w:val="bottom"/>
            <w:gridSpan w:val="2"/>
          </w:tcPr>
          <w:p>
            <w:pPr>
              <w:ind w:left="220"/>
              <w:spacing w:after="0"/>
              <w:rPr>
                <w:sz w:val="20"/>
                <w:szCs w:val="20"/>
                <w:color w:val="auto"/>
              </w:rPr>
            </w:pPr>
            <w:r>
              <w:rPr>
                <w:rFonts w:ascii="Arial" w:cs="Arial" w:eastAsia="Arial" w:hAnsi="Arial"/>
                <w:sz w:val="14"/>
                <w:szCs w:val="14"/>
                <w:color w:val="auto"/>
              </w:rPr>
              <w:t>Provision for loan losses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210</w:t>
            </w:r>
          </w:p>
        </w:tc>
        <w:tc>
          <w:tcPr>
            <w:tcW w:w="3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155</w:t>
            </w:r>
          </w:p>
        </w:tc>
        <w:tc>
          <w:tcPr>
            <w:tcW w:w="160" w:type="dxa"/>
            <w:vAlign w:val="bottom"/>
          </w:tcPr>
          <w:p>
            <w:pPr>
              <w:spacing w:after="0"/>
              <w:rPr>
                <w:sz w:val="14"/>
                <w:szCs w:val="14"/>
                <w:color w:val="auto"/>
              </w:rPr>
            </w:pPr>
          </w:p>
        </w:tc>
      </w:tr>
      <w:tr>
        <w:trPr>
          <w:trHeight w:val="162"/>
        </w:trPr>
        <w:tc>
          <w:tcPr>
            <w:tcW w:w="42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Net charge-offs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w:t>
            </w:r>
          </w:p>
        </w:tc>
        <w:tc>
          <w:tcPr>
            <w:tcW w:w="160" w:type="dxa"/>
            <w:vAlign w:val="bottom"/>
            <w:shd w:val="clear" w:color="auto" w:fill="CFF0FC"/>
          </w:tcPr>
          <w:p>
            <w:pPr>
              <w:spacing w:after="0"/>
              <w:rPr>
                <w:sz w:val="14"/>
                <w:szCs w:val="14"/>
                <w:color w:val="auto"/>
              </w:rPr>
            </w:pPr>
          </w:p>
        </w:tc>
      </w:tr>
      <w:tr>
        <w:trPr>
          <w:trHeight w:val="189"/>
        </w:trPr>
        <w:tc>
          <w:tcPr>
            <w:tcW w:w="422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Net charge-off rate </w:t>
            </w:r>
            <w:r>
              <w:rPr>
                <w:rFonts w:ascii="Arial" w:cs="Arial" w:eastAsia="Arial" w:hAnsi="Arial"/>
                <w:sz w:val="19"/>
                <w:szCs w:val="19"/>
                <w:color w:val="auto"/>
                <w:vertAlign w:val="superscript"/>
              </w:rPr>
              <w:t>(1)</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1.49%</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1.84%</w:t>
            </w: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2.50%</w:t>
            </w:r>
          </w:p>
        </w:tc>
      </w:tr>
      <w:tr>
        <w:trPr>
          <w:trHeight w:val="189"/>
        </w:trPr>
        <w:tc>
          <w:tcPr>
            <w:tcW w:w="4220" w:type="dxa"/>
            <w:vAlign w:val="bottom"/>
            <w:gridSpan w:val="2"/>
            <w:shd w:val="clear" w:color="auto" w:fill="CFF0FC"/>
          </w:tcPr>
          <w:p>
            <w:pPr>
              <w:ind w:left="220"/>
              <w:spacing w:after="0" w:line="189" w:lineRule="exact"/>
              <w:rPr>
                <w:sz w:val="20"/>
                <w:szCs w:val="20"/>
                <w:color w:val="auto"/>
              </w:rPr>
            </w:pPr>
            <w:r>
              <w:rPr>
                <w:rFonts w:ascii="Arial" w:cs="Arial" w:eastAsia="Arial" w:hAnsi="Arial"/>
                <w:sz w:val="14"/>
                <w:szCs w:val="14"/>
                <w:color w:val="auto"/>
              </w:rPr>
              <w:t xml:space="preserve">Greater than 30-days delinquency rate </w:t>
            </w:r>
            <w:r>
              <w:rPr>
                <w:rFonts w:ascii="Arial" w:cs="Arial" w:eastAsia="Arial" w:hAnsi="Arial"/>
                <w:sz w:val="19"/>
                <w:szCs w:val="19"/>
                <w:color w:val="auto"/>
                <w:vertAlign w:val="superscript"/>
              </w:rPr>
              <w:t>(1)</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5.1%</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5.4%</w:t>
            </w:r>
          </w:p>
        </w:tc>
        <w:tc>
          <w:tcPr>
            <w:tcW w:w="2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6.1%</w:t>
            </w:r>
          </w:p>
        </w:tc>
      </w:tr>
      <w:tr>
        <w:trPr>
          <w:trHeight w:val="189"/>
        </w:trPr>
        <w:tc>
          <w:tcPr>
            <w:tcW w:w="422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Greater than 90-days delinquency rate </w:t>
            </w:r>
            <w:r>
              <w:rPr>
                <w:rFonts w:ascii="Arial" w:cs="Arial" w:eastAsia="Arial" w:hAnsi="Arial"/>
                <w:sz w:val="19"/>
                <w:szCs w:val="19"/>
                <w:color w:val="auto"/>
                <w:vertAlign w:val="superscript"/>
              </w:rPr>
              <w:t>(1)</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2.8%</w:t>
            </w:r>
          </w:p>
        </w:tc>
      </w:tr>
      <w:tr>
        <w:trPr>
          <w:trHeight w:val="189"/>
        </w:trPr>
        <w:tc>
          <w:tcPr>
            <w:tcW w:w="4220" w:type="dxa"/>
            <w:vAlign w:val="bottom"/>
            <w:gridSpan w:val="2"/>
            <w:shd w:val="clear" w:color="auto" w:fill="CFF0FC"/>
          </w:tcPr>
          <w:p>
            <w:pPr>
              <w:ind w:left="220"/>
              <w:spacing w:after="0" w:line="189" w:lineRule="exact"/>
              <w:rPr>
                <w:sz w:val="20"/>
                <w:szCs w:val="20"/>
                <w:color w:val="auto"/>
              </w:rPr>
            </w:pPr>
            <w:r>
              <w:rPr>
                <w:rFonts w:ascii="Arial" w:cs="Arial" w:eastAsia="Arial" w:hAnsi="Arial"/>
                <w:sz w:val="14"/>
                <w:szCs w:val="14"/>
                <w:color w:val="auto"/>
              </w:rPr>
              <w:t xml:space="preserve">Forbearance rate </w:t>
            </w:r>
            <w:r>
              <w:rPr>
                <w:rFonts w:ascii="Arial" w:cs="Arial" w:eastAsia="Arial" w:hAnsi="Arial"/>
                <w:sz w:val="19"/>
                <w:szCs w:val="19"/>
                <w:color w:val="auto"/>
                <w:vertAlign w:val="superscript"/>
              </w:rPr>
              <w:t>(1)</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w:t>
            </w:r>
          </w:p>
        </w:tc>
      </w:tr>
      <w:tr>
        <w:trPr>
          <w:trHeight w:val="162"/>
        </w:trPr>
        <w:tc>
          <w:tcPr>
            <w:tcW w:w="4220" w:type="dxa"/>
            <w:vAlign w:val="bottom"/>
            <w:gridSpan w:val="2"/>
          </w:tcPr>
          <w:p>
            <w:pPr>
              <w:ind w:left="220"/>
              <w:spacing w:after="0"/>
              <w:rPr>
                <w:sz w:val="20"/>
                <w:szCs w:val="20"/>
                <w:color w:val="auto"/>
              </w:rPr>
            </w:pPr>
            <w:r>
              <w:rPr>
                <w:rFonts w:ascii="Arial" w:cs="Arial" w:eastAsia="Arial" w:hAnsi="Arial"/>
                <w:sz w:val="14"/>
                <w:szCs w:val="14"/>
                <w:color w:val="auto"/>
              </w:rPr>
              <w:t>Average Private Education Loans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15,980</w:t>
            </w:r>
          </w:p>
        </w:tc>
        <w:tc>
          <w:tcPr>
            <w:tcW w:w="3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15,985</w:t>
            </w:r>
          </w:p>
        </w:tc>
        <w:tc>
          <w:tcPr>
            <w:tcW w:w="3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15,894</w:t>
            </w:r>
          </w:p>
        </w:tc>
        <w:tc>
          <w:tcPr>
            <w:tcW w:w="160" w:type="dxa"/>
            <w:vAlign w:val="bottom"/>
          </w:tcPr>
          <w:p>
            <w:pPr>
              <w:spacing w:after="0"/>
              <w:rPr>
                <w:sz w:val="14"/>
                <w:szCs w:val="14"/>
                <w:color w:val="auto"/>
              </w:rPr>
            </w:pPr>
          </w:p>
        </w:tc>
      </w:tr>
      <w:tr>
        <w:trPr>
          <w:trHeight w:val="162"/>
        </w:trPr>
        <w:tc>
          <w:tcPr>
            <w:tcW w:w="42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Ending Private Education Loans, net</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15,254</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15,674</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15,456</w:t>
            </w:r>
          </w:p>
        </w:tc>
        <w:tc>
          <w:tcPr>
            <w:tcW w:w="160" w:type="dxa"/>
            <w:vAlign w:val="bottom"/>
            <w:shd w:val="clear" w:color="auto" w:fill="CFF0FC"/>
          </w:tcPr>
          <w:p>
            <w:pPr>
              <w:spacing w:after="0"/>
              <w:rPr>
                <w:sz w:val="14"/>
                <w:szCs w:val="14"/>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Refinance Education Loans: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42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Net charge-offs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FF0FC"/>
          </w:tcPr>
          <w:p>
            <w:pPr>
              <w:spacing w:after="0"/>
              <w:rPr>
                <w:sz w:val="14"/>
                <w:szCs w:val="14"/>
                <w:color w:val="auto"/>
              </w:rPr>
            </w:pPr>
          </w:p>
        </w:tc>
      </w:tr>
      <w:tr>
        <w:trPr>
          <w:trHeight w:val="162"/>
        </w:trPr>
        <w:tc>
          <w:tcPr>
            <w:tcW w:w="4220" w:type="dxa"/>
            <w:vAlign w:val="bottom"/>
            <w:gridSpan w:val="2"/>
          </w:tcPr>
          <w:p>
            <w:pPr>
              <w:ind w:left="220"/>
              <w:spacing w:after="0"/>
              <w:rPr>
                <w:sz w:val="20"/>
                <w:szCs w:val="20"/>
                <w:color w:val="auto"/>
              </w:rPr>
            </w:pPr>
            <w:r>
              <w:rPr>
                <w:rFonts w:ascii="Arial" w:cs="Arial" w:eastAsia="Arial" w:hAnsi="Arial"/>
                <w:sz w:val="14"/>
                <w:szCs w:val="14"/>
                <w:color w:val="auto"/>
              </w:rPr>
              <w:t>Greater than 90-day delinquency rate</w:t>
            </w:r>
          </w:p>
        </w:tc>
        <w:tc>
          <w:tcPr>
            <w:tcW w:w="2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w:t>
            </w:r>
          </w:p>
        </w:tc>
      </w:tr>
      <w:tr>
        <w:trPr>
          <w:trHeight w:val="162"/>
        </w:trPr>
        <w:tc>
          <w:tcPr>
            <w:tcW w:w="42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Average Refinance Education Loans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9,575</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9,271</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8,649</w:t>
            </w:r>
          </w:p>
        </w:tc>
        <w:tc>
          <w:tcPr>
            <w:tcW w:w="160" w:type="dxa"/>
            <w:vAlign w:val="bottom"/>
            <w:shd w:val="clear" w:color="auto" w:fill="CFF0FC"/>
          </w:tcPr>
          <w:p>
            <w:pPr>
              <w:spacing w:after="0"/>
              <w:rPr>
                <w:sz w:val="14"/>
                <w:szCs w:val="14"/>
                <w:color w:val="auto"/>
              </w:rPr>
            </w:pPr>
          </w:p>
        </w:tc>
      </w:tr>
      <w:tr>
        <w:trPr>
          <w:trHeight w:val="162"/>
        </w:trPr>
        <w:tc>
          <w:tcPr>
            <w:tcW w:w="4220" w:type="dxa"/>
            <w:vAlign w:val="bottom"/>
            <w:gridSpan w:val="2"/>
          </w:tcPr>
          <w:p>
            <w:pPr>
              <w:ind w:left="220"/>
              <w:spacing w:after="0"/>
              <w:rPr>
                <w:sz w:val="20"/>
                <w:szCs w:val="20"/>
                <w:color w:val="auto"/>
              </w:rPr>
            </w:pPr>
            <w:r>
              <w:rPr>
                <w:rFonts w:ascii="Arial" w:cs="Arial" w:eastAsia="Arial" w:hAnsi="Arial"/>
                <w:sz w:val="14"/>
                <w:szCs w:val="14"/>
                <w:color w:val="auto"/>
              </w:rPr>
              <w:t>Ending Refinance Education Loans, net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9,600</w:t>
            </w:r>
          </w:p>
        </w:tc>
        <w:tc>
          <w:tcPr>
            <w:tcW w:w="3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9,258</w:t>
            </w:r>
          </w:p>
        </w:tc>
        <w:tc>
          <w:tcPr>
            <w:tcW w:w="3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8,571</w:t>
            </w:r>
          </w:p>
        </w:tc>
        <w:tc>
          <w:tcPr>
            <w:tcW w:w="160" w:type="dxa"/>
            <w:vAlign w:val="bottom"/>
          </w:tcPr>
          <w:p>
            <w:pPr>
              <w:spacing w:after="0"/>
              <w:rPr>
                <w:sz w:val="14"/>
                <w:szCs w:val="14"/>
                <w:color w:val="auto"/>
              </w:rPr>
            </w:pPr>
          </w:p>
        </w:tc>
      </w:tr>
      <w:tr>
        <w:trPr>
          <w:trHeight w:val="162"/>
        </w:trPr>
        <w:tc>
          <w:tcPr>
            <w:tcW w:w="42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Refinance Education Loan originations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870</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w:t>
            </w:r>
          </w:p>
        </w:tc>
        <w:tc>
          <w:tcPr>
            <w:tcW w:w="160" w:type="dxa"/>
            <w:vAlign w:val="bottom"/>
            <w:shd w:val="clear" w:color="auto" w:fill="CFF0FC"/>
          </w:tcPr>
          <w:p>
            <w:pPr>
              <w:spacing w:after="0"/>
              <w:rPr>
                <w:sz w:val="14"/>
                <w:szCs w:val="14"/>
                <w:color w:val="auto"/>
              </w:rPr>
            </w:pPr>
          </w:p>
        </w:tc>
      </w:tr>
      <w:tr>
        <w:trPr>
          <w:trHeight w:val="190"/>
        </w:trPr>
        <w:tc>
          <w:tcPr>
            <w:tcW w:w="4220" w:type="dxa"/>
            <w:vAlign w:val="bottom"/>
            <w:gridSpan w:val="2"/>
          </w:tcPr>
          <w:p>
            <w:pPr>
              <w:spacing w:after="0"/>
              <w:rPr>
                <w:sz w:val="20"/>
                <w:szCs w:val="20"/>
                <w:color w:val="auto"/>
              </w:rPr>
            </w:pPr>
            <w:r>
              <w:rPr>
                <w:rFonts w:ascii="Arial" w:cs="Arial" w:eastAsia="Arial" w:hAnsi="Arial"/>
                <w:sz w:val="14"/>
                <w:szCs w:val="14"/>
                <w:color w:val="auto"/>
              </w:rPr>
              <w:t>Personal Loans: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62"/>
        </w:trPr>
        <w:tc>
          <w:tcPr>
            <w:tcW w:w="42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Originations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r>
      <w:tr>
        <w:trPr>
          <w:trHeight w:val="190"/>
        </w:trPr>
        <w:tc>
          <w:tcPr>
            <w:tcW w:w="4220" w:type="dxa"/>
            <w:vAlign w:val="bottom"/>
            <w:gridSpan w:val="2"/>
          </w:tcPr>
          <w:p>
            <w:pPr>
              <w:ind w:left="220"/>
              <w:spacing w:after="0"/>
              <w:rPr>
                <w:sz w:val="20"/>
                <w:szCs w:val="20"/>
                <w:color w:val="auto"/>
              </w:rPr>
            </w:pPr>
            <w:r>
              <w:rPr>
                <w:rFonts w:ascii="Arial" w:cs="Arial" w:eastAsia="Arial" w:hAnsi="Arial"/>
                <w:sz w:val="14"/>
                <w:szCs w:val="14"/>
                <w:color w:val="auto"/>
              </w:rPr>
              <w:t>Ending balance, net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3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3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-2846070</wp:posOffset>
            </wp:positionV>
            <wp:extent cx="93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-2846070</wp:posOffset>
            </wp:positionV>
            <wp:extent cx="93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-2846070</wp:posOffset>
            </wp:positionV>
            <wp:extent cx="946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-2632075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-2632075</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-2632075</wp:posOffset>
            </wp:positionV>
            <wp:extent cx="94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-2409190</wp:posOffset>
            </wp:positionV>
            <wp:extent cx="93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-2392045</wp:posOffset>
            </wp:positionV>
            <wp:extent cx="939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-2409190</wp:posOffset>
            </wp:positionV>
            <wp:extent cx="93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-2392045</wp:posOffset>
            </wp:positionV>
            <wp:extent cx="93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-2409190</wp:posOffset>
            </wp:positionV>
            <wp:extent cx="946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-2392045</wp:posOffset>
            </wp:positionV>
            <wp:extent cx="94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93345</wp:posOffset>
            </wp:positionV>
            <wp:extent cx="8915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4" w:lineRule="exact"/>
        <w:rPr>
          <w:sz w:val="20"/>
          <w:szCs w:val="20"/>
          <w:color w:val="auto"/>
        </w:rPr>
      </w:pPr>
    </w:p>
    <w:p>
      <w:pPr>
        <w:ind w:left="1105" w:right="100" w:hanging="148"/>
        <w:spacing w:after="0" w:line="212" w:lineRule="auto"/>
        <w:tabs>
          <w:tab w:leader="none" w:pos="1096"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Third-quarter 2026 excludes $2.4 billion of Private Education Loans that were classified as held for sale as of September 30, 2026 and $235 million of In-School Private Education Loans carried at fair value, and their corresponding delinquencies, forbearances and charge-offs. Second-quarter 2026 excludes $528 million of Legacy Private Education Loans that were classified as held for sale as of June 30, 2026, and their corresponding delinquencies, forbearances and charge-offs.</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DISCUSSION OF RESULTS — 3Q26 vs. 3Q25</w:t>
      </w:r>
    </w:p>
    <w:p>
      <w:pPr>
        <w:spacing w:after="0" w:line="113" w:lineRule="exact"/>
        <w:rPr>
          <w:sz w:val="20"/>
          <w:szCs w:val="20"/>
          <w:color w:val="auto"/>
        </w:rPr>
      </w:pPr>
    </w:p>
    <w:p>
      <w:pPr>
        <w:ind w:left="325" w:hanging="325"/>
        <w:spacing w:after="0"/>
        <w:tabs>
          <w:tab w:leader="none" w:pos="32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Originated $1.4 billion of Consumer Loans, a 77% increase compared to $788 million.</w:t>
      </w:r>
    </w:p>
    <w:p>
      <w:pPr>
        <w:spacing w:after="0" w:line="72" w:lineRule="exact"/>
        <w:rPr>
          <w:sz w:val="20"/>
          <w:szCs w:val="20"/>
          <w:color w:val="auto"/>
        </w:rPr>
      </w:pPr>
    </w:p>
    <w:p>
      <w:pPr>
        <w:ind w:left="1225" w:hanging="318"/>
        <w:spacing w:after="0"/>
        <w:tabs>
          <w:tab w:leader="none" w:pos="1225" w:val="left"/>
        </w:tabs>
        <w:numPr>
          <w:ilvl w:val="1"/>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Refinance Education Loan originations were $870 million compared to $528 million.</w:t>
      </w:r>
    </w:p>
    <w:p>
      <w:pPr>
        <w:spacing w:after="0" w:line="71" w:lineRule="exact"/>
        <w:rPr>
          <w:rFonts w:ascii="Times New Roman" w:cs="Times New Roman" w:eastAsia="Times New Roman" w:hAnsi="Times New Roman"/>
          <w:sz w:val="16"/>
          <w:szCs w:val="16"/>
          <w:color w:val="auto"/>
        </w:rPr>
      </w:pPr>
    </w:p>
    <w:p>
      <w:pPr>
        <w:ind w:left="1225" w:hanging="318"/>
        <w:spacing w:after="0"/>
        <w:tabs>
          <w:tab w:leader="none" w:pos="1225" w:val="left"/>
        </w:tabs>
        <w:numPr>
          <w:ilvl w:val="1"/>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In-School Education Loan originations were $479 million compared to $260 million.</w:t>
      </w:r>
    </w:p>
    <w:p>
      <w:pPr>
        <w:spacing w:after="0" w:line="71" w:lineRule="exact"/>
        <w:rPr>
          <w:rFonts w:ascii="Times New Roman" w:cs="Times New Roman" w:eastAsia="Times New Roman" w:hAnsi="Times New Roman"/>
          <w:sz w:val="16"/>
          <w:szCs w:val="16"/>
          <w:color w:val="auto"/>
        </w:rPr>
      </w:pPr>
    </w:p>
    <w:p>
      <w:pPr>
        <w:ind w:left="1225" w:hanging="318"/>
        <w:spacing w:after="0"/>
        <w:tabs>
          <w:tab w:leader="none" w:pos="1225" w:val="left"/>
        </w:tabs>
        <w:numPr>
          <w:ilvl w:val="1"/>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Personal Loan originations were $46 million compared to $0 million.</w:t>
      </w:r>
    </w:p>
    <w:p>
      <w:pPr>
        <w:spacing w:after="0" w:line="71" w:lineRule="exact"/>
        <w:rPr>
          <w:rFonts w:ascii="Times New Roman" w:cs="Times New Roman" w:eastAsia="Times New Roman" w:hAnsi="Times New Roman"/>
          <w:sz w:val="16"/>
          <w:szCs w:val="16"/>
          <w:color w:val="auto"/>
        </w:rPr>
      </w:pPr>
    </w:p>
    <w:p>
      <w:pPr>
        <w:ind w:left="325" w:hanging="325"/>
        <w:spacing w:after="0"/>
        <w:tabs>
          <w:tab w:leader="none" w:pos="32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was $2 million compared to net loss of $76 million.</w:t>
      </w:r>
    </w:p>
    <w:p>
      <w:pPr>
        <w:spacing w:after="0" w:line="71" w:lineRule="exact"/>
        <w:rPr>
          <w:rFonts w:ascii="Times New Roman" w:cs="Times New Roman" w:eastAsia="Times New Roman" w:hAnsi="Times New Roman"/>
          <w:sz w:val="16"/>
          <w:szCs w:val="16"/>
          <w:color w:val="auto"/>
        </w:rPr>
      </w:pPr>
    </w:p>
    <w:p>
      <w:pPr>
        <w:ind w:left="325" w:right="220" w:hanging="325"/>
        <w:spacing w:after="0" w:line="266" w:lineRule="auto"/>
        <w:tabs>
          <w:tab w:leader="none" w:pos="32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Net interest income decreased $11 million, primarily due to the changing product mix with Refinance Education Loans increasing as a percentage of the portfolio. The Refinance Education Loan portfolio earns a lower net interest margin compared to the non-refinance portfolio, due to lower expected credit losses, which reduces the overall net interest margin.</w:t>
      </w:r>
    </w:p>
    <w:p>
      <w:pPr>
        <w:spacing w:after="0" w:line="8" w:lineRule="exact"/>
        <w:rPr>
          <w:rFonts w:ascii="Times New Roman" w:cs="Times New Roman" w:eastAsia="Times New Roman" w:hAnsi="Times New Roman"/>
          <w:sz w:val="16"/>
          <w:szCs w:val="16"/>
          <w:color w:val="auto"/>
        </w:rPr>
      </w:pPr>
    </w:p>
    <w:p>
      <w:pPr>
        <w:ind w:left="325" w:hanging="325"/>
        <w:spacing w:after="0" w:line="250" w:lineRule="auto"/>
        <w:tabs>
          <w:tab w:leader="none" w:pos="32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Provision for loan losses increased $59 million. The provision for loan losses of $214 million in the current quarter included $16 million associated with loan originations and $29 million a result of classifying $1.4 billion of Legacy Private Education Loans as held for sale as of September 30, 2026. An additional $211 million of provision in the current quarter primarily relates to recent and forecasted delinquencies and charge-offs persisting at elevated levels for a longer duration than previously anticipated. This was partially offset by a $42 million decrease as a result of classifying $1.0 billion of In-School Education Loans as held for sale as of September 30, 2026. The</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469265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1440" w:right="1099" w:bottom="1440" w:gutter="0" w:footer="0" w:header="0"/>
        </w:sectPr>
      </w:pPr>
    </w:p>
    <w:bookmarkStart w:id="8" w:name="page9"/>
    <w:bookmarkEnd w:id="8"/>
    <w:p>
      <w:pPr>
        <w:ind w:left="325" w:right="200"/>
        <w:spacing w:after="0" w:line="281" w:lineRule="auto"/>
        <w:rPr>
          <w:sz w:val="20"/>
          <w:szCs w:val="20"/>
          <w:color w:val="auto"/>
        </w:rPr>
      </w:pPr>
      <w:r>
        <w:rPr>
          <w:rFonts w:ascii="Arial" w:cs="Arial" w:eastAsia="Arial" w:hAnsi="Arial"/>
          <w:sz w:val="16"/>
          <w:szCs w:val="16"/>
          <w:color w:val="auto"/>
        </w:rPr>
        <w:t>provision for loan losses of $155 million in the year-ago quarter included $17 million associated with loan originations and $138 million primarily the result of elevated delinquency balances as well as our forecasted macroeconomic outlook.</w:t>
      </w:r>
    </w:p>
    <w:p>
      <w:pPr>
        <w:spacing w:after="0" w:line="1" w:lineRule="exact"/>
        <w:rPr>
          <w:sz w:val="20"/>
          <w:szCs w:val="20"/>
          <w:color w:val="auto"/>
        </w:rPr>
      </w:pPr>
    </w:p>
    <w:p>
      <w:pPr>
        <w:ind w:left="1225" w:hanging="318"/>
        <w:spacing w:after="0"/>
        <w:tabs>
          <w:tab w:leader="none" w:pos="1225"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Net charge-offs were $59 million, down $37 million compared to $96 million in the year-ago quarter.</w:t>
      </w:r>
    </w:p>
    <w:p>
      <w:pPr>
        <w:spacing w:after="0" w:line="71" w:lineRule="exact"/>
        <w:rPr>
          <w:rFonts w:ascii="Times New Roman" w:cs="Times New Roman" w:eastAsia="Times New Roman" w:hAnsi="Times New Roman"/>
          <w:sz w:val="16"/>
          <w:szCs w:val="16"/>
          <w:color w:val="auto"/>
        </w:rPr>
      </w:pPr>
    </w:p>
    <w:p>
      <w:pPr>
        <w:ind w:left="1225" w:hanging="318"/>
        <w:spacing w:after="0"/>
        <w:tabs>
          <w:tab w:leader="none" w:pos="1225"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Private Education Loan delinquencies greater than 90 days: $274 million, down $159 million from $433 million.</w:t>
      </w:r>
    </w:p>
    <w:p>
      <w:pPr>
        <w:spacing w:after="0" w:line="71" w:lineRule="exact"/>
        <w:rPr>
          <w:rFonts w:ascii="Times New Roman" w:cs="Times New Roman" w:eastAsia="Times New Roman" w:hAnsi="Times New Roman"/>
          <w:sz w:val="16"/>
          <w:szCs w:val="16"/>
          <w:color w:val="auto"/>
        </w:rPr>
      </w:pPr>
    </w:p>
    <w:p>
      <w:pPr>
        <w:ind w:left="1225" w:hanging="318"/>
        <w:spacing w:after="0"/>
        <w:tabs>
          <w:tab w:leader="none" w:pos="1225"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Private Education Loan forbearances: $244 million, up $5 million from $239 million.</w:t>
      </w:r>
    </w:p>
    <w:p>
      <w:pPr>
        <w:spacing w:after="0" w:line="71" w:lineRule="exact"/>
        <w:rPr>
          <w:rFonts w:ascii="Times New Roman" w:cs="Times New Roman" w:eastAsia="Times New Roman" w:hAnsi="Times New Roman"/>
          <w:sz w:val="16"/>
          <w:szCs w:val="16"/>
          <w:color w:val="auto"/>
        </w:rPr>
      </w:pPr>
    </w:p>
    <w:p>
      <w:pPr>
        <w:ind w:left="325" w:right="120" w:hanging="325"/>
        <w:spacing w:after="0" w:line="266" w:lineRule="auto"/>
        <w:tabs>
          <w:tab w:leader="none" w:pos="32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There were $162 million of gains on sale in the current period related to the sale of $750 million of Legacy Private Education Loans in connection with our broader effort to redeploy capital and align our balance sheet with today's lending products. There were no sales in the year-ago period.</w:t>
      </w:r>
    </w:p>
    <w:p>
      <w:pPr>
        <w:spacing w:after="0" w:line="8" w:lineRule="exact"/>
        <w:rPr>
          <w:rFonts w:ascii="Times New Roman" w:cs="Times New Roman" w:eastAsia="Times New Roman" w:hAnsi="Times New Roman"/>
          <w:sz w:val="16"/>
          <w:szCs w:val="16"/>
          <w:color w:val="auto"/>
        </w:rPr>
      </w:pPr>
    </w:p>
    <w:p>
      <w:pPr>
        <w:ind w:left="325" w:right="380" w:hanging="325"/>
        <w:spacing w:after="0" w:line="259" w:lineRule="auto"/>
        <w:tabs>
          <w:tab w:leader="none" w:pos="32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There were $23 million of net fair value changes of loans related to electing the fair value option for In-School Education Loan originations beginning July 1, 2026. Of the $23 million net fair value changes of loans, $11 million relates to loans disbursed and recorded as loans on our balance sheet and $12 million relates to loan commitments to be disbursed in a future period (with the fair value of the lending commitment recorded in Other Assets on our balance sheet).</w:t>
      </w:r>
    </w:p>
    <w:p>
      <w:pPr>
        <w:spacing w:after="0" w:line="15" w:lineRule="exact"/>
        <w:rPr>
          <w:rFonts w:ascii="Times New Roman" w:cs="Times New Roman" w:eastAsia="Times New Roman" w:hAnsi="Times New Roman"/>
          <w:sz w:val="16"/>
          <w:szCs w:val="16"/>
          <w:color w:val="auto"/>
        </w:rPr>
      </w:pPr>
    </w:p>
    <w:p>
      <w:pPr>
        <w:ind w:left="325" w:right="60" w:hanging="325"/>
        <w:spacing w:after="0" w:line="285" w:lineRule="auto"/>
        <w:tabs>
          <w:tab w:leader="none" w:pos="32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Expenses increased $12 million primarily reflecting seasonal marketing and other expenses associated with the growth of our consumer lending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41223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2230" cy="205740"/>
                    </a:xfrm>
                    <a:prstGeom prst="rect">
                      <a:avLst/>
                    </a:prstGeom>
                    <a:noFill/>
                  </pic:spPr>
                </pic:pic>
              </a:graphicData>
            </a:graphic>
          </wp:anchor>
        </w:drawing>
      </w:r>
    </w:p>
    <w:p>
      <w:pPr>
        <w:spacing w:after="0" w:line="239" w:lineRule="exact"/>
        <w:rPr>
          <w:sz w:val="20"/>
          <w:szCs w:val="20"/>
          <w:color w:val="auto"/>
        </w:rPr>
      </w:pPr>
    </w:p>
    <w:p>
      <w:pPr>
        <w:ind w:left="165"/>
        <w:spacing w:after="0"/>
        <w:rPr>
          <w:sz w:val="20"/>
          <w:szCs w:val="20"/>
          <w:color w:val="auto"/>
        </w:rPr>
      </w:pPr>
      <w:r>
        <w:rPr>
          <w:rFonts w:ascii="Arial" w:cs="Arial" w:eastAsia="Arial" w:hAnsi="Arial"/>
          <w:sz w:val="18"/>
          <w:szCs w:val="18"/>
          <w:b w:val="1"/>
          <w:bCs w:val="1"/>
          <w:color w:val="FFFFFF"/>
        </w:rPr>
        <w:t>FEDERAL EDUCATION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6412230" cy="24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2230" cy="248920"/>
                    </a:xfrm>
                    <a:prstGeom prst="rect">
                      <a:avLst/>
                    </a:prstGeom>
                    <a:noFill/>
                  </pic:spPr>
                </pic:pic>
              </a:graphicData>
            </a:graphic>
          </wp:anchor>
        </w:drawing>
      </w:r>
    </w:p>
    <w:p>
      <w:pPr>
        <w:spacing w:after="0" w:line="102" w:lineRule="exact"/>
        <w:rPr>
          <w:sz w:val="20"/>
          <w:szCs w:val="20"/>
          <w:color w:val="auto"/>
        </w:rPr>
      </w:pPr>
    </w:p>
    <w:p>
      <w:pPr>
        <w:ind w:left="225"/>
        <w:spacing w:after="0"/>
        <w:rPr>
          <w:sz w:val="20"/>
          <w:szCs w:val="20"/>
          <w:color w:val="auto"/>
        </w:rPr>
      </w:pPr>
      <w:r>
        <w:rPr>
          <w:rFonts w:ascii="Arial" w:cs="Arial" w:eastAsia="Arial" w:hAnsi="Arial"/>
          <w:sz w:val="16"/>
          <w:szCs w:val="16"/>
          <w:color w:val="auto"/>
        </w:rPr>
        <w:t>In this segment, Navient owns and manages a portfolio of FFELP federally guaranteed student loans.</w:t>
      </w:r>
    </w:p>
    <w:p>
      <w:pPr>
        <w:spacing w:after="0" w:line="3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RESULTS AND KEY PERFORMANCE METRICS</w:t>
      </w:r>
    </w:p>
    <w:p>
      <w:pPr>
        <w:spacing w:after="0" w:line="226" w:lineRule="exact"/>
        <w:rPr>
          <w:sz w:val="20"/>
          <w:szCs w:val="20"/>
          <w:color w:val="auto"/>
        </w:rPr>
      </w:pPr>
    </w:p>
    <w:tbl>
      <w:tblPr>
        <w:tblLayout w:type="fixed"/>
        <w:tblInd w:w="1005" w:type="dxa"/>
        <w:tblCellMar>
          <w:top w:w="0" w:type="dxa"/>
          <w:left w:w="0" w:type="dxa"/>
          <w:bottom w:w="0" w:type="dxa"/>
          <w:right w:w="0" w:type="dxa"/>
        </w:tblCellMar>
      </w:tblPr>
      <w:tr>
        <w:trPr>
          <w:trHeight w:val="171"/>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3Q26</w:t>
            </w:r>
          </w:p>
        </w:tc>
        <w:tc>
          <w:tcPr>
            <w:tcW w:w="22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2Q26</w:t>
            </w:r>
          </w:p>
        </w:tc>
        <w:tc>
          <w:tcPr>
            <w:tcW w:w="22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3Q25</w:t>
            </w:r>
          </w:p>
        </w:tc>
      </w:tr>
      <w:tr>
        <w:trPr>
          <w:trHeight w:val="20"/>
        </w:trPr>
        <w:tc>
          <w:tcPr>
            <w:tcW w:w="13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4000" w:type="dxa"/>
            <w:vAlign w:val="bottom"/>
            <w:gridSpan w:val="2"/>
            <w:shd w:val="clear" w:color="auto" w:fill="CFF2FC"/>
          </w:tcPr>
          <w:p>
            <w:pPr>
              <w:spacing w:after="0" w:line="183" w:lineRule="exact"/>
              <w:rPr>
                <w:sz w:val="20"/>
                <w:szCs w:val="20"/>
                <w:color w:val="auto"/>
              </w:rPr>
            </w:pPr>
            <w:r>
              <w:rPr>
                <w:rFonts w:ascii="Arial" w:cs="Arial" w:eastAsia="Arial" w:hAnsi="Arial"/>
                <w:sz w:val="16"/>
                <w:szCs w:val="16"/>
                <w:color w:val="auto"/>
              </w:rPr>
              <w:t>Net interest income</w:t>
            </w:r>
          </w:p>
        </w:tc>
        <w:tc>
          <w:tcPr>
            <w:tcW w:w="220" w:type="dxa"/>
            <w:vAlign w:val="bottom"/>
            <w:shd w:val="clear" w:color="auto" w:fill="CFF2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47</w:t>
            </w:r>
          </w:p>
        </w:tc>
        <w:tc>
          <w:tcPr>
            <w:tcW w:w="340" w:type="dxa"/>
            <w:vAlign w:val="bottom"/>
            <w:shd w:val="clear" w:color="auto" w:fill="CFF2FC"/>
          </w:tcPr>
          <w:p>
            <w:pPr>
              <w:spacing w:after="0"/>
              <w:rPr>
                <w:sz w:val="15"/>
                <w:szCs w:val="15"/>
                <w:color w:val="auto"/>
              </w:rPr>
            </w:pPr>
          </w:p>
        </w:tc>
        <w:tc>
          <w:tcPr>
            <w:tcW w:w="220" w:type="dxa"/>
            <w:vAlign w:val="bottom"/>
            <w:shd w:val="clear" w:color="auto" w:fill="CFF2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48</w:t>
            </w:r>
          </w:p>
        </w:tc>
        <w:tc>
          <w:tcPr>
            <w:tcW w:w="340" w:type="dxa"/>
            <w:vAlign w:val="bottom"/>
            <w:shd w:val="clear" w:color="auto" w:fill="CFF2FC"/>
          </w:tcPr>
          <w:p>
            <w:pPr>
              <w:spacing w:after="0"/>
              <w:rPr>
                <w:sz w:val="15"/>
                <w:szCs w:val="15"/>
                <w:color w:val="auto"/>
              </w:rPr>
            </w:pPr>
          </w:p>
        </w:tc>
        <w:tc>
          <w:tcPr>
            <w:tcW w:w="220" w:type="dxa"/>
            <w:vAlign w:val="bottom"/>
            <w:shd w:val="clear" w:color="auto" w:fill="CFF2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2FC"/>
          </w:tcPr>
          <w:p>
            <w:pPr>
              <w:jc w:val="right"/>
              <w:spacing w:after="0" w:line="183" w:lineRule="exact"/>
              <w:rPr>
                <w:sz w:val="20"/>
                <w:szCs w:val="20"/>
                <w:color w:val="auto"/>
              </w:rPr>
            </w:pPr>
            <w:r>
              <w:rPr>
                <w:rFonts w:ascii="Arial" w:cs="Arial" w:eastAsia="Arial" w:hAnsi="Arial"/>
                <w:sz w:val="16"/>
                <w:szCs w:val="16"/>
                <w:color w:val="auto"/>
              </w:rPr>
              <w:t>65</w:t>
            </w:r>
          </w:p>
        </w:tc>
        <w:tc>
          <w:tcPr>
            <w:tcW w:w="180" w:type="dxa"/>
            <w:vAlign w:val="bottom"/>
            <w:shd w:val="clear" w:color="auto" w:fill="CFF2FC"/>
          </w:tcPr>
          <w:p>
            <w:pPr>
              <w:spacing w:after="0"/>
              <w:rPr>
                <w:sz w:val="15"/>
                <w:szCs w:val="15"/>
                <w:color w:val="auto"/>
              </w:rPr>
            </w:pPr>
          </w:p>
        </w:tc>
      </w:tr>
      <w:tr>
        <w:trPr>
          <w:trHeight w:val="189"/>
        </w:trPr>
        <w:tc>
          <w:tcPr>
            <w:tcW w:w="4000" w:type="dxa"/>
            <w:vAlign w:val="bottom"/>
            <w:gridSpan w:val="2"/>
          </w:tcPr>
          <w:p>
            <w:pPr>
              <w:spacing w:after="0"/>
              <w:rPr>
                <w:sz w:val="20"/>
                <w:szCs w:val="20"/>
                <w:color w:val="auto"/>
              </w:rPr>
            </w:pPr>
            <w:r>
              <w:rPr>
                <w:rFonts w:ascii="Arial" w:cs="Arial" w:eastAsia="Arial" w:hAnsi="Arial"/>
                <w:sz w:val="16"/>
                <w:szCs w:val="16"/>
                <w:color w:val="auto"/>
              </w:rPr>
              <w:t>Less: Provision for loan losses</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6"/>
                <w:szCs w:val="16"/>
                <w:color w:val="auto"/>
              </w:rPr>
            </w:pPr>
          </w:p>
        </w:tc>
      </w:tr>
      <w:tr>
        <w:trPr>
          <w:trHeight w:val="189"/>
        </w:trPr>
        <w:tc>
          <w:tcPr>
            <w:tcW w:w="4000" w:type="dxa"/>
            <w:vAlign w:val="bottom"/>
            <w:tcBorders>
              <w:bottom w:val="single" w:sz="8" w:color="CFF2FC"/>
            </w:tcBorders>
            <w:gridSpan w:val="2"/>
            <w:shd w:val="clear" w:color="auto" w:fill="CFF2FC"/>
          </w:tcPr>
          <w:p>
            <w:pPr>
              <w:spacing w:after="0"/>
              <w:rPr>
                <w:sz w:val="20"/>
                <w:szCs w:val="20"/>
                <w:color w:val="auto"/>
              </w:rPr>
            </w:pPr>
            <w:r>
              <w:rPr>
                <w:rFonts w:ascii="Arial" w:cs="Arial" w:eastAsia="Arial" w:hAnsi="Arial"/>
                <w:sz w:val="16"/>
                <w:szCs w:val="16"/>
                <w:color w:val="auto"/>
              </w:rPr>
              <w:t>Other revenue</w:t>
            </w:r>
          </w:p>
        </w:tc>
        <w:tc>
          <w:tcPr>
            <w:tcW w:w="220" w:type="dxa"/>
            <w:vAlign w:val="bottom"/>
            <w:tcBorders>
              <w:bottom w:val="single" w:sz="8" w:color="auto"/>
            </w:tcBorders>
            <w:shd w:val="clear" w:color="auto" w:fill="CFF2FC"/>
          </w:tcPr>
          <w:p>
            <w:pPr>
              <w:spacing w:after="0"/>
              <w:rPr>
                <w:sz w:val="16"/>
                <w:szCs w:val="16"/>
                <w:color w:val="auto"/>
              </w:rPr>
            </w:pPr>
          </w:p>
        </w:tc>
        <w:tc>
          <w:tcPr>
            <w:tcW w:w="8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CFF2FC"/>
            </w:tcBorders>
            <w:shd w:val="clear" w:color="auto" w:fill="CFF2FC"/>
          </w:tcPr>
          <w:p>
            <w:pPr>
              <w:spacing w:after="0"/>
              <w:rPr>
                <w:sz w:val="16"/>
                <w:szCs w:val="16"/>
                <w:color w:val="auto"/>
              </w:rPr>
            </w:pPr>
          </w:p>
        </w:tc>
        <w:tc>
          <w:tcPr>
            <w:tcW w:w="220" w:type="dxa"/>
            <w:vAlign w:val="bottom"/>
            <w:tcBorders>
              <w:bottom w:val="single" w:sz="8" w:color="auto"/>
            </w:tcBorders>
            <w:shd w:val="clear" w:color="auto" w:fill="CFF2FC"/>
          </w:tcPr>
          <w:p>
            <w:pPr>
              <w:spacing w:after="0"/>
              <w:rPr>
                <w:sz w:val="16"/>
                <w:szCs w:val="16"/>
                <w:color w:val="auto"/>
              </w:rPr>
            </w:pPr>
          </w:p>
        </w:tc>
        <w:tc>
          <w:tcPr>
            <w:tcW w:w="8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CFF2FC"/>
            </w:tcBorders>
            <w:shd w:val="clear" w:color="auto" w:fill="CFF2FC"/>
          </w:tcPr>
          <w:p>
            <w:pPr>
              <w:spacing w:after="0"/>
              <w:rPr>
                <w:sz w:val="16"/>
                <w:szCs w:val="16"/>
                <w:color w:val="auto"/>
              </w:rPr>
            </w:pPr>
          </w:p>
        </w:tc>
        <w:tc>
          <w:tcPr>
            <w:tcW w:w="220" w:type="dxa"/>
            <w:vAlign w:val="bottom"/>
            <w:tcBorders>
              <w:bottom w:val="single" w:sz="8" w:color="auto"/>
            </w:tcBorders>
            <w:shd w:val="clear" w:color="auto" w:fill="CFF2FC"/>
          </w:tcPr>
          <w:p>
            <w:pPr>
              <w:spacing w:after="0"/>
              <w:rPr>
                <w:sz w:val="16"/>
                <w:szCs w:val="16"/>
                <w:color w:val="auto"/>
              </w:rPr>
            </w:pPr>
          </w:p>
        </w:tc>
        <w:tc>
          <w:tcPr>
            <w:tcW w:w="8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CFF2FC"/>
            </w:tcBorders>
            <w:shd w:val="clear" w:color="auto" w:fill="CFF2FC"/>
          </w:tcPr>
          <w:p>
            <w:pPr>
              <w:spacing w:after="0"/>
              <w:rPr>
                <w:sz w:val="16"/>
                <w:szCs w:val="16"/>
                <w:color w:val="auto"/>
              </w:rPr>
            </w:pPr>
          </w:p>
        </w:tc>
      </w:tr>
      <w:tr>
        <w:trPr>
          <w:trHeight w:val="183"/>
        </w:trPr>
        <w:tc>
          <w:tcPr>
            <w:tcW w:w="400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42</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62</w:t>
            </w:r>
          </w:p>
        </w:tc>
        <w:tc>
          <w:tcPr>
            <w:tcW w:w="180" w:type="dxa"/>
            <w:vAlign w:val="bottom"/>
          </w:tcPr>
          <w:p>
            <w:pPr>
              <w:spacing w:after="0"/>
              <w:rPr>
                <w:sz w:val="15"/>
                <w:szCs w:val="15"/>
                <w:color w:val="auto"/>
              </w:rPr>
            </w:pPr>
          </w:p>
        </w:tc>
      </w:tr>
      <w:tr>
        <w:trPr>
          <w:trHeight w:val="189"/>
        </w:trPr>
        <w:tc>
          <w:tcPr>
            <w:tcW w:w="4000" w:type="dxa"/>
            <w:vAlign w:val="bottom"/>
            <w:tcBorders>
              <w:bottom w:val="single" w:sz="8" w:color="CFF2FC"/>
            </w:tcBorders>
            <w:gridSpan w:val="2"/>
            <w:shd w:val="clear" w:color="auto" w:fill="CFF2FC"/>
          </w:tcPr>
          <w:p>
            <w:pPr>
              <w:spacing w:after="0"/>
              <w:rPr>
                <w:sz w:val="20"/>
                <w:szCs w:val="20"/>
                <w:color w:val="auto"/>
              </w:rPr>
            </w:pPr>
            <w:r>
              <w:rPr>
                <w:rFonts w:ascii="Arial" w:cs="Arial" w:eastAsia="Arial" w:hAnsi="Arial"/>
                <w:sz w:val="16"/>
                <w:szCs w:val="16"/>
                <w:color w:val="auto"/>
              </w:rPr>
              <w:t>Expenses</w:t>
            </w:r>
          </w:p>
        </w:tc>
        <w:tc>
          <w:tcPr>
            <w:tcW w:w="220" w:type="dxa"/>
            <w:vAlign w:val="bottom"/>
            <w:tcBorders>
              <w:bottom w:val="single" w:sz="8" w:color="auto"/>
            </w:tcBorders>
            <w:shd w:val="clear" w:color="auto" w:fill="CFF2FC"/>
          </w:tcPr>
          <w:p>
            <w:pPr>
              <w:spacing w:after="0"/>
              <w:rPr>
                <w:sz w:val="16"/>
                <w:szCs w:val="16"/>
                <w:color w:val="auto"/>
              </w:rPr>
            </w:pPr>
          </w:p>
        </w:tc>
        <w:tc>
          <w:tcPr>
            <w:tcW w:w="8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13</w:t>
            </w:r>
          </w:p>
        </w:tc>
        <w:tc>
          <w:tcPr>
            <w:tcW w:w="340" w:type="dxa"/>
            <w:vAlign w:val="bottom"/>
            <w:tcBorders>
              <w:bottom w:val="single" w:sz="8" w:color="CFF2FC"/>
            </w:tcBorders>
            <w:shd w:val="clear" w:color="auto" w:fill="CFF2FC"/>
          </w:tcPr>
          <w:p>
            <w:pPr>
              <w:spacing w:after="0"/>
              <w:rPr>
                <w:sz w:val="16"/>
                <w:szCs w:val="16"/>
                <w:color w:val="auto"/>
              </w:rPr>
            </w:pPr>
          </w:p>
        </w:tc>
        <w:tc>
          <w:tcPr>
            <w:tcW w:w="220" w:type="dxa"/>
            <w:vAlign w:val="bottom"/>
            <w:tcBorders>
              <w:bottom w:val="single" w:sz="8" w:color="auto"/>
            </w:tcBorders>
            <w:shd w:val="clear" w:color="auto" w:fill="CFF2FC"/>
          </w:tcPr>
          <w:p>
            <w:pPr>
              <w:spacing w:after="0"/>
              <w:rPr>
                <w:sz w:val="16"/>
                <w:szCs w:val="16"/>
                <w:color w:val="auto"/>
              </w:rPr>
            </w:pPr>
          </w:p>
        </w:tc>
        <w:tc>
          <w:tcPr>
            <w:tcW w:w="8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15</w:t>
            </w:r>
          </w:p>
        </w:tc>
        <w:tc>
          <w:tcPr>
            <w:tcW w:w="340" w:type="dxa"/>
            <w:vAlign w:val="bottom"/>
            <w:tcBorders>
              <w:bottom w:val="single" w:sz="8" w:color="CFF2FC"/>
            </w:tcBorders>
            <w:shd w:val="clear" w:color="auto" w:fill="CFF2FC"/>
          </w:tcPr>
          <w:p>
            <w:pPr>
              <w:spacing w:after="0"/>
              <w:rPr>
                <w:sz w:val="16"/>
                <w:szCs w:val="16"/>
                <w:color w:val="auto"/>
              </w:rPr>
            </w:pPr>
          </w:p>
        </w:tc>
        <w:tc>
          <w:tcPr>
            <w:tcW w:w="220" w:type="dxa"/>
            <w:vAlign w:val="bottom"/>
            <w:tcBorders>
              <w:bottom w:val="single" w:sz="8" w:color="auto"/>
            </w:tcBorders>
            <w:shd w:val="clear" w:color="auto" w:fill="CFF2FC"/>
          </w:tcPr>
          <w:p>
            <w:pPr>
              <w:spacing w:after="0"/>
              <w:rPr>
                <w:sz w:val="16"/>
                <w:szCs w:val="16"/>
                <w:color w:val="auto"/>
              </w:rPr>
            </w:pPr>
          </w:p>
        </w:tc>
        <w:tc>
          <w:tcPr>
            <w:tcW w:w="8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CFF2FC"/>
            </w:tcBorders>
            <w:shd w:val="clear" w:color="auto" w:fill="CFF2FC"/>
          </w:tcPr>
          <w:p>
            <w:pPr>
              <w:spacing w:after="0"/>
              <w:rPr>
                <w:sz w:val="16"/>
                <w:szCs w:val="16"/>
                <w:color w:val="auto"/>
              </w:rPr>
            </w:pPr>
          </w:p>
        </w:tc>
      </w:tr>
      <w:tr>
        <w:trPr>
          <w:trHeight w:val="183"/>
        </w:trPr>
        <w:tc>
          <w:tcPr>
            <w:tcW w:w="4000" w:type="dxa"/>
            <w:vAlign w:val="bottom"/>
            <w:gridSpan w:val="2"/>
          </w:tcPr>
          <w:p>
            <w:pPr>
              <w:spacing w:after="0" w:line="183" w:lineRule="exact"/>
              <w:rPr>
                <w:sz w:val="20"/>
                <w:szCs w:val="20"/>
                <w:color w:val="auto"/>
              </w:rPr>
            </w:pPr>
            <w:r>
              <w:rPr>
                <w:rFonts w:ascii="Arial" w:cs="Arial" w:eastAsia="Arial" w:hAnsi="Arial"/>
                <w:sz w:val="16"/>
                <w:szCs w:val="16"/>
                <w:color w:val="auto"/>
              </w:rPr>
              <w:t>Pre-tax income</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w:t>
            </w:r>
          </w:p>
        </w:tc>
        <w:tc>
          <w:tcPr>
            <w:tcW w:w="180" w:type="dxa"/>
            <w:vAlign w:val="bottom"/>
          </w:tcPr>
          <w:p>
            <w:pPr>
              <w:spacing w:after="0"/>
              <w:rPr>
                <w:sz w:val="15"/>
                <w:szCs w:val="15"/>
                <w:color w:val="auto"/>
              </w:rPr>
            </w:pPr>
          </w:p>
        </w:tc>
      </w:tr>
      <w:tr>
        <w:trPr>
          <w:trHeight w:val="223"/>
        </w:trPr>
        <w:tc>
          <w:tcPr>
            <w:tcW w:w="4000" w:type="dxa"/>
            <w:vAlign w:val="bottom"/>
            <w:tcBorders>
              <w:bottom w:val="single" w:sz="8" w:color="CFF2FC"/>
            </w:tcBorders>
            <w:gridSpan w:val="2"/>
            <w:shd w:val="clear" w:color="auto" w:fill="CFF2FC"/>
          </w:tcPr>
          <w:p>
            <w:pPr>
              <w:spacing w:after="0" w:line="183" w:lineRule="exact"/>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FF2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2FC"/>
          </w:tcPr>
          <w:p>
            <w:pPr>
              <w:jc w:val="right"/>
              <w:spacing w:after="0" w:line="183" w:lineRule="exact"/>
              <w:rPr>
                <w:sz w:val="20"/>
                <w:szCs w:val="20"/>
                <w:color w:val="auto"/>
              </w:rPr>
            </w:pPr>
            <w:r>
              <w:rPr>
                <w:rFonts w:ascii="Arial" w:cs="Arial" w:eastAsia="Arial" w:hAnsi="Arial"/>
                <w:sz w:val="16"/>
                <w:szCs w:val="16"/>
                <w:color w:val="auto"/>
              </w:rPr>
              <w:t>22</w:t>
            </w:r>
          </w:p>
        </w:tc>
        <w:tc>
          <w:tcPr>
            <w:tcW w:w="340" w:type="dxa"/>
            <w:vAlign w:val="bottom"/>
            <w:tcBorders>
              <w:bottom w:val="single" w:sz="8" w:color="CFF2FC"/>
            </w:tcBorders>
            <w:shd w:val="clear" w:color="auto" w:fill="CFF2FC"/>
          </w:tcPr>
          <w:p>
            <w:pPr>
              <w:spacing w:after="0"/>
              <w:rPr>
                <w:sz w:val="19"/>
                <w:szCs w:val="19"/>
                <w:color w:val="auto"/>
              </w:rPr>
            </w:pPr>
          </w:p>
        </w:tc>
        <w:tc>
          <w:tcPr>
            <w:tcW w:w="220" w:type="dxa"/>
            <w:vAlign w:val="bottom"/>
            <w:tcBorders>
              <w:bottom w:val="single" w:sz="8" w:color="auto"/>
            </w:tcBorders>
            <w:shd w:val="clear" w:color="auto" w:fill="CFF2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2FC"/>
          </w:tcPr>
          <w:p>
            <w:pPr>
              <w:jc w:val="right"/>
              <w:spacing w:after="0" w:line="183" w:lineRule="exact"/>
              <w:rPr>
                <w:sz w:val="20"/>
                <w:szCs w:val="20"/>
                <w:color w:val="auto"/>
              </w:rPr>
            </w:pPr>
            <w:r>
              <w:rPr>
                <w:rFonts w:ascii="Arial" w:cs="Arial" w:eastAsia="Arial" w:hAnsi="Arial"/>
                <w:sz w:val="16"/>
                <w:szCs w:val="16"/>
                <w:color w:val="auto"/>
              </w:rPr>
              <w:t>26</w:t>
            </w:r>
          </w:p>
        </w:tc>
        <w:tc>
          <w:tcPr>
            <w:tcW w:w="340" w:type="dxa"/>
            <w:vAlign w:val="bottom"/>
            <w:tcBorders>
              <w:bottom w:val="single" w:sz="8" w:color="CFF2FC"/>
            </w:tcBorders>
            <w:shd w:val="clear" w:color="auto" w:fill="CFF2FC"/>
          </w:tcPr>
          <w:p>
            <w:pPr>
              <w:spacing w:after="0"/>
              <w:rPr>
                <w:sz w:val="19"/>
                <w:szCs w:val="19"/>
                <w:color w:val="auto"/>
              </w:rPr>
            </w:pPr>
          </w:p>
        </w:tc>
        <w:tc>
          <w:tcPr>
            <w:tcW w:w="220" w:type="dxa"/>
            <w:vAlign w:val="bottom"/>
            <w:tcBorders>
              <w:bottom w:val="single" w:sz="8" w:color="auto"/>
            </w:tcBorders>
            <w:shd w:val="clear" w:color="auto" w:fill="CFF2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2FC"/>
          </w:tcPr>
          <w:p>
            <w:pPr>
              <w:jc w:val="right"/>
              <w:spacing w:after="0" w:line="183" w:lineRule="exact"/>
              <w:rPr>
                <w:sz w:val="20"/>
                <w:szCs w:val="20"/>
                <w:color w:val="auto"/>
              </w:rPr>
            </w:pPr>
            <w:r>
              <w:rPr>
                <w:rFonts w:ascii="Arial" w:cs="Arial" w:eastAsia="Arial" w:hAnsi="Arial"/>
                <w:sz w:val="16"/>
                <w:szCs w:val="16"/>
                <w:color w:val="auto"/>
              </w:rPr>
              <w:t>35</w:t>
            </w:r>
          </w:p>
        </w:tc>
        <w:tc>
          <w:tcPr>
            <w:tcW w:w="180" w:type="dxa"/>
            <w:vAlign w:val="bottom"/>
            <w:tcBorders>
              <w:bottom w:val="single" w:sz="8" w:color="CFF2FC"/>
            </w:tcBorders>
            <w:shd w:val="clear" w:color="auto" w:fill="CFF2FC"/>
          </w:tcPr>
          <w:p>
            <w:pPr>
              <w:spacing w:after="0"/>
              <w:rPr>
                <w:sz w:val="19"/>
                <w:szCs w:val="19"/>
                <w:color w:val="auto"/>
              </w:rPr>
            </w:pPr>
          </w:p>
        </w:tc>
      </w:tr>
      <w:tr>
        <w:trPr>
          <w:trHeight w:val="170"/>
        </w:trPr>
        <w:tc>
          <w:tcPr>
            <w:tcW w:w="13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9"/>
        </w:trPr>
        <w:tc>
          <w:tcPr>
            <w:tcW w:w="4000" w:type="dxa"/>
            <w:vAlign w:val="bottom"/>
            <w:gridSpan w:val="2"/>
            <w:shd w:val="clear" w:color="auto" w:fill="CFF2FC"/>
          </w:tcPr>
          <w:p>
            <w:pPr>
              <w:spacing w:after="0"/>
              <w:rPr>
                <w:sz w:val="20"/>
                <w:szCs w:val="20"/>
                <w:color w:val="auto"/>
              </w:rPr>
            </w:pPr>
            <w:r>
              <w:rPr>
                <w:rFonts w:ascii="Arial" w:cs="Arial" w:eastAsia="Arial" w:hAnsi="Arial"/>
                <w:sz w:val="16"/>
                <w:szCs w:val="16"/>
                <w:color w:val="auto"/>
              </w:rPr>
              <w:t>Segment net interest margin</w:t>
            </w:r>
          </w:p>
        </w:tc>
        <w:tc>
          <w:tcPr>
            <w:tcW w:w="220" w:type="dxa"/>
            <w:vAlign w:val="bottom"/>
            <w:shd w:val="clear" w:color="auto" w:fill="CFF2FC"/>
          </w:tcPr>
          <w:p>
            <w:pPr>
              <w:spacing w:after="0"/>
              <w:rPr>
                <w:sz w:val="16"/>
                <w:szCs w:val="16"/>
                <w:color w:val="auto"/>
              </w:rPr>
            </w:pPr>
          </w:p>
        </w:tc>
        <w:tc>
          <w:tcPr>
            <w:tcW w:w="1200" w:type="dxa"/>
            <w:vAlign w:val="bottom"/>
            <w:gridSpan w:val="2"/>
            <w:shd w:val="clear" w:color="auto" w:fill="CFF2FC"/>
          </w:tcPr>
          <w:p>
            <w:pPr>
              <w:jc w:val="right"/>
              <w:ind w:right="200"/>
              <w:spacing w:after="0"/>
              <w:rPr>
                <w:sz w:val="20"/>
                <w:szCs w:val="20"/>
                <w:color w:val="auto"/>
              </w:rPr>
            </w:pPr>
            <w:r>
              <w:rPr>
                <w:rFonts w:ascii="Arial" w:cs="Arial" w:eastAsia="Arial" w:hAnsi="Arial"/>
                <w:sz w:val="16"/>
                <w:szCs w:val="16"/>
                <w:color w:val="auto"/>
              </w:rPr>
              <w:t>.69%</w:t>
            </w:r>
          </w:p>
        </w:tc>
        <w:tc>
          <w:tcPr>
            <w:tcW w:w="220" w:type="dxa"/>
            <w:vAlign w:val="bottom"/>
            <w:shd w:val="clear" w:color="auto" w:fill="CFF2FC"/>
          </w:tcPr>
          <w:p>
            <w:pPr>
              <w:spacing w:after="0"/>
              <w:rPr>
                <w:sz w:val="16"/>
                <w:szCs w:val="16"/>
                <w:color w:val="auto"/>
              </w:rPr>
            </w:pPr>
          </w:p>
        </w:tc>
        <w:tc>
          <w:tcPr>
            <w:tcW w:w="1200" w:type="dxa"/>
            <w:vAlign w:val="bottom"/>
            <w:gridSpan w:val="2"/>
            <w:shd w:val="clear" w:color="auto" w:fill="CFF2FC"/>
          </w:tcPr>
          <w:p>
            <w:pPr>
              <w:jc w:val="right"/>
              <w:ind w:right="200"/>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FF2FC"/>
          </w:tcPr>
          <w:p>
            <w:pPr>
              <w:spacing w:after="0"/>
              <w:rPr>
                <w:sz w:val="16"/>
                <w:szCs w:val="16"/>
                <w:color w:val="auto"/>
              </w:rPr>
            </w:pPr>
          </w:p>
        </w:tc>
        <w:tc>
          <w:tcPr>
            <w:tcW w:w="104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.84%</w:t>
            </w:r>
          </w:p>
        </w:tc>
      </w:tr>
      <w:tr>
        <w:trPr>
          <w:trHeight w:val="189"/>
        </w:trPr>
        <w:tc>
          <w:tcPr>
            <w:tcW w:w="4000" w:type="dxa"/>
            <w:vAlign w:val="bottom"/>
            <w:gridSpan w:val="2"/>
          </w:tcPr>
          <w:p>
            <w:pPr>
              <w:spacing w:after="0"/>
              <w:rPr>
                <w:sz w:val="20"/>
                <w:szCs w:val="20"/>
                <w:color w:val="auto"/>
              </w:rPr>
            </w:pPr>
            <w:r>
              <w:rPr>
                <w:rFonts w:ascii="Arial" w:cs="Arial" w:eastAsia="Arial" w:hAnsi="Arial"/>
                <w:sz w:val="16"/>
                <w:szCs w:val="16"/>
                <w:color w:val="auto"/>
              </w:rPr>
              <w:t>FFELP Loans: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4000" w:type="dxa"/>
            <w:vAlign w:val="bottom"/>
            <w:gridSpan w:val="2"/>
            <w:shd w:val="clear" w:color="auto" w:fill="CFF2FC"/>
          </w:tcPr>
          <w:p>
            <w:pPr>
              <w:ind w:left="280"/>
              <w:spacing w:after="0"/>
              <w:rPr>
                <w:sz w:val="20"/>
                <w:szCs w:val="20"/>
                <w:color w:val="auto"/>
              </w:rPr>
            </w:pPr>
            <w:r>
              <w:rPr>
                <w:rFonts w:ascii="Arial" w:cs="Arial" w:eastAsia="Arial" w:hAnsi="Arial"/>
                <w:sz w:val="16"/>
                <w:szCs w:val="16"/>
                <w:color w:val="auto"/>
              </w:rPr>
              <w:t>FFELP Loan spread</w:t>
            </w:r>
          </w:p>
        </w:tc>
        <w:tc>
          <w:tcPr>
            <w:tcW w:w="220" w:type="dxa"/>
            <w:vAlign w:val="bottom"/>
            <w:shd w:val="clear" w:color="auto" w:fill="CFF2FC"/>
          </w:tcPr>
          <w:p>
            <w:pPr>
              <w:spacing w:after="0"/>
              <w:rPr>
                <w:sz w:val="16"/>
                <w:szCs w:val="16"/>
                <w:color w:val="auto"/>
              </w:rPr>
            </w:pPr>
          </w:p>
        </w:tc>
        <w:tc>
          <w:tcPr>
            <w:tcW w:w="1200" w:type="dxa"/>
            <w:vAlign w:val="bottom"/>
            <w:gridSpan w:val="2"/>
            <w:shd w:val="clear" w:color="auto" w:fill="CFF2FC"/>
          </w:tcPr>
          <w:p>
            <w:pPr>
              <w:jc w:val="right"/>
              <w:ind w:right="200"/>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FF2FC"/>
          </w:tcPr>
          <w:p>
            <w:pPr>
              <w:spacing w:after="0"/>
              <w:rPr>
                <w:sz w:val="16"/>
                <w:szCs w:val="16"/>
                <w:color w:val="auto"/>
              </w:rPr>
            </w:pPr>
          </w:p>
        </w:tc>
        <w:tc>
          <w:tcPr>
            <w:tcW w:w="1200" w:type="dxa"/>
            <w:vAlign w:val="bottom"/>
            <w:gridSpan w:val="2"/>
            <w:shd w:val="clear" w:color="auto" w:fill="CFF2FC"/>
          </w:tcPr>
          <w:p>
            <w:pPr>
              <w:jc w:val="right"/>
              <w:ind w:right="200"/>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FF2FC"/>
          </w:tcPr>
          <w:p>
            <w:pPr>
              <w:spacing w:after="0"/>
              <w:rPr>
                <w:sz w:val="16"/>
                <w:szCs w:val="16"/>
                <w:color w:val="auto"/>
              </w:rPr>
            </w:pPr>
          </w:p>
        </w:tc>
        <w:tc>
          <w:tcPr>
            <w:tcW w:w="104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.90%</w:t>
            </w:r>
          </w:p>
        </w:tc>
      </w:tr>
      <w:tr>
        <w:trPr>
          <w:trHeight w:val="189"/>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Provision for loan losses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6"/>
                <w:szCs w:val="16"/>
                <w:color w:val="auto"/>
              </w:rPr>
            </w:pPr>
          </w:p>
        </w:tc>
      </w:tr>
      <w:tr>
        <w:trPr>
          <w:trHeight w:val="189"/>
        </w:trPr>
        <w:tc>
          <w:tcPr>
            <w:tcW w:w="4000" w:type="dxa"/>
            <w:vAlign w:val="bottom"/>
            <w:gridSpan w:val="2"/>
            <w:shd w:val="clear" w:color="auto" w:fill="CFF2FC"/>
          </w:tcPr>
          <w:p>
            <w:pPr>
              <w:ind w:left="280"/>
              <w:spacing w:after="0"/>
              <w:rPr>
                <w:sz w:val="20"/>
                <w:szCs w:val="20"/>
                <w:color w:val="auto"/>
              </w:rPr>
            </w:pPr>
            <w:r>
              <w:rPr>
                <w:rFonts w:ascii="Arial" w:cs="Arial" w:eastAsia="Arial" w:hAnsi="Arial"/>
                <w:sz w:val="16"/>
                <w:szCs w:val="16"/>
                <w:color w:val="auto"/>
              </w:rPr>
              <w:t>Net charge-offs</w:t>
            </w:r>
          </w:p>
        </w:tc>
        <w:tc>
          <w:tcPr>
            <w:tcW w:w="220" w:type="dxa"/>
            <w:vAlign w:val="bottom"/>
            <w:shd w:val="clear" w:color="auto" w:fill="CFF2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2FC"/>
          </w:tcPr>
          <w:p>
            <w:pPr>
              <w:jc w:val="right"/>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FF2FC"/>
          </w:tcPr>
          <w:p>
            <w:pPr>
              <w:spacing w:after="0"/>
              <w:rPr>
                <w:sz w:val="16"/>
                <w:szCs w:val="16"/>
                <w:color w:val="auto"/>
              </w:rPr>
            </w:pPr>
          </w:p>
        </w:tc>
        <w:tc>
          <w:tcPr>
            <w:tcW w:w="220" w:type="dxa"/>
            <w:vAlign w:val="bottom"/>
            <w:shd w:val="clear" w:color="auto" w:fill="CFF2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2FC"/>
          </w:tcPr>
          <w:p>
            <w:pPr>
              <w:jc w:val="right"/>
              <w:spacing w:after="0"/>
              <w:rPr>
                <w:sz w:val="20"/>
                <w:szCs w:val="20"/>
                <w:color w:val="auto"/>
              </w:rPr>
            </w:pPr>
            <w:r>
              <w:rPr>
                <w:rFonts w:ascii="Arial" w:cs="Arial" w:eastAsia="Arial" w:hAnsi="Arial"/>
                <w:sz w:val="16"/>
                <w:szCs w:val="16"/>
                <w:color w:val="auto"/>
              </w:rPr>
              <w:t>10</w:t>
            </w:r>
          </w:p>
        </w:tc>
        <w:tc>
          <w:tcPr>
            <w:tcW w:w="340" w:type="dxa"/>
            <w:vAlign w:val="bottom"/>
            <w:shd w:val="clear" w:color="auto" w:fill="CFF2FC"/>
          </w:tcPr>
          <w:p>
            <w:pPr>
              <w:spacing w:after="0"/>
              <w:rPr>
                <w:sz w:val="16"/>
                <w:szCs w:val="16"/>
                <w:color w:val="auto"/>
              </w:rPr>
            </w:pPr>
          </w:p>
        </w:tc>
        <w:tc>
          <w:tcPr>
            <w:tcW w:w="220" w:type="dxa"/>
            <w:vAlign w:val="bottom"/>
            <w:shd w:val="clear" w:color="auto" w:fill="CFF2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2FC"/>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2FC"/>
          </w:tcPr>
          <w:p>
            <w:pPr>
              <w:spacing w:after="0"/>
              <w:rPr>
                <w:sz w:val="16"/>
                <w:szCs w:val="16"/>
                <w:color w:val="auto"/>
              </w:rPr>
            </w:pPr>
          </w:p>
        </w:tc>
      </w:tr>
      <w:tr>
        <w:trPr>
          <w:trHeight w:val="189"/>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Net charge-off rate</w:t>
            </w:r>
          </w:p>
        </w:tc>
        <w:tc>
          <w:tcPr>
            <w:tcW w:w="2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189"/>
        </w:trPr>
        <w:tc>
          <w:tcPr>
            <w:tcW w:w="4000" w:type="dxa"/>
            <w:vAlign w:val="bottom"/>
            <w:gridSpan w:val="2"/>
            <w:shd w:val="clear" w:color="auto" w:fill="CFF2FC"/>
          </w:tcPr>
          <w:p>
            <w:pPr>
              <w:ind w:left="280"/>
              <w:spacing w:after="0"/>
              <w:rPr>
                <w:sz w:val="20"/>
                <w:szCs w:val="20"/>
                <w:color w:val="auto"/>
              </w:rPr>
            </w:pPr>
            <w:r>
              <w:rPr>
                <w:rFonts w:ascii="Arial" w:cs="Arial" w:eastAsia="Arial" w:hAnsi="Arial"/>
                <w:sz w:val="16"/>
                <w:szCs w:val="16"/>
                <w:color w:val="auto"/>
              </w:rPr>
              <w:t>Greater than 30-days delinquency rate</w:t>
            </w:r>
          </w:p>
        </w:tc>
        <w:tc>
          <w:tcPr>
            <w:tcW w:w="220" w:type="dxa"/>
            <w:vAlign w:val="bottom"/>
            <w:shd w:val="clear" w:color="auto" w:fill="CFF2FC"/>
          </w:tcPr>
          <w:p>
            <w:pPr>
              <w:spacing w:after="0"/>
              <w:rPr>
                <w:sz w:val="16"/>
                <w:szCs w:val="16"/>
                <w:color w:val="auto"/>
              </w:rPr>
            </w:pPr>
          </w:p>
        </w:tc>
        <w:tc>
          <w:tcPr>
            <w:tcW w:w="1200" w:type="dxa"/>
            <w:vAlign w:val="bottom"/>
            <w:gridSpan w:val="2"/>
            <w:shd w:val="clear" w:color="auto" w:fill="CFF2FC"/>
          </w:tcPr>
          <w:p>
            <w:pPr>
              <w:jc w:val="right"/>
              <w:ind w:right="200"/>
              <w:spacing w:after="0"/>
              <w:rPr>
                <w:sz w:val="20"/>
                <w:szCs w:val="20"/>
                <w:color w:val="auto"/>
              </w:rPr>
            </w:pPr>
            <w:r>
              <w:rPr>
                <w:rFonts w:ascii="Arial" w:cs="Arial" w:eastAsia="Arial" w:hAnsi="Arial"/>
                <w:sz w:val="16"/>
                <w:szCs w:val="16"/>
                <w:color w:val="auto"/>
              </w:rPr>
              <w:t>15.5%</w:t>
            </w:r>
          </w:p>
        </w:tc>
        <w:tc>
          <w:tcPr>
            <w:tcW w:w="220" w:type="dxa"/>
            <w:vAlign w:val="bottom"/>
            <w:shd w:val="clear" w:color="auto" w:fill="CFF2FC"/>
          </w:tcPr>
          <w:p>
            <w:pPr>
              <w:spacing w:after="0"/>
              <w:rPr>
                <w:sz w:val="16"/>
                <w:szCs w:val="16"/>
                <w:color w:val="auto"/>
              </w:rPr>
            </w:pPr>
          </w:p>
        </w:tc>
        <w:tc>
          <w:tcPr>
            <w:tcW w:w="1200" w:type="dxa"/>
            <w:vAlign w:val="bottom"/>
            <w:gridSpan w:val="2"/>
            <w:shd w:val="clear" w:color="auto" w:fill="CFF2FC"/>
          </w:tcPr>
          <w:p>
            <w:pPr>
              <w:jc w:val="right"/>
              <w:ind w:right="200"/>
              <w:spacing w:after="0"/>
              <w:rPr>
                <w:sz w:val="20"/>
                <w:szCs w:val="20"/>
                <w:color w:val="auto"/>
              </w:rPr>
            </w:pPr>
            <w:r>
              <w:rPr>
                <w:rFonts w:ascii="Arial" w:cs="Arial" w:eastAsia="Arial" w:hAnsi="Arial"/>
                <w:sz w:val="16"/>
                <w:szCs w:val="16"/>
                <w:color w:val="auto"/>
              </w:rPr>
              <w:t>14.7%</w:t>
            </w:r>
          </w:p>
        </w:tc>
        <w:tc>
          <w:tcPr>
            <w:tcW w:w="220" w:type="dxa"/>
            <w:vAlign w:val="bottom"/>
            <w:shd w:val="clear" w:color="auto" w:fill="CFF2FC"/>
          </w:tcPr>
          <w:p>
            <w:pPr>
              <w:spacing w:after="0"/>
              <w:rPr>
                <w:sz w:val="16"/>
                <w:szCs w:val="16"/>
                <w:color w:val="auto"/>
              </w:rPr>
            </w:pPr>
          </w:p>
        </w:tc>
        <w:tc>
          <w:tcPr>
            <w:tcW w:w="104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18.1%</w:t>
            </w:r>
          </w:p>
        </w:tc>
      </w:tr>
      <w:tr>
        <w:trPr>
          <w:trHeight w:val="189"/>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Greater than 90-days delinquency rate</w:t>
            </w:r>
          </w:p>
        </w:tc>
        <w:tc>
          <w:tcPr>
            <w:tcW w:w="2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10.5%</w:t>
            </w:r>
          </w:p>
        </w:tc>
      </w:tr>
      <w:tr>
        <w:trPr>
          <w:trHeight w:val="189"/>
        </w:trPr>
        <w:tc>
          <w:tcPr>
            <w:tcW w:w="4000" w:type="dxa"/>
            <w:vAlign w:val="bottom"/>
            <w:gridSpan w:val="2"/>
            <w:shd w:val="clear" w:color="auto" w:fill="CFF2FC"/>
          </w:tcPr>
          <w:p>
            <w:pPr>
              <w:ind w:left="280"/>
              <w:spacing w:after="0"/>
              <w:rPr>
                <w:sz w:val="20"/>
                <w:szCs w:val="20"/>
                <w:color w:val="auto"/>
              </w:rPr>
            </w:pPr>
            <w:r>
              <w:rPr>
                <w:rFonts w:ascii="Arial" w:cs="Arial" w:eastAsia="Arial" w:hAnsi="Arial"/>
                <w:sz w:val="16"/>
                <w:szCs w:val="16"/>
                <w:color w:val="auto"/>
              </w:rPr>
              <w:t>Forbearance rate</w:t>
            </w:r>
          </w:p>
        </w:tc>
        <w:tc>
          <w:tcPr>
            <w:tcW w:w="220" w:type="dxa"/>
            <w:vAlign w:val="bottom"/>
            <w:shd w:val="clear" w:color="auto" w:fill="CFF2FC"/>
          </w:tcPr>
          <w:p>
            <w:pPr>
              <w:spacing w:after="0"/>
              <w:rPr>
                <w:sz w:val="16"/>
                <w:szCs w:val="16"/>
                <w:color w:val="auto"/>
              </w:rPr>
            </w:pPr>
          </w:p>
        </w:tc>
        <w:tc>
          <w:tcPr>
            <w:tcW w:w="1200" w:type="dxa"/>
            <w:vAlign w:val="bottom"/>
            <w:gridSpan w:val="2"/>
            <w:shd w:val="clear" w:color="auto" w:fill="CFF2FC"/>
          </w:tcPr>
          <w:p>
            <w:pPr>
              <w:jc w:val="right"/>
              <w:ind w:right="200"/>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FF2FC"/>
          </w:tcPr>
          <w:p>
            <w:pPr>
              <w:spacing w:after="0"/>
              <w:rPr>
                <w:sz w:val="16"/>
                <w:szCs w:val="16"/>
                <w:color w:val="auto"/>
              </w:rPr>
            </w:pPr>
          </w:p>
        </w:tc>
        <w:tc>
          <w:tcPr>
            <w:tcW w:w="1200" w:type="dxa"/>
            <w:vAlign w:val="bottom"/>
            <w:gridSpan w:val="2"/>
            <w:shd w:val="clear" w:color="auto" w:fill="CFF2FC"/>
          </w:tcPr>
          <w:p>
            <w:pPr>
              <w:jc w:val="right"/>
              <w:ind w:right="200"/>
              <w:spacing w:after="0"/>
              <w:rPr>
                <w:sz w:val="20"/>
                <w:szCs w:val="20"/>
                <w:color w:val="auto"/>
              </w:rPr>
            </w:pPr>
            <w:r>
              <w:rPr>
                <w:rFonts w:ascii="Arial" w:cs="Arial" w:eastAsia="Arial" w:hAnsi="Arial"/>
                <w:sz w:val="16"/>
                <w:szCs w:val="16"/>
                <w:color w:val="auto"/>
              </w:rPr>
              <w:t>12.8%</w:t>
            </w:r>
          </w:p>
        </w:tc>
        <w:tc>
          <w:tcPr>
            <w:tcW w:w="220" w:type="dxa"/>
            <w:vAlign w:val="bottom"/>
            <w:shd w:val="clear" w:color="auto" w:fill="CFF2FC"/>
          </w:tcPr>
          <w:p>
            <w:pPr>
              <w:spacing w:after="0"/>
              <w:rPr>
                <w:sz w:val="16"/>
                <w:szCs w:val="16"/>
                <w:color w:val="auto"/>
              </w:rPr>
            </w:pPr>
          </w:p>
        </w:tc>
        <w:tc>
          <w:tcPr>
            <w:tcW w:w="1040" w:type="dxa"/>
            <w:vAlign w:val="bottom"/>
            <w:gridSpan w:val="2"/>
            <w:shd w:val="clear" w:color="auto" w:fill="CFF2FC"/>
          </w:tcPr>
          <w:p>
            <w:pPr>
              <w:jc w:val="right"/>
              <w:ind w:right="20"/>
              <w:spacing w:after="0"/>
              <w:rPr>
                <w:sz w:val="20"/>
                <w:szCs w:val="20"/>
                <w:color w:val="auto"/>
              </w:rPr>
            </w:pPr>
            <w:r>
              <w:rPr>
                <w:rFonts w:ascii="Arial" w:cs="Arial" w:eastAsia="Arial" w:hAnsi="Arial"/>
                <w:sz w:val="16"/>
                <w:szCs w:val="16"/>
                <w:color w:val="auto"/>
              </w:rPr>
              <w:t>13.4%</w:t>
            </w:r>
          </w:p>
        </w:tc>
      </w:tr>
      <w:tr>
        <w:trPr>
          <w:trHeight w:val="189"/>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Average FFELP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26,364</w:t>
            </w:r>
          </w:p>
        </w:tc>
        <w:tc>
          <w:tcPr>
            <w:tcW w:w="3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27,045</w:t>
            </w:r>
          </w:p>
        </w:tc>
        <w:tc>
          <w:tcPr>
            <w:tcW w:w="3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29,641</w:t>
            </w:r>
          </w:p>
        </w:tc>
        <w:tc>
          <w:tcPr>
            <w:tcW w:w="180" w:type="dxa"/>
            <w:vAlign w:val="bottom"/>
          </w:tcPr>
          <w:p>
            <w:pPr>
              <w:spacing w:after="0"/>
              <w:rPr>
                <w:sz w:val="16"/>
                <w:szCs w:val="16"/>
                <w:color w:val="auto"/>
              </w:rPr>
            </w:pPr>
          </w:p>
        </w:tc>
      </w:tr>
      <w:tr>
        <w:trPr>
          <w:trHeight w:val="189"/>
        </w:trPr>
        <w:tc>
          <w:tcPr>
            <w:tcW w:w="4000" w:type="dxa"/>
            <w:vAlign w:val="bottom"/>
            <w:gridSpan w:val="2"/>
            <w:shd w:val="clear" w:color="auto" w:fill="CFF2FC"/>
          </w:tcPr>
          <w:p>
            <w:pPr>
              <w:ind w:left="280"/>
              <w:spacing w:after="0"/>
              <w:rPr>
                <w:sz w:val="20"/>
                <w:szCs w:val="20"/>
                <w:color w:val="auto"/>
              </w:rPr>
            </w:pPr>
            <w:r>
              <w:rPr>
                <w:rFonts w:ascii="Arial" w:cs="Arial" w:eastAsia="Arial" w:hAnsi="Arial"/>
                <w:sz w:val="16"/>
                <w:szCs w:val="16"/>
                <w:color w:val="auto"/>
              </w:rPr>
              <w:t>Ending FFELP Loans, net</w:t>
            </w:r>
          </w:p>
        </w:tc>
        <w:tc>
          <w:tcPr>
            <w:tcW w:w="220" w:type="dxa"/>
            <w:vAlign w:val="bottom"/>
            <w:shd w:val="clear" w:color="auto" w:fill="CFF2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2FC"/>
          </w:tcPr>
          <w:p>
            <w:pPr>
              <w:jc w:val="right"/>
              <w:spacing w:after="0"/>
              <w:rPr>
                <w:sz w:val="20"/>
                <w:szCs w:val="20"/>
                <w:color w:val="auto"/>
              </w:rPr>
            </w:pPr>
            <w:r>
              <w:rPr>
                <w:rFonts w:ascii="Arial" w:cs="Arial" w:eastAsia="Arial" w:hAnsi="Arial"/>
                <w:sz w:val="16"/>
                <w:szCs w:val="16"/>
                <w:color w:val="auto"/>
              </w:rPr>
              <w:t>25,898</w:t>
            </w:r>
          </w:p>
        </w:tc>
        <w:tc>
          <w:tcPr>
            <w:tcW w:w="340" w:type="dxa"/>
            <w:vAlign w:val="bottom"/>
            <w:shd w:val="clear" w:color="auto" w:fill="CFF2FC"/>
          </w:tcPr>
          <w:p>
            <w:pPr>
              <w:spacing w:after="0"/>
              <w:rPr>
                <w:sz w:val="16"/>
                <w:szCs w:val="16"/>
                <w:color w:val="auto"/>
              </w:rPr>
            </w:pPr>
          </w:p>
        </w:tc>
        <w:tc>
          <w:tcPr>
            <w:tcW w:w="220" w:type="dxa"/>
            <w:vAlign w:val="bottom"/>
            <w:shd w:val="clear" w:color="auto" w:fill="CFF2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2FC"/>
          </w:tcPr>
          <w:p>
            <w:pPr>
              <w:jc w:val="right"/>
              <w:spacing w:after="0"/>
              <w:rPr>
                <w:sz w:val="20"/>
                <w:szCs w:val="20"/>
                <w:color w:val="auto"/>
              </w:rPr>
            </w:pPr>
            <w:r>
              <w:rPr>
                <w:rFonts w:ascii="Arial" w:cs="Arial" w:eastAsia="Arial" w:hAnsi="Arial"/>
                <w:sz w:val="16"/>
                <w:szCs w:val="16"/>
                <w:color w:val="auto"/>
              </w:rPr>
              <w:t>26,575</w:t>
            </w:r>
          </w:p>
        </w:tc>
        <w:tc>
          <w:tcPr>
            <w:tcW w:w="340" w:type="dxa"/>
            <w:vAlign w:val="bottom"/>
            <w:shd w:val="clear" w:color="auto" w:fill="CFF2FC"/>
          </w:tcPr>
          <w:p>
            <w:pPr>
              <w:spacing w:after="0"/>
              <w:rPr>
                <w:sz w:val="16"/>
                <w:szCs w:val="16"/>
                <w:color w:val="auto"/>
              </w:rPr>
            </w:pPr>
          </w:p>
        </w:tc>
        <w:tc>
          <w:tcPr>
            <w:tcW w:w="220" w:type="dxa"/>
            <w:vAlign w:val="bottom"/>
            <w:shd w:val="clear" w:color="auto" w:fill="CFF2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2FC"/>
          </w:tcPr>
          <w:p>
            <w:pPr>
              <w:jc w:val="right"/>
              <w:spacing w:after="0"/>
              <w:rPr>
                <w:sz w:val="20"/>
                <w:szCs w:val="20"/>
                <w:color w:val="auto"/>
              </w:rPr>
            </w:pPr>
            <w:r>
              <w:rPr>
                <w:rFonts w:ascii="Arial" w:cs="Arial" w:eastAsia="Arial" w:hAnsi="Arial"/>
                <w:sz w:val="16"/>
                <w:szCs w:val="16"/>
                <w:color w:val="auto"/>
              </w:rPr>
              <w:t>28,952</w:t>
            </w:r>
          </w:p>
        </w:tc>
        <w:tc>
          <w:tcPr>
            <w:tcW w:w="180" w:type="dxa"/>
            <w:vAlign w:val="bottom"/>
            <w:shd w:val="clear" w:color="auto" w:fill="CFF2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-1971040</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-1971040</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-1971040</wp:posOffset>
            </wp:positionV>
            <wp:extent cx="102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-1722120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-1722120</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-1722120</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-1464945</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-1447800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-1464945</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-1447800</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-1464945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-1447800</wp:posOffset>
            </wp:positionV>
            <wp:extent cx="102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DISCUSSION OF RESULTS — 3Q26 vs. 3Q25</w:t>
      </w:r>
    </w:p>
    <w:p>
      <w:pPr>
        <w:spacing w:after="0" w:line="113" w:lineRule="exact"/>
        <w:rPr>
          <w:sz w:val="20"/>
          <w:szCs w:val="20"/>
          <w:color w:val="auto"/>
        </w:rPr>
      </w:pPr>
    </w:p>
    <w:p>
      <w:pPr>
        <w:ind w:left="325" w:hanging="325"/>
        <w:spacing w:after="0"/>
        <w:tabs>
          <w:tab w:leader="none" w:pos="32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was $22 million compared to $35 million.</w:t>
      </w:r>
    </w:p>
    <w:p>
      <w:pPr>
        <w:spacing w:after="0" w:line="125" w:lineRule="exact"/>
        <w:rPr>
          <w:rFonts w:ascii="Times New Roman" w:cs="Times New Roman" w:eastAsia="Times New Roman" w:hAnsi="Times New Roman"/>
          <w:sz w:val="16"/>
          <w:szCs w:val="16"/>
          <w:color w:val="auto"/>
        </w:rPr>
      </w:pPr>
    </w:p>
    <w:p>
      <w:pPr>
        <w:ind w:left="325" w:right="80" w:hanging="325"/>
        <w:spacing w:after="0" w:line="281" w:lineRule="auto"/>
        <w:tabs>
          <w:tab w:leader="none" w:pos="32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Net interest income decreased $18 million primarily due to an $18 million benefit (reduced premium amortization) in the year-ago period from a decrease in prepayment rate assumptions as well as the paydown of the loan portfolio.</w:t>
      </w:r>
    </w:p>
    <w:p>
      <w:pPr>
        <w:ind w:left="325" w:right="300" w:hanging="325"/>
        <w:spacing w:after="0" w:line="259" w:lineRule="auto"/>
        <w:tabs>
          <w:tab w:leader="none" w:pos="32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Provision for loan losses remained unchanged at $13 million. The provision for loan losses of $13 million in the current period was primarily the result of an increase in premium allocated to future defaults, as well as the continued extension of the portfolio. The $13 million of provision for loan losses in the year-ago quarter was primarily the result of elevated delinquency balances, our forecasted macroeconomic outlook as well as the continued extension of the portfolio.</w:t>
      </w:r>
    </w:p>
    <w:p>
      <w:pPr>
        <w:spacing w:after="0" w:line="15" w:lineRule="exact"/>
        <w:rPr>
          <w:sz w:val="20"/>
          <w:szCs w:val="20"/>
          <w:color w:val="auto"/>
        </w:rPr>
      </w:pPr>
    </w:p>
    <w:p>
      <w:pPr>
        <w:ind w:left="1225" w:hanging="318"/>
        <w:spacing w:after="0"/>
        <w:tabs>
          <w:tab w:leader="none" w:pos="1225" w:val="left"/>
        </w:tabs>
        <w:numPr>
          <w:ilvl w:val="1"/>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Net charge-offs were $11 million compared to $9 million.</w:t>
      </w:r>
    </w:p>
    <w:p>
      <w:pPr>
        <w:spacing w:after="0" w:line="71" w:lineRule="exact"/>
        <w:rPr>
          <w:rFonts w:ascii="Times New Roman" w:cs="Times New Roman" w:eastAsia="Times New Roman" w:hAnsi="Times New Roman"/>
          <w:sz w:val="16"/>
          <w:szCs w:val="16"/>
          <w:color w:val="auto"/>
        </w:rPr>
      </w:pPr>
    </w:p>
    <w:p>
      <w:pPr>
        <w:ind w:left="1225" w:hanging="318"/>
        <w:spacing w:after="0"/>
        <w:tabs>
          <w:tab w:leader="none" w:pos="1225" w:val="left"/>
        </w:tabs>
        <w:numPr>
          <w:ilvl w:val="1"/>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Delinquencies greater than 90 days were $1.7 billion compared to $2.5 billion.</w:t>
      </w:r>
    </w:p>
    <w:p>
      <w:pPr>
        <w:spacing w:after="0" w:line="71" w:lineRule="exact"/>
        <w:rPr>
          <w:rFonts w:ascii="Times New Roman" w:cs="Times New Roman" w:eastAsia="Times New Roman" w:hAnsi="Times New Roman"/>
          <w:sz w:val="16"/>
          <w:szCs w:val="16"/>
          <w:color w:val="auto"/>
        </w:rPr>
      </w:pPr>
    </w:p>
    <w:p>
      <w:pPr>
        <w:ind w:left="1225" w:hanging="318"/>
        <w:spacing w:after="0"/>
        <w:tabs>
          <w:tab w:leader="none" w:pos="1225" w:val="left"/>
        </w:tabs>
        <w:numPr>
          <w:ilvl w:val="1"/>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Forbearances were $3.1 billion compared to $3.7 billion.</w:t>
      </w:r>
    </w:p>
    <w:p>
      <w:pPr>
        <w:spacing w:after="0" w:line="125" w:lineRule="exact"/>
        <w:rPr>
          <w:rFonts w:ascii="Times New Roman" w:cs="Times New Roman" w:eastAsia="Times New Roman" w:hAnsi="Times New Roman"/>
          <w:sz w:val="16"/>
          <w:szCs w:val="16"/>
          <w:color w:val="auto"/>
        </w:rPr>
      </w:pPr>
    </w:p>
    <w:p>
      <w:pPr>
        <w:ind w:left="325" w:right="120" w:hanging="325"/>
        <w:spacing w:after="0" w:line="285" w:lineRule="auto"/>
        <w:tabs>
          <w:tab w:leader="none" w:pos="32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Expenses were $3 million lower primarily as a result of the outsourcing of the loan servicing of our portfolio to a third party in 2024. This created a variable cost structure resulting in a reduction in expenses as the portfolio paid down.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479425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1043" w:right="1099" w:bottom="1440" w:gutter="0" w:footer="0" w:header="0"/>
        </w:sectPr>
      </w:pPr>
    </w:p>
    <w:bookmarkStart w:id="9" w:name="page10"/>
    <w:bookmarkEnd w:id="9"/>
    <w:p>
      <w:pPr>
        <w:ind w:left="65"/>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448310</wp:posOffset>
            </wp:positionH>
            <wp:positionV relativeFrom="page">
              <wp:posOffset>637540</wp:posOffset>
            </wp:positionV>
            <wp:extent cx="641223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2230" cy="188595"/>
                    </a:xfrm>
                    <a:prstGeom prst="rect">
                      <a:avLst/>
                    </a:prstGeom>
                    <a:noFill/>
                  </pic:spPr>
                </pic:pic>
              </a:graphicData>
            </a:graphic>
          </wp:anchor>
        </w:drawing>
        <w:t>SELECTED HISTORICAL FINANCIAL INFORMATION AND RATIOS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1420" w:type="dxa"/>
            <w:vAlign w:val="bottom"/>
            <w:gridSpan w:val="4"/>
            <w:shd w:val="clear" w:color="auto" w:fill="D9D9D9"/>
          </w:tcPr>
          <w:p>
            <w:pPr>
              <w:jc w:val="right"/>
              <w:ind w:right="180"/>
              <w:spacing w:after="0"/>
              <w:rPr>
                <w:sz w:val="20"/>
                <w:szCs w:val="20"/>
                <w:color w:val="auto"/>
              </w:rPr>
            </w:pPr>
            <w:r>
              <w:rPr>
                <w:rFonts w:ascii="Arial" w:cs="Arial" w:eastAsia="Arial" w:hAnsi="Arial"/>
                <w:sz w:val="13"/>
                <w:szCs w:val="13"/>
                <w:b w:val="1"/>
                <w:bCs w:val="1"/>
                <w:color w:val="auto"/>
                <w:w w:val="99"/>
              </w:rPr>
              <w:t>QUARTERS ENDED</w:t>
            </w:r>
          </w:p>
        </w:tc>
        <w:tc>
          <w:tcPr>
            <w:tcW w:w="120" w:type="dxa"/>
            <w:vAlign w:val="bottom"/>
            <w:shd w:val="clear" w:color="auto" w:fill="D9D9D9"/>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2420" w:type="dxa"/>
            <w:vAlign w:val="bottom"/>
            <w:gridSpan w:val="6"/>
            <w:shd w:val="clear" w:color="auto" w:fill="D9D9D9"/>
          </w:tcPr>
          <w:p>
            <w:pPr>
              <w:jc w:val="right"/>
              <w:ind w:right="7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jc w:val="right"/>
              <w:ind w:right="320"/>
              <w:spacing w:after="0" w:line="117"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right"/>
              <w:ind w:right="320"/>
              <w:spacing w:after="0" w:line="117"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280" w:type="dxa"/>
            <w:vAlign w:val="bottom"/>
            <w:gridSpan w:val="3"/>
          </w:tcPr>
          <w:p>
            <w:pPr>
              <w:jc w:val="right"/>
              <w:ind w:right="340"/>
              <w:spacing w:after="0" w:line="117"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1260" w:type="dxa"/>
            <w:vAlign w:val="bottom"/>
            <w:gridSpan w:val="3"/>
          </w:tcPr>
          <w:p>
            <w:pPr>
              <w:jc w:val="right"/>
              <w:ind w:right="340"/>
              <w:spacing w:after="0" w:line="117"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53"/>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6"/>
              </w:rPr>
              <w:t>(In millions, except per share data)</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2026</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w w:val="94"/>
              </w:rPr>
              <w:t>June 30, 2026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2026</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2025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rPr>
              <w:t>GAAP Basis</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tcPr>
          <w:p>
            <w:pPr>
              <w:spacing w:after="0" w:line="162" w:lineRule="exact"/>
              <w:rPr>
                <w:sz w:val="20"/>
                <w:szCs w:val="20"/>
                <w:color w:val="auto"/>
              </w:rPr>
            </w:pPr>
            <w:r>
              <w:rPr>
                <w:rFonts w:ascii="Arial" w:cs="Arial" w:eastAsia="Arial" w:hAnsi="Arial"/>
                <w:sz w:val="15"/>
                <w:szCs w:val="15"/>
                <w:color w:val="auto"/>
              </w:rPr>
              <w:t>Net income</w:t>
            </w:r>
          </w:p>
        </w:tc>
        <w:tc>
          <w:tcPr>
            <w:tcW w:w="300" w:type="dxa"/>
            <w:vAlign w:val="bottom"/>
            <w:gridSpan w:val="2"/>
          </w:tcPr>
          <w:p>
            <w:pPr>
              <w:jc w:val="right"/>
              <w:ind w:right="68"/>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200" w:type="dxa"/>
            <w:vAlign w:val="bottom"/>
          </w:tcPr>
          <w:p>
            <w:pPr>
              <w:spacing w:after="0"/>
              <w:rPr>
                <w:sz w:val="14"/>
                <w:szCs w:val="14"/>
                <w:color w:val="auto"/>
              </w:rPr>
            </w:pPr>
          </w:p>
        </w:tc>
        <w:tc>
          <w:tcPr>
            <w:tcW w:w="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25</w:t>
            </w:r>
          </w:p>
        </w:tc>
        <w:tc>
          <w:tcPr>
            <w:tcW w:w="220" w:type="dxa"/>
            <w:vAlign w:val="bottom"/>
          </w:tcPr>
          <w:p>
            <w:pPr>
              <w:spacing w:after="0"/>
              <w:rPr>
                <w:sz w:val="14"/>
                <w:szCs w:val="14"/>
                <w:color w:val="auto"/>
              </w:rPr>
            </w:pPr>
          </w:p>
        </w:tc>
        <w:tc>
          <w:tcPr>
            <w:tcW w:w="340" w:type="dxa"/>
            <w:vAlign w:val="bottom"/>
            <w:gridSpan w:val="2"/>
          </w:tcPr>
          <w:p>
            <w:pPr>
              <w:jc w:val="right"/>
              <w:ind w:right="68"/>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(86)</w:t>
            </w:r>
          </w:p>
        </w:tc>
        <w:tc>
          <w:tcPr>
            <w:tcW w:w="420" w:type="dxa"/>
            <w:vAlign w:val="bottom"/>
            <w:gridSpan w:val="2"/>
          </w:tcPr>
          <w:p>
            <w:pPr>
              <w:jc w:val="right"/>
              <w:ind w:right="88"/>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56</w:t>
            </w:r>
          </w:p>
        </w:tc>
        <w:tc>
          <w:tcPr>
            <w:tcW w:w="220" w:type="dxa"/>
            <w:vAlign w:val="bottom"/>
          </w:tcPr>
          <w:p>
            <w:pPr>
              <w:spacing w:after="0"/>
              <w:rPr>
                <w:sz w:val="14"/>
                <w:szCs w:val="14"/>
                <w:color w:val="auto"/>
              </w:rPr>
            </w:pPr>
          </w:p>
        </w:tc>
        <w:tc>
          <w:tcPr>
            <w:tcW w:w="340" w:type="dxa"/>
            <w:vAlign w:val="bottom"/>
            <w:gridSpan w:val="2"/>
          </w:tcPr>
          <w:p>
            <w:pPr>
              <w:jc w:val="right"/>
              <w:ind w:right="68"/>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Diluted earnings per common share</w:t>
            </w:r>
          </w:p>
        </w:tc>
        <w:tc>
          <w:tcPr>
            <w:tcW w:w="300" w:type="dxa"/>
            <w:vAlign w:val="bottom"/>
            <w:gridSpan w:val="2"/>
            <w:shd w:val="clear" w:color="auto" w:fill="CFF0FC"/>
          </w:tcPr>
          <w:p>
            <w:pPr>
              <w:jc w:val="right"/>
              <w:ind w:right="68"/>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.16</w:t>
            </w:r>
          </w:p>
        </w:tc>
        <w:tc>
          <w:tcPr>
            <w:tcW w:w="2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.26</w:t>
            </w:r>
          </w:p>
        </w:tc>
        <w:tc>
          <w:tcPr>
            <w:tcW w:w="2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8"/>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140"/>
              <w:spacing w:after="0" w:line="162" w:lineRule="exact"/>
              <w:rPr>
                <w:sz w:val="20"/>
                <w:szCs w:val="20"/>
                <w:color w:val="auto"/>
              </w:rPr>
            </w:pPr>
            <w:r>
              <w:rPr>
                <w:rFonts w:ascii="Arial" w:cs="Arial" w:eastAsia="Arial" w:hAnsi="Arial"/>
                <w:sz w:val="15"/>
                <w:szCs w:val="15"/>
                <w:color w:val="auto"/>
              </w:rPr>
              <w:t>(.87)</w:t>
            </w:r>
          </w:p>
        </w:tc>
        <w:tc>
          <w:tcPr>
            <w:tcW w:w="420" w:type="dxa"/>
            <w:vAlign w:val="bottom"/>
            <w:gridSpan w:val="2"/>
            <w:shd w:val="clear" w:color="auto" w:fill="CFF0FC"/>
          </w:tcPr>
          <w:p>
            <w:pPr>
              <w:jc w:val="right"/>
              <w:ind w:right="88"/>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.59</w:t>
            </w:r>
          </w:p>
        </w:tc>
        <w:tc>
          <w:tcPr>
            <w:tcW w:w="2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8"/>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60"/>
              <w:spacing w:after="0" w:line="162" w:lineRule="exact"/>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gridSpan w:val="2"/>
          </w:tcPr>
          <w:p>
            <w:pPr>
              <w:spacing w:after="0" w:line="145" w:lineRule="exact"/>
              <w:rPr>
                <w:sz w:val="20"/>
                <w:szCs w:val="20"/>
                <w:color w:val="auto"/>
              </w:rPr>
            </w:pPr>
            <w:r>
              <w:rPr>
                <w:rFonts w:ascii="Arial" w:cs="Arial" w:eastAsia="Arial" w:hAnsi="Arial"/>
                <w:sz w:val="15"/>
                <w:szCs w:val="15"/>
                <w:color w:val="auto"/>
              </w:rPr>
              <w:t>Weighted average shares used to compute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40" w:type="dxa"/>
            <w:vAlign w:val="bottom"/>
            <w:gridSpan w:val="2"/>
          </w:tcPr>
          <w:p>
            <w:pPr>
              <w:ind w:left="100"/>
              <w:spacing w:after="0"/>
              <w:rPr>
                <w:sz w:val="20"/>
                <w:szCs w:val="20"/>
                <w:color w:val="auto"/>
              </w:rPr>
            </w:pPr>
            <w:r>
              <w:rPr>
                <w:rFonts w:ascii="Arial" w:cs="Arial" w:eastAsia="Arial" w:hAnsi="Arial"/>
                <w:sz w:val="15"/>
                <w:szCs w:val="15"/>
                <w:color w:val="auto"/>
              </w:rPr>
              <w:t>diluted earnings per share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Return on assets</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.13%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2" w:lineRule="exact"/>
              <w:rPr>
                <w:sz w:val="20"/>
                <w:szCs w:val="20"/>
                <w:color w:val="auto"/>
              </w:rPr>
            </w:pPr>
            <w:r>
              <w:rPr>
                <w:rFonts w:ascii="Arial" w:cs="Arial" w:eastAsia="Arial" w:hAnsi="Arial"/>
                <w:sz w:val="15"/>
                <w:szCs w:val="15"/>
                <w:color w:val="auto"/>
              </w:rPr>
              <w:t>.22%</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(.72)%</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line="162" w:lineRule="exact"/>
              <w:rPr>
                <w:sz w:val="20"/>
                <w:szCs w:val="20"/>
                <w:color w:val="auto"/>
              </w:rPr>
            </w:pPr>
            <w:r>
              <w:rPr>
                <w:rFonts w:ascii="Arial" w:cs="Arial" w:eastAsia="Arial" w:hAnsi="Arial"/>
                <w:sz w:val="15"/>
                <w:szCs w:val="15"/>
                <w:color w:val="auto"/>
              </w:rPr>
              <w:t>.17%</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140" w:type="dxa"/>
            <w:vAlign w:val="bottom"/>
            <w:gridSpan w:val="2"/>
          </w:tcPr>
          <w:p>
            <w:pPr>
              <w:spacing w:after="0"/>
              <w:rPr>
                <w:sz w:val="20"/>
                <w:szCs w:val="20"/>
                <w:color w:val="auto"/>
              </w:rPr>
            </w:pPr>
            <w:r>
              <w:rPr>
                <w:rFonts w:ascii="Arial" w:cs="Arial" w:eastAsia="Arial" w:hAnsi="Arial"/>
                <w:sz w:val="15"/>
                <w:szCs w:val="15"/>
                <w:b w:val="1"/>
                <w:bCs w:val="1"/>
                <w:color w:val="auto"/>
              </w:rPr>
              <w:t>Core Earnings Basis</w:t>
            </w:r>
            <w:r>
              <w:rPr>
                <w:rFonts w:ascii="Arial" w:cs="Arial" w:eastAsia="Arial" w:hAnsi="Arial"/>
                <w:sz w:val="21"/>
                <w:szCs w:val="21"/>
                <w:b w:val="1"/>
                <w:bCs w:val="1"/>
                <w:color w:val="auto"/>
                <w:vertAlign w:val="superscript"/>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line="216" w:lineRule="exact"/>
              <w:rPr>
                <w:sz w:val="20"/>
                <w:szCs w:val="20"/>
                <w:color w:val="auto"/>
              </w:rPr>
            </w:pPr>
            <w:r>
              <w:rPr>
                <w:rFonts w:ascii="Arial" w:cs="Arial" w:eastAsia="Arial" w:hAnsi="Arial"/>
                <w:sz w:val="15"/>
                <w:szCs w:val="15"/>
                <w:color w:val="auto"/>
              </w:rPr>
              <w:t>Net income</w:t>
            </w:r>
            <w:r>
              <w:rPr>
                <w:rFonts w:ascii="Arial" w:cs="Arial" w:eastAsia="Arial" w:hAnsi="Arial"/>
                <w:sz w:val="21"/>
                <w:szCs w:val="21"/>
                <w:color w:val="auto"/>
                <w:vertAlign w:val="superscript"/>
              </w:rPr>
              <w:t>(1)</w:t>
            </w:r>
          </w:p>
        </w:tc>
        <w:tc>
          <w:tcPr>
            <w:tcW w:w="300" w:type="dxa"/>
            <w:vAlign w:val="bottom"/>
            <w:gridSpan w:val="2"/>
          </w:tcPr>
          <w:p>
            <w:pPr>
              <w:jc w:val="right"/>
              <w:ind w:right="68"/>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27</w:t>
            </w:r>
          </w:p>
        </w:tc>
        <w:tc>
          <w:tcPr>
            <w:tcW w:w="220" w:type="dxa"/>
            <w:vAlign w:val="bottom"/>
          </w:tcPr>
          <w:p>
            <w:pPr>
              <w:spacing w:after="0"/>
              <w:rPr>
                <w:sz w:val="18"/>
                <w:szCs w:val="18"/>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(83)</w:t>
            </w:r>
          </w:p>
        </w:tc>
        <w:tc>
          <w:tcPr>
            <w:tcW w:w="42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50</w:t>
            </w:r>
          </w:p>
        </w:tc>
        <w:tc>
          <w:tcPr>
            <w:tcW w:w="220" w:type="dxa"/>
            <w:vAlign w:val="bottom"/>
          </w:tcPr>
          <w:p>
            <w:pPr>
              <w:spacing w:after="0"/>
              <w:rPr>
                <w:sz w:val="18"/>
                <w:szCs w:val="18"/>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40" w:type="dxa"/>
            <w:vAlign w:val="bottom"/>
            <w:gridSpan w:val="2"/>
          </w:tcPr>
          <w:p>
            <w:pPr>
              <w:spacing w:after="0" w:line="199" w:lineRule="exact"/>
              <w:rPr>
                <w:sz w:val="20"/>
                <w:szCs w:val="20"/>
                <w:color w:val="auto"/>
              </w:rPr>
            </w:pPr>
            <w:r>
              <w:rPr>
                <w:rFonts w:ascii="Arial" w:cs="Arial" w:eastAsia="Arial" w:hAnsi="Arial"/>
                <w:sz w:val="15"/>
                <w:szCs w:val="15"/>
                <w:color w:val="auto"/>
              </w:rPr>
              <w:t>Diluted earnings per common share</w:t>
            </w:r>
            <w:r>
              <w:rPr>
                <w:rFonts w:ascii="Arial" w:cs="Arial" w:eastAsia="Arial" w:hAnsi="Arial"/>
                <w:sz w:val="21"/>
                <w:szCs w:val="21"/>
                <w:color w:val="auto"/>
                <w:vertAlign w:val="superscript"/>
              </w:rPr>
              <w:t>(1)</w:t>
            </w:r>
          </w:p>
        </w:tc>
        <w:tc>
          <w:tcPr>
            <w:tcW w:w="300" w:type="dxa"/>
            <w:vAlign w:val="bottom"/>
            <w:gridSpan w:val="2"/>
          </w:tcPr>
          <w:p>
            <w:pPr>
              <w:jc w:val="right"/>
              <w:ind w:right="68"/>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.03</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.29</w:t>
            </w:r>
          </w:p>
        </w:tc>
        <w:tc>
          <w:tcPr>
            <w:tcW w:w="220" w:type="dxa"/>
            <w:vAlign w:val="bottom"/>
          </w:tcPr>
          <w:p>
            <w:pPr>
              <w:spacing w:after="0"/>
              <w:rPr>
                <w:sz w:val="17"/>
                <w:szCs w:val="17"/>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(.84)</w:t>
            </w:r>
          </w:p>
        </w:tc>
        <w:tc>
          <w:tcPr>
            <w:tcW w:w="42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.52</w:t>
            </w:r>
          </w:p>
        </w:tc>
        <w:tc>
          <w:tcPr>
            <w:tcW w:w="220" w:type="dxa"/>
            <w:vAlign w:val="bottom"/>
          </w:tcPr>
          <w:p>
            <w:pPr>
              <w:spacing w:after="0"/>
              <w:rPr>
                <w:sz w:val="17"/>
                <w:szCs w:val="17"/>
                <w:color w:val="auto"/>
              </w:rPr>
            </w:pPr>
          </w:p>
        </w:tc>
        <w:tc>
          <w:tcPr>
            <w:tcW w:w="340" w:type="dxa"/>
            <w:vAlign w:val="bottom"/>
            <w:gridSpan w:val="2"/>
          </w:tcPr>
          <w:p>
            <w:pPr>
              <w:jc w:val="right"/>
              <w:ind w:right="68"/>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tcPr>
          <w:p>
            <w:pPr>
              <w:spacing w:after="0" w:line="162" w:lineRule="exact"/>
              <w:rPr>
                <w:sz w:val="20"/>
                <w:szCs w:val="20"/>
                <w:color w:val="auto"/>
              </w:rPr>
            </w:pPr>
            <w:r>
              <w:rPr>
                <w:rFonts w:ascii="Arial" w:cs="Arial" w:eastAsia="Arial" w:hAnsi="Arial"/>
                <w:sz w:val="15"/>
                <w:szCs w:val="15"/>
                <w:color w:val="auto"/>
              </w:rPr>
              <w:t>Weighted average shares used to compute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40" w:type="dxa"/>
            <w:vAlign w:val="bottom"/>
            <w:gridSpan w:val="2"/>
          </w:tcPr>
          <w:p>
            <w:pPr>
              <w:ind w:left="100"/>
              <w:spacing w:after="0"/>
              <w:rPr>
                <w:sz w:val="20"/>
                <w:szCs w:val="20"/>
                <w:color w:val="auto"/>
              </w:rPr>
            </w:pPr>
            <w:r>
              <w:rPr>
                <w:rFonts w:ascii="Arial" w:cs="Arial" w:eastAsia="Arial" w:hAnsi="Arial"/>
                <w:sz w:val="15"/>
                <w:szCs w:val="15"/>
                <w:color w:val="auto"/>
              </w:rPr>
              <w:t>diluted earnings per share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gridSpan w:val="2"/>
            <w:shd w:val="clear" w:color="auto" w:fill="CFF0FC"/>
          </w:tcPr>
          <w:p>
            <w:pPr>
              <w:spacing w:after="0" w:line="145" w:lineRule="exact"/>
              <w:rPr>
                <w:sz w:val="20"/>
                <w:szCs w:val="20"/>
                <w:color w:val="auto"/>
              </w:rPr>
            </w:pPr>
            <w:r>
              <w:rPr>
                <w:rFonts w:ascii="Arial" w:cs="Arial" w:eastAsia="Arial" w:hAnsi="Arial"/>
                <w:sz w:val="15"/>
                <w:szCs w:val="15"/>
                <w:color w:val="auto"/>
              </w:rPr>
              <w:t>Net interest margin, Consumer Lending</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4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segment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2.26%</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2.39%</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2.27%</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gridSpan w:val="2"/>
          </w:tcPr>
          <w:p>
            <w:pPr>
              <w:spacing w:after="0" w:line="145" w:lineRule="exact"/>
              <w:rPr>
                <w:sz w:val="20"/>
                <w:szCs w:val="20"/>
                <w:color w:val="auto"/>
              </w:rPr>
            </w:pPr>
            <w:r>
              <w:rPr>
                <w:rFonts w:ascii="Arial" w:cs="Arial" w:eastAsia="Arial" w:hAnsi="Arial"/>
                <w:sz w:val="15"/>
                <w:szCs w:val="15"/>
                <w:color w:val="auto"/>
              </w:rPr>
              <w:t>Net interest margin, Federal Education Loans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40" w:type="dxa"/>
            <w:vAlign w:val="bottom"/>
            <w:gridSpan w:val="2"/>
          </w:tcPr>
          <w:p>
            <w:pPr>
              <w:ind w:left="100"/>
              <w:spacing w:after="0"/>
              <w:rPr>
                <w:sz w:val="20"/>
                <w:szCs w:val="20"/>
                <w:color w:val="auto"/>
              </w:rPr>
            </w:pPr>
            <w:r>
              <w:rPr>
                <w:rFonts w:ascii="Arial" w:cs="Arial" w:eastAsia="Arial" w:hAnsi="Arial"/>
                <w:sz w:val="15"/>
                <w:szCs w:val="15"/>
                <w:color w:val="auto"/>
              </w:rPr>
              <w:t>segment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.69%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.68%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.84%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Return on assets</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5"/>
                <w:szCs w:val="15"/>
                <w:color w:val="auto"/>
              </w:rPr>
              <w:t>.03%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line="162" w:lineRule="exact"/>
              <w:rPr>
                <w:sz w:val="20"/>
                <w:szCs w:val="20"/>
                <w:color w:val="auto"/>
              </w:rPr>
            </w:pPr>
            <w:r>
              <w:rPr>
                <w:rFonts w:ascii="Arial" w:cs="Arial" w:eastAsia="Arial" w:hAnsi="Arial"/>
                <w:sz w:val="15"/>
                <w:szCs w:val="15"/>
                <w:color w:val="auto"/>
              </w:rPr>
              <w:t>.24%</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(.69)%</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line="162" w:lineRule="exact"/>
              <w:rPr>
                <w:sz w:val="20"/>
                <w:szCs w:val="20"/>
                <w:color w:val="auto"/>
              </w:rPr>
            </w:pPr>
            <w:r>
              <w:rPr>
                <w:rFonts w:ascii="Arial" w:cs="Arial" w:eastAsia="Arial" w:hAnsi="Arial"/>
                <w:sz w:val="15"/>
                <w:szCs w:val="15"/>
                <w:color w:val="auto"/>
              </w:rPr>
              <w:t>.15%</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4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Education Loan Portfolios</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tcPr>
          <w:p>
            <w:pPr>
              <w:spacing w:after="0" w:line="162" w:lineRule="exact"/>
              <w:rPr>
                <w:sz w:val="20"/>
                <w:szCs w:val="20"/>
                <w:color w:val="auto"/>
              </w:rPr>
            </w:pPr>
            <w:r>
              <w:rPr>
                <w:rFonts w:ascii="Arial" w:cs="Arial" w:eastAsia="Arial" w:hAnsi="Arial"/>
                <w:sz w:val="15"/>
                <w:szCs w:val="15"/>
                <w:color w:val="auto"/>
              </w:rPr>
              <w:t>Ending Private Education Loans, net</w:t>
            </w:r>
          </w:p>
        </w:tc>
        <w:tc>
          <w:tcPr>
            <w:tcW w:w="300" w:type="dxa"/>
            <w:vAlign w:val="bottom"/>
            <w:gridSpan w:val="2"/>
          </w:tcPr>
          <w:p>
            <w:pPr>
              <w:jc w:val="right"/>
              <w:ind w:right="68"/>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15,254</w:t>
            </w:r>
          </w:p>
        </w:tc>
        <w:tc>
          <w:tcPr>
            <w:tcW w:w="200" w:type="dxa"/>
            <w:vAlign w:val="bottom"/>
          </w:tcPr>
          <w:p>
            <w:pPr>
              <w:spacing w:after="0"/>
              <w:rPr>
                <w:sz w:val="14"/>
                <w:szCs w:val="14"/>
                <w:color w:val="auto"/>
              </w:rPr>
            </w:pPr>
          </w:p>
        </w:tc>
        <w:tc>
          <w:tcPr>
            <w:tcW w:w="2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15,674</w:t>
            </w:r>
          </w:p>
        </w:tc>
        <w:tc>
          <w:tcPr>
            <w:tcW w:w="220" w:type="dxa"/>
            <w:vAlign w:val="bottom"/>
          </w:tcPr>
          <w:p>
            <w:pPr>
              <w:spacing w:after="0"/>
              <w:rPr>
                <w:sz w:val="14"/>
                <w:szCs w:val="14"/>
                <w:color w:val="auto"/>
              </w:rPr>
            </w:pPr>
          </w:p>
        </w:tc>
        <w:tc>
          <w:tcPr>
            <w:tcW w:w="340" w:type="dxa"/>
            <w:vAlign w:val="bottom"/>
            <w:gridSpan w:val="2"/>
          </w:tcPr>
          <w:p>
            <w:pPr>
              <w:jc w:val="right"/>
              <w:ind w:right="68"/>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15,456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15,254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15,456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Ending FFELP Loans, net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25,898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26,575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28,952</w:t>
            </w:r>
          </w:p>
        </w:tc>
        <w:tc>
          <w:tcPr>
            <w:tcW w:w="2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88"/>
              <w:spacing w:after="0" w:line="162" w:lineRule="exact"/>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25,898</w:t>
            </w:r>
          </w:p>
        </w:tc>
        <w:tc>
          <w:tcPr>
            <w:tcW w:w="2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8"/>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28,952</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60" w:type="dxa"/>
            <w:vAlign w:val="bottom"/>
            <w:gridSpan w:val="3"/>
          </w:tcPr>
          <w:p>
            <w:pPr>
              <w:spacing w:after="0" w:line="156" w:lineRule="exact"/>
              <w:rPr>
                <w:sz w:val="20"/>
                <w:szCs w:val="20"/>
                <w:color w:val="auto"/>
              </w:rPr>
            </w:pPr>
            <w:r>
              <w:rPr>
                <w:rFonts w:ascii="Arial" w:cs="Arial" w:eastAsia="Arial" w:hAnsi="Arial"/>
                <w:sz w:val="15"/>
                <w:szCs w:val="15"/>
                <w:color w:val="auto"/>
              </w:rPr>
              <w:t>Ending total education loans, net</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41,152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42,249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44,408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41,152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color w:val="auto"/>
              </w:rPr>
              <w:t>44,408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140" w:type="dxa"/>
            <w:vAlign w:val="bottom"/>
            <w:gridSpan w:val="2"/>
            <w:shd w:val="clear" w:color="auto" w:fill="CFF0FC"/>
          </w:tcPr>
          <w:p>
            <w:pPr>
              <w:spacing w:after="0" w:line="143" w:lineRule="exact"/>
              <w:rPr>
                <w:sz w:val="20"/>
                <w:szCs w:val="20"/>
                <w:color w:val="auto"/>
              </w:rPr>
            </w:pPr>
            <w:r>
              <w:rPr>
                <w:rFonts w:ascii="Arial" w:cs="Arial" w:eastAsia="Arial" w:hAnsi="Arial"/>
                <w:sz w:val="15"/>
                <w:szCs w:val="15"/>
                <w:color w:val="auto"/>
              </w:rPr>
              <w:t>Average Private Education Loans</w:t>
            </w:r>
          </w:p>
        </w:tc>
        <w:tc>
          <w:tcPr>
            <w:tcW w:w="300" w:type="dxa"/>
            <w:vAlign w:val="bottom"/>
            <w:gridSpan w:val="2"/>
            <w:shd w:val="clear" w:color="auto" w:fill="CFF0FC"/>
          </w:tcPr>
          <w:p>
            <w:pPr>
              <w:jc w:val="right"/>
              <w:ind w:right="68"/>
              <w:spacing w:after="0" w:line="143" w:lineRule="exact"/>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15,980</w:t>
            </w:r>
          </w:p>
        </w:tc>
        <w:tc>
          <w:tcPr>
            <w:tcW w:w="20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15,985</w:t>
            </w:r>
          </w:p>
        </w:tc>
        <w:tc>
          <w:tcPr>
            <w:tcW w:w="22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68"/>
              <w:spacing w:after="0" w:line="143" w:lineRule="exact"/>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15,894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15,974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5"/>
                <w:szCs w:val="15"/>
                <w:color w:val="auto"/>
              </w:rPr>
              <w:t>16,014</w:t>
            </w: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gridSpan w:val="2"/>
          </w:tcPr>
          <w:p>
            <w:pPr>
              <w:spacing w:after="0" w:line="162" w:lineRule="exact"/>
              <w:rPr>
                <w:sz w:val="20"/>
                <w:szCs w:val="20"/>
                <w:color w:val="auto"/>
              </w:rPr>
            </w:pPr>
            <w:r>
              <w:rPr>
                <w:rFonts w:ascii="Arial" w:cs="Arial" w:eastAsia="Arial" w:hAnsi="Arial"/>
                <w:sz w:val="15"/>
                <w:szCs w:val="15"/>
                <w:color w:val="auto"/>
              </w:rPr>
              <w:t>Average FFELP Loans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26,364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5"/>
                <w:szCs w:val="15"/>
                <w:color w:val="auto"/>
              </w:rPr>
              <w:t>27,045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29,641</w:t>
            </w:r>
          </w:p>
        </w:tc>
        <w:tc>
          <w:tcPr>
            <w:tcW w:w="200" w:type="dxa"/>
            <w:vAlign w:val="bottom"/>
          </w:tcPr>
          <w:p>
            <w:pPr>
              <w:spacing w:after="0"/>
              <w:rPr>
                <w:sz w:val="14"/>
                <w:szCs w:val="14"/>
                <w:color w:val="auto"/>
              </w:rPr>
            </w:pPr>
          </w:p>
        </w:tc>
        <w:tc>
          <w:tcPr>
            <w:tcW w:w="420" w:type="dxa"/>
            <w:vAlign w:val="bottom"/>
            <w:gridSpan w:val="2"/>
          </w:tcPr>
          <w:p>
            <w:pPr>
              <w:jc w:val="right"/>
              <w:ind w:right="88"/>
              <w:spacing w:after="0" w:line="162"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27,097</w:t>
            </w:r>
          </w:p>
        </w:tc>
        <w:tc>
          <w:tcPr>
            <w:tcW w:w="220" w:type="dxa"/>
            <w:vAlign w:val="bottom"/>
          </w:tcPr>
          <w:p>
            <w:pPr>
              <w:spacing w:after="0"/>
              <w:rPr>
                <w:sz w:val="14"/>
                <w:szCs w:val="14"/>
                <w:color w:val="auto"/>
              </w:rPr>
            </w:pPr>
          </w:p>
        </w:tc>
        <w:tc>
          <w:tcPr>
            <w:tcW w:w="340" w:type="dxa"/>
            <w:vAlign w:val="bottom"/>
            <w:gridSpan w:val="2"/>
          </w:tcPr>
          <w:p>
            <w:pPr>
              <w:jc w:val="right"/>
              <w:ind w:right="68"/>
              <w:spacing w:after="0" w:line="162"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30,289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3140" w:type="dxa"/>
            <w:vAlign w:val="bottom"/>
            <w:tcBorders>
              <w:bottom w:val="single" w:sz="8" w:color="CFF0FC"/>
            </w:tcBorders>
            <w:gridSpan w:val="2"/>
            <w:shd w:val="clear" w:color="auto" w:fill="CFF0FC"/>
          </w:tcPr>
          <w:p>
            <w:pPr>
              <w:spacing w:after="0" w:line="156" w:lineRule="exact"/>
              <w:rPr>
                <w:sz w:val="20"/>
                <w:szCs w:val="20"/>
                <w:color w:val="auto"/>
              </w:rPr>
            </w:pPr>
            <w:r>
              <w:rPr>
                <w:rFonts w:ascii="Arial" w:cs="Arial" w:eastAsia="Arial" w:hAnsi="Arial"/>
                <w:sz w:val="15"/>
                <w:szCs w:val="15"/>
                <w:color w:val="auto"/>
              </w:rPr>
              <w:t>Average total education loans</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42,344</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43,030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45,535</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8"/>
              <w:spacing w:after="0" w:line="142"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43,071</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5"/>
                <w:szCs w:val="15"/>
                <w:color w:val="auto"/>
              </w:rPr>
              <w:t>46,303</w:t>
            </w:r>
          </w:p>
        </w:tc>
        <w:tc>
          <w:tcPr>
            <w:tcW w:w="2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-1971040</wp:posOffset>
            </wp:positionV>
            <wp:extent cx="6412230"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1200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-1731010</wp:posOffset>
            </wp:positionV>
            <wp:extent cx="641223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12001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-479425</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-479425</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-479425</wp:posOffset>
            </wp:positionV>
            <wp:extent cx="1289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5398770</wp:posOffset>
            </wp:positionH>
            <wp:positionV relativeFrom="paragraph">
              <wp:posOffset>-479425</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-479425</wp:posOffset>
            </wp:positionV>
            <wp:extent cx="128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-25400</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-7620</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-25400</wp:posOffset>
            </wp:positionV>
            <wp:extent cx="102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3607435</wp:posOffset>
            </wp:positionH>
            <wp:positionV relativeFrom="paragraph">
              <wp:posOffset>-7620</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-25400</wp:posOffset>
            </wp:positionV>
            <wp:extent cx="128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-7620</wp:posOffset>
            </wp:positionV>
            <wp:extent cx="1289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5398770</wp:posOffset>
            </wp:positionH>
            <wp:positionV relativeFrom="paragraph">
              <wp:posOffset>-25400</wp:posOffset>
            </wp:positionV>
            <wp:extent cx="102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5398770</wp:posOffset>
            </wp:positionH>
            <wp:positionV relativeFrom="paragraph">
              <wp:posOffset>-7620</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-25400</wp:posOffset>
            </wp:positionV>
            <wp:extent cx="1289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6290310</wp:posOffset>
            </wp:positionH>
            <wp:positionV relativeFrom="paragraph">
              <wp:posOffset>-7620</wp:posOffset>
            </wp:positionV>
            <wp:extent cx="128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111125</wp:posOffset>
            </wp:positionV>
            <wp:extent cx="9855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186" w:lineRule="exact"/>
        <w:rPr>
          <w:sz w:val="20"/>
          <w:szCs w:val="20"/>
          <w:color w:val="auto"/>
        </w:rPr>
      </w:pPr>
    </w:p>
    <w:p>
      <w:pPr>
        <w:ind w:left="365" w:hanging="365"/>
        <w:spacing w:after="0"/>
        <w:tabs>
          <w:tab w:leader="none" w:pos="365"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Item is a non-GAAP financial measure. For a description and reconciliation, see “Non-GAAP Financial Measures” on pages 18 – 28.</w:t>
      </w:r>
    </w:p>
    <w:p>
      <w:pPr>
        <w:spacing w:after="0" w:line="200" w:lineRule="exact"/>
        <w:rPr>
          <w:sz w:val="20"/>
          <w:szCs w:val="20"/>
          <w:color w:val="auto"/>
        </w:rPr>
      </w:pPr>
    </w:p>
    <w:p>
      <w:pPr>
        <w:spacing w:after="0" w:line="320" w:lineRule="exact"/>
        <w:rPr>
          <w:sz w:val="20"/>
          <w:szCs w:val="20"/>
          <w:color w:val="auto"/>
        </w:rPr>
      </w:pPr>
    </w:p>
    <w:p>
      <w:pPr>
        <w:ind w:left="10025"/>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494030</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1025" w:right="1099" w:bottom="1440" w:gutter="0" w:footer="0" w:header="0"/>
        </w:sectPr>
      </w:pPr>
    </w:p>
    <w:bookmarkStart w:id="10" w:name="page11"/>
    <w:bookmarkEnd w:id="10"/>
    <w:p>
      <w:pPr>
        <w:ind w:left="38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448310</wp:posOffset>
            </wp:positionH>
            <wp:positionV relativeFrom="page">
              <wp:posOffset>757555</wp:posOffset>
            </wp:positionV>
            <wp:extent cx="6412230" cy="368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2230" cy="368300"/>
                    </a:xfrm>
                    <a:prstGeom prst="rect">
                      <a:avLst/>
                    </a:prstGeom>
                    <a:noFill/>
                  </pic:spPr>
                </pic:pic>
              </a:graphicData>
            </a:graphic>
          </wp:anchor>
        </w:drawing>
        <w:t>RESULTS OF OPERATIONS</w:t>
      </w:r>
    </w:p>
    <w:p>
      <w:pPr>
        <w:spacing w:after="0" w:line="200" w:lineRule="exact"/>
        <w:rPr>
          <w:sz w:val="20"/>
          <w:szCs w:val="20"/>
          <w:color w:val="auto"/>
        </w:rPr>
      </w:pPr>
    </w:p>
    <w:p>
      <w:pPr>
        <w:spacing w:after="0" w:line="224" w:lineRule="exact"/>
        <w:rPr>
          <w:sz w:val="20"/>
          <w:szCs w:val="20"/>
          <w:color w:val="auto"/>
        </w:rPr>
      </w:pPr>
    </w:p>
    <w:p>
      <w:pPr>
        <w:ind w:left="280" w:right="680"/>
        <w:spacing w:after="0" w:line="254" w:lineRule="auto"/>
        <w:rPr>
          <w:sz w:val="20"/>
          <w:szCs w:val="20"/>
          <w:color w:val="auto"/>
        </w:rPr>
      </w:pPr>
      <w:r>
        <w:rPr>
          <w:rFonts w:ascii="Arial" w:cs="Arial" w:eastAsia="Arial" w:hAnsi="Arial"/>
          <w:sz w:val="16"/>
          <w:szCs w:val="16"/>
          <w:color w:val="auto"/>
        </w:rPr>
        <w:t>We present the results of operations below first in accordance with GAAP. Following our discussion of earnings results on a GAAP basis, we present our results on a segment basis. We have three reportable operating segments as of September 30, 2026: Consumer Lending, Federal Education Loans and Other. Prior to the divestiture of our healthcare business in third-quarter 2024 and our government services business in first-quarter 2025, we had a fourth reportable operating segment, Business Processing. Our segments operate in distinct business environments and we manage and evaluate the financial performance of our segments using non-GAAP financial measures we call Core Earnings (see “Non-GAAP Financial Measures — Core Earnings”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107315</wp:posOffset>
            </wp:positionV>
            <wp:extent cx="6412230" cy="368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2230" cy="368935"/>
                    </a:xfrm>
                    <a:prstGeom prst="rect">
                      <a:avLst/>
                    </a:prstGeom>
                    <a:noFill/>
                  </pic:spPr>
                </pic:pic>
              </a:graphicData>
            </a:graphic>
          </wp:anchor>
        </w:drawing>
      </w:r>
    </w:p>
    <w:p>
      <w:pPr>
        <w:spacing w:after="0" w:line="32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FFFFFF"/>
        </w:rPr>
        <w:t>GAAP INCOME STATEMENTS (UNAUDITED)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jc w:val="center"/>
              <w:ind w:right="408"/>
              <w:spacing w:after="0"/>
              <w:rPr>
                <w:sz w:val="20"/>
                <w:szCs w:val="20"/>
                <w:color w:val="auto"/>
              </w:rPr>
            </w:pPr>
            <w:r>
              <w:rPr>
                <w:rFonts w:ascii="Arial" w:cs="Arial" w:eastAsia="Arial" w:hAnsi="Arial"/>
                <w:sz w:val="13"/>
                <w:szCs w:val="13"/>
                <w:b w:val="1"/>
                <w:bCs w:val="1"/>
                <w:color w:val="auto"/>
              </w:rPr>
              <w:t>September 30, 2026</w:t>
            </w:r>
          </w:p>
        </w:tc>
        <w:tc>
          <w:tcPr>
            <w:tcW w:w="100" w:type="dxa"/>
            <w:vAlign w:val="bottom"/>
          </w:tcPr>
          <w:p>
            <w:pPr>
              <w:spacing w:after="0"/>
              <w:rPr>
                <w:sz w:val="13"/>
                <w:szCs w:val="13"/>
                <w:color w:val="auto"/>
              </w:rPr>
            </w:pPr>
          </w:p>
        </w:tc>
        <w:tc>
          <w:tcPr>
            <w:tcW w:w="2340" w:type="dxa"/>
            <w:vAlign w:val="bottom"/>
            <w:gridSpan w:val="6"/>
          </w:tcPr>
          <w:p>
            <w:pPr>
              <w:jc w:val="center"/>
              <w:ind w:right="1000"/>
              <w:spacing w:after="0"/>
              <w:rPr>
                <w:sz w:val="20"/>
                <w:szCs w:val="20"/>
                <w:color w:val="auto"/>
              </w:rPr>
            </w:pPr>
            <w:r>
              <w:rPr>
                <w:rFonts w:ascii="Arial" w:cs="Arial" w:eastAsia="Arial" w:hAnsi="Arial"/>
                <w:sz w:val="13"/>
                <w:szCs w:val="13"/>
                <w:b w:val="1"/>
                <w:bCs w:val="1"/>
                <w:color w:val="auto"/>
              </w:rPr>
              <w:t>September 30, 2026</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vs.</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vs.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228"/>
              <w:spacing w:after="0"/>
              <w:rPr>
                <w:sz w:val="20"/>
                <w:szCs w:val="20"/>
                <w:color w:val="auto"/>
              </w:rPr>
            </w:pPr>
            <w:r>
              <w:rPr>
                <w:rFonts w:ascii="Arial" w:cs="Arial" w:eastAsia="Arial" w:hAnsi="Arial"/>
                <w:sz w:val="13"/>
                <w:szCs w:val="13"/>
                <w:b w:val="1"/>
                <w:bCs w:val="1"/>
                <w:color w:val="auto"/>
              </w:rPr>
              <w:t>June 30, 2026</w:t>
            </w:r>
          </w:p>
        </w:tc>
        <w:tc>
          <w:tcPr>
            <w:tcW w:w="100" w:type="dxa"/>
            <w:vAlign w:val="bottom"/>
          </w:tcPr>
          <w:p>
            <w:pPr>
              <w:spacing w:after="0"/>
              <w:rPr>
                <w:sz w:val="12"/>
                <w:szCs w:val="12"/>
                <w:color w:val="auto"/>
              </w:rPr>
            </w:pPr>
          </w:p>
        </w:tc>
        <w:tc>
          <w:tcPr>
            <w:tcW w:w="2340" w:type="dxa"/>
            <w:vAlign w:val="bottom"/>
            <w:gridSpan w:val="6"/>
          </w:tcPr>
          <w:p>
            <w:pPr>
              <w:jc w:val="center"/>
              <w:ind w:right="840"/>
              <w:spacing w:after="0"/>
              <w:rPr>
                <w:sz w:val="20"/>
                <w:szCs w:val="20"/>
                <w:color w:val="auto"/>
              </w:rPr>
            </w:pPr>
            <w:r>
              <w:rPr>
                <w:rFonts w:ascii="Arial" w:cs="Arial" w:eastAsia="Arial" w:hAnsi="Arial"/>
                <w:sz w:val="13"/>
                <w:szCs w:val="13"/>
                <w:b w:val="1"/>
                <w:bCs w:val="1"/>
                <w:color w:val="auto"/>
              </w:rPr>
              <w:t>September 30, 2025</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vMerge w:val="restart"/>
          </w:tcPr>
          <w:p>
            <w:pPr>
              <w:jc w:val="center"/>
              <w:ind w:right="40"/>
              <w:spacing w:after="0"/>
              <w:rPr>
                <w:sz w:val="20"/>
                <w:szCs w:val="20"/>
                <w:color w:val="auto"/>
              </w:rPr>
            </w:pPr>
            <w:r>
              <w:rPr>
                <w:rFonts w:ascii="Arial" w:cs="Arial" w:eastAsia="Arial" w:hAnsi="Arial"/>
                <w:sz w:val="13"/>
                <w:szCs w:val="13"/>
                <w:b w:val="1"/>
                <w:bCs w:val="1"/>
                <w:color w:val="auto"/>
              </w:rPr>
              <w:t>QUARTERS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left="249"/>
              <w:spacing w:after="0"/>
              <w:rPr>
                <w:sz w:val="20"/>
                <w:szCs w:val="20"/>
                <w:color w:val="auto"/>
              </w:rPr>
            </w:pPr>
            <w:r>
              <w:rPr>
                <w:rFonts w:ascii="Arial" w:cs="Arial" w:eastAsia="Arial" w:hAnsi="Arial"/>
                <w:sz w:val="13"/>
                <w:szCs w:val="13"/>
                <w:b w:val="1"/>
                <w:bCs w:val="1"/>
                <w:color w:val="auto"/>
              </w:rPr>
              <w:t>Increase</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left="269"/>
              <w:spacing w:after="0"/>
              <w:rPr>
                <w:sz w:val="20"/>
                <w:szCs w:val="20"/>
                <w:color w:val="auto"/>
              </w:rPr>
            </w:pPr>
            <w:r>
              <w:rPr>
                <w:rFonts w:ascii="Arial" w:cs="Arial" w:eastAsia="Arial" w:hAnsi="Arial"/>
                <w:sz w:val="13"/>
                <w:szCs w:val="13"/>
                <w:b w:val="1"/>
                <w:bCs w:val="1"/>
                <w:color w:val="auto"/>
              </w:rPr>
              <w:t>Increase</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22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(In millions, except per share</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249"/>
              <w:spacing w:after="0"/>
              <w:rPr>
                <w:sz w:val="20"/>
                <w:szCs w:val="20"/>
                <w:color w:val="auto"/>
              </w:rPr>
            </w:pPr>
            <w:r>
              <w:rPr>
                <w:rFonts w:ascii="Arial" w:cs="Arial" w:eastAsia="Arial" w:hAnsi="Arial"/>
                <w:sz w:val="13"/>
                <w:szCs w:val="13"/>
                <w:b w:val="1"/>
                <w:bCs w:val="1"/>
                <w:color w:val="auto"/>
              </w:rPr>
              <w:t>(Decrease)</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269"/>
              <w:spacing w:after="0"/>
              <w:rPr>
                <w:sz w:val="20"/>
                <w:szCs w:val="20"/>
                <w:color w:val="auto"/>
              </w:rPr>
            </w:pPr>
            <w:r>
              <w:rPr>
                <w:rFonts w:ascii="Arial" w:cs="Arial" w:eastAsia="Arial" w:hAnsi="Arial"/>
                <w:sz w:val="13"/>
                <w:szCs w:val="13"/>
                <w:b w:val="1"/>
                <w:bCs w:val="1"/>
                <w:color w:val="auto"/>
              </w:rPr>
              <w:t>(Decrease)</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220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48"/>
              <w:spacing w:after="0" w:line="12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1900" w:type="dxa"/>
            <w:vAlign w:val="bottom"/>
            <w:tcBorders>
              <w:top w:val="single" w:sz="8" w:color="auto"/>
            </w:tcBorders>
            <w:gridSpan w:val="3"/>
          </w:tcPr>
          <w:p>
            <w:pPr>
              <w:spacing w:after="0" w:line="135" w:lineRule="exact"/>
              <w:rPr>
                <w:sz w:val="20"/>
                <w:szCs w:val="20"/>
                <w:color w:val="auto"/>
              </w:rPr>
            </w:pPr>
            <w:r>
              <w:rPr>
                <w:rFonts w:ascii="Arial" w:cs="Arial" w:eastAsia="Arial" w:hAnsi="Arial"/>
                <w:sz w:val="13"/>
                <w:szCs w:val="13"/>
                <w:b w:val="1"/>
                <w:bCs w:val="1"/>
                <w:color w:val="auto"/>
              </w:rPr>
              <w:t>data)</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368"/>
              <w:spacing w:after="0" w:line="135" w:lineRule="exact"/>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June 30, 2026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ind w:right="348"/>
              <w:spacing w:after="0" w:line="135" w:lineRule="exact"/>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249"/>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jc w:val="right"/>
              <w:ind w:right="248"/>
              <w:spacing w:after="0" w:line="135" w:lineRule="exact"/>
              <w:rPr>
                <w:sz w:val="20"/>
                <w:szCs w:val="20"/>
                <w:color w:val="auto"/>
              </w:rPr>
            </w:pPr>
            <w:r>
              <w:rPr>
                <w:rFonts w:ascii="Arial" w:cs="Arial" w:eastAsia="Arial" w:hAnsi="Arial"/>
                <w:sz w:val="13"/>
                <w:szCs w:val="13"/>
                <w:b w:val="1"/>
                <w:bCs w:val="1"/>
                <w:color w:val="auto"/>
                <w:w w:val="86"/>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229"/>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jc w:val="right"/>
              <w:ind w:right="248"/>
              <w:spacing w:after="0" w:line="13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Private Education Loans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73"/>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93"/>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FFELP Loans</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93"/>
              <w:spacing w:after="0"/>
              <w:rPr>
                <w:sz w:val="20"/>
                <w:szCs w:val="20"/>
                <w:color w:val="auto"/>
              </w:rPr>
            </w:pPr>
            <w:r>
              <w:rPr>
                <w:rFonts w:ascii="Arial" w:cs="Arial" w:eastAsia="Arial" w:hAnsi="Arial"/>
                <w:sz w:val="14"/>
                <w:szCs w:val="14"/>
                <w:color w:val="auto"/>
              </w:rPr>
              <w:t>(103)</w:t>
            </w:r>
          </w:p>
        </w:tc>
        <w:tc>
          <w:tcPr>
            <w:tcW w:w="2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Personal Loans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Cash and investments</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(1)</w:t>
            </w:r>
          </w:p>
        </w:tc>
        <w:tc>
          <w:tcPr>
            <w:tcW w:w="3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93"/>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(19)</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180" w:type="dxa"/>
            <w:vAlign w:val="bottom"/>
            <w:gridSpan w:val="3"/>
          </w:tcPr>
          <w:p>
            <w:pPr>
              <w:spacing w:after="0" w:line="155" w:lineRule="exact"/>
              <w:rPr>
                <w:sz w:val="20"/>
                <w:szCs w:val="20"/>
                <w:color w:val="auto"/>
              </w:rPr>
            </w:pPr>
            <w:r>
              <w:rPr>
                <w:rFonts w:ascii="Arial" w:cs="Arial" w:eastAsia="Arial" w:hAnsi="Arial"/>
                <w:sz w:val="14"/>
                <w:szCs w:val="14"/>
                <w:color w:val="auto"/>
              </w:rPr>
              <w:t>Total interest income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669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682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781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73"/>
              <w:spacing w:after="0" w:line="155"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3"/>
                <w:szCs w:val="13"/>
                <w:color w:val="auto"/>
              </w:rPr>
            </w:pPr>
          </w:p>
        </w:tc>
        <w:tc>
          <w:tcPr>
            <w:tcW w:w="740" w:type="dxa"/>
            <w:vAlign w:val="bottom"/>
            <w:gridSpan w:val="2"/>
          </w:tcPr>
          <w:p>
            <w:pPr>
              <w:jc w:val="right"/>
              <w:ind w:right="188"/>
              <w:spacing w:after="0" w:line="155"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760" w:type="dxa"/>
            <w:vAlign w:val="bottom"/>
            <w:gridSpan w:val="2"/>
          </w:tcPr>
          <w:p>
            <w:pPr>
              <w:jc w:val="right"/>
              <w:ind w:right="93"/>
              <w:spacing w:after="0" w:line="155" w:lineRule="exact"/>
              <w:rPr>
                <w:sz w:val="20"/>
                <w:szCs w:val="20"/>
                <w:color w:val="auto"/>
              </w:rPr>
            </w:pPr>
            <w:r>
              <w:rPr>
                <w:rFonts w:ascii="Arial" w:cs="Arial" w:eastAsia="Arial" w:hAnsi="Arial"/>
                <w:sz w:val="14"/>
                <w:szCs w:val="14"/>
                <w:color w:val="auto"/>
              </w:rPr>
              <w:t>(112)</w:t>
            </w:r>
          </w:p>
        </w:tc>
        <w:tc>
          <w:tcPr>
            <w:tcW w:w="280" w:type="dxa"/>
            <w:vAlign w:val="bottom"/>
          </w:tcPr>
          <w:p>
            <w:pPr>
              <w:spacing w:after="0"/>
              <w:rPr>
                <w:sz w:val="13"/>
                <w:szCs w:val="13"/>
                <w:color w:val="auto"/>
              </w:rPr>
            </w:pPr>
          </w:p>
        </w:tc>
        <w:tc>
          <w:tcPr>
            <w:tcW w:w="6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(14)</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Total interest expense</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(6)</w:t>
            </w:r>
          </w:p>
        </w:tc>
        <w:tc>
          <w:tcPr>
            <w:tcW w:w="3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93"/>
              <w:spacing w:after="0"/>
              <w:rPr>
                <w:sz w:val="20"/>
                <w:szCs w:val="20"/>
                <w:color w:val="auto"/>
              </w:rPr>
            </w:pPr>
            <w:r>
              <w:rPr>
                <w:rFonts w:ascii="Arial" w:cs="Arial" w:eastAsia="Arial" w:hAnsi="Arial"/>
                <w:sz w:val="14"/>
                <w:szCs w:val="14"/>
                <w:color w:val="auto"/>
              </w:rPr>
              <w:t>(85)</w:t>
            </w:r>
          </w:p>
        </w:tc>
        <w:tc>
          <w:tcPr>
            <w:tcW w:w="2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180" w:type="dxa"/>
            <w:vAlign w:val="bottom"/>
            <w:gridSpan w:val="3"/>
          </w:tcPr>
          <w:p>
            <w:pPr>
              <w:spacing w:after="0" w:line="155" w:lineRule="exact"/>
              <w:rPr>
                <w:sz w:val="20"/>
                <w:szCs w:val="20"/>
                <w:color w:val="auto"/>
              </w:rPr>
            </w:pPr>
            <w:r>
              <w:rPr>
                <w:rFonts w:ascii="Arial" w:cs="Arial" w:eastAsia="Arial" w:hAnsi="Arial"/>
                <w:sz w:val="14"/>
                <w:szCs w:val="14"/>
                <w:color w:val="auto"/>
              </w:rPr>
              <w:t>Net interest income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142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73"/>
              <w:spacing w:after="0" w:line="155"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3"/>
                <w:szCs w:val="13"/>
                <w:color w:val="auto"/>
              </w:rPr>
            </w:pPr>
          </w:p>
        </w:tc>
        <w:tc>
          <w:tcPr>
            <w:tcW w:w="740" w:type="dxa"/>
            <w:vAlign w:val="bottom"/>
            <w:gridSpan w:val="2"/>
          </w:tcPr>
          <w:p>
            <w:pPr>
              <w:jc w:val="right"/>
              <w:ind w:right="188"/>
              <w:spacing w:after="0" w:line="155"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760" w:type="dxa"/>
            <w:vAlign w:val="bottom"/>
            <w:gridSpan w:val="2"/>
          </w:tcPr>
          <w:p>
            <w:pPr>
              <w:jc w:val="right"/>
              <w:ind w:right="93"/>
              <w:spacing w:after="0" w:line="155" w:lineRule="exact"/>
              <w:rPr>
                <w:sz w:val="20"/>
                <w:szCs w:val="20"/>
                <w:color w:val="auto"/>
              </w:rPr>
            </w:pPr>
            <w:r>
              <w:rPr>
                <w:rFonts w:ascii="Arial" w:cs="Arial" w:eastAsia="Arial" w:hAnsi="Arial"/>
                <w:sz w:val="14"/>
                <w:szCs w:val="14"/>
                <w:color w:val="auto"/>
              </w:rPr>
              <w:t>(27)</w:t>
            </w:r>
          </w:p>
        </w:tc>
        <w:tc>
          <w:tcPr>
            <w:tcW w:w="280" w:type="dxa"/>
            <w:vAlign w:val="bottom"/>
          </w:tcPr>
          <w:p>
            <w:pPr>
              <w:spacing w:after="0"/>
              <w:rPr>
                <w:sz w:val="13"/>
                <w:szCs w:val="13"/>
                <w:color w:val="auto"/>
              </w:rPr>
            </w:pPr>
          </w:p>
        </w:tc>
        <w:tc>
          <w:tcPr>
            <w:tcW w:w="6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(19)</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Less: provisions for loan losses</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w:t>
            </w:r>
          </w:p>
        </w:tc>
        <w:tc>
          <w:tcPr>
            <w:tcW w:w="1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w:t>
            </w:r>
          </w:p>
        </w:tc>
        <w:tc>
          <w:tcPr>
            <w:tcW w:w="30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2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80" w:type="dxa"/>
            <w:vAlign w:val="bottom"/>
            <w:tcBorders>
              <w:bottom w:val="single" w:sz="8" w:color="CFF0FC"/>
            </w:tcBorders>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3"/>
          </w:tcPr>
          <w:p>
            <w:pPr>
              <w:spacing w:after="0" w:line="147" w:lineRule="exact"/>
              <w:rPr>
                <w:sz w:val="20"/>
                <w:szCs w:val="20"/>
                <w:color w:val="auto"/>
              </w:rPr>
            </w:pPr>
            <w:r>
              <w:rPr>
                <w:rFonts w:ascii="Arial" w:cs="Arial" w:eastAsia="Arial" w:hAnsi="Arial"/>
                <w:sz w:val="14"/>
                <w:szCs w:val="14"/>
                <w:color w:val="auto"/>
              </w:rPr>
              <w:t>Net interest income (loss) after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ind w:left="100"/>
              <w:spacing w:after="0"/>
              <w:rPr>
                <w:sz w:val="20"/>
                <w:szCs w:val="20"/>
                <w:color w:val="auto"/>
              </w:rPr>
            </w:pPr>
            <w:r>
              <w:rPr>
                <w:rFonts w:ascii="Arial" w:cs="Arial" w:eastAsia="Arial" w:hAnsi="Arial"/>
                <w:sz w:val="14"/>
                <w:szCs w:val="14"/>
                <w:color w:val="auto"/>
              </w:rPr>
              <w:t>provisions for loan losses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73"/>
              <w:spacing w:after="0"/>
              <w:rPr>
                <w:sz w:val="20"/>
                <w:szCs w:val="20"/>
                <w:color w:val="auto"/>
              </w:rPr>
            </w:pPr>
            <w:r>
              <w:rPr>
                <w:rFonts w:ascii="Arial" w:cs="Arial" w:eastAsia="Arial" w:hAnsi="Arial"/>
                <w:sz w:val="14"/>
                <w:szCs w:val="14"/>
                <w:color w:val="auto"/>
              </w:rPr>
              <w:t>(208)</w:t>
            </w:r>
          </w:p>
        </w:tc>
        <w:tc>
          <w:tcPr>
            <w:tcW w:w="30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4"/>
                <w:szCs w:val="14"/>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4"/>
                <w:szCs w:val="14"/>
                <w:color w:val="auto"/>
              </w:rPr>
              <w:t>(86)</w:t>
            </w:r>
          </w:p>
        </w:tc>
        <w:tc>
          <w:tcPr>
            <w:tcW w:w="2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(331)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Other income (loss):</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3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Servicing revenue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(23)</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(15)</w:t>
            </w:r>
          </w:p>
        </w:tc>
        <w:tc>
          <w:tcPr>
            <w:tcW w:w="3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93"/>
              <w:spacing w:after="0"/>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Gains on sales of loans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Net fair value changes of loans</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tcPr>
          <w:p>
            <w:pPr>
              <w:ind w:left="80"/>
              <w:spacing w:after="0" w:line="153" w:lineRule="exact"/>
              <w:rPr>
                <w:sz w:val="20"/>
                <w:szCs w:val="20"/>
                <w:color w:val="auto"/>
              </w:rPr>
            </w:pPr>
            <w:r>
              <w:rPr>
                <w:rFonts w:ascii="Arial" w:cs="Arial" w:eastAsia="Arial" w:hAnsi="Arial"/>
                <w:sz w:val="14"/>
                <w:szCs w:val="14"/>
                <w:color w:val="auto"/>
              </w:rPr>
              <w:t>Gains (losses) on derivative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225</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tcPr>
          <w:p>
            <w:pPr>
              <w:ind w:left="240"/>
              <w:spacing w:after="0" w:line="158" w:lineRule="exact"/>
              <w:rPr>
                <w:sz w:val="20"/>
                <w:szCs w:val="20"/>
                <w:color w:val="auto"/>
              </w:rPr>
            </w:pPr>
            <w:r>
              <w:rPr>
                <w:rFonts w:ascii="Arial" w:cs="Arial" w:eastAsia="Arial" w:hAnsi="Arial"/>
                <w:sz w:val="14"/>
                <w:szCs w:val="14"/>
                <w:color w:val="auto"/>
              </w:rPr>
              <w:t>and hedging activities, net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Total other income</w:t>
            </w:r>
          </w:p>
        </w:tc>
        <w:tc>
          <w:tcPr>
            <w:tcW w:w="14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w:t>
            </w:r>
          </w:p>
        </w:tc>
        <w:tc>
          <w:tcPr>
            <w:tcW w:w="18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621</w:t>
            </w:r>
          </w:p>
        </w:tc>
        <w:tc>
          <w:tcPr>
            <w:tcW w:w="30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183</w:t>
            </w:r>
          </w:p>
        </w:tc>
        <w:tc>
          <w:tcPr>
            <w:tcW w:w="20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963</w:t>
            </w:r>
          </w:p>
        </w:tc>
        <w:tc>
          <w:tcPr>
            <w:tcW w:w="18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(7)</w:t>
            </w:r>
          </w:p>
        </w:tc>
        <w:tc>
          <w:tcPr>
            <w:tcW w:w="3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93"/>
              <w:spacing w:after="0"/>
              <w:rPr>
                <w:sz w:val="20"/>
                <w:szCs w:val="20"/>
                <w:color w:val="auto"/>
              </w:rPr>
            </w:pPr>
            <w:r>
              <w:rPr>
                <w:rFonts w:ascii="Arial" w:cs="Arial" w:eastAsia="Arial" w:hAnsi="Arial"/>
                <w:sz w:val="14"/>
                <w:szCs w:val="14"/>
                <w:color w:val="auto"/>
              </w:rPr>
              <w:t>(30)</w:t>
            </w:r>
          </w:p>
        </w:tc>
        <w:tc>
          <w:tcPr>
            <w:tcW w:w="2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(29)</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tcPr>
          <w:p>
            <w:pPr>
              <w:ind w:left="100"/>
              <w:spacing w:after="0" w:line="153" w:lineRule="exact"/>
              <w:rPr>
                <w:sz w:val="20"/>
                <w:szCs w:val="20"/>
                <w:color w:val="auto"/>
              </w:rPr>
            </w:pPr>
            <w:r>
              <w:rPr>
                <w:rFonts w:ascii="Arial" w:cs="Arial" w:eastAsia="Arial" w:hAnsi="Arial"/>
                <w:sz w:val="14"/>
                <w:szCs w:val="14"/>
                <w:color w:val="auto"/>
              </w:rPr>
              <w:t>Goodwill and acquired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ind w:left="220"/>
              <w:spacing w:after="0"/>
              <w:rPr>
                <w:sz w:val="20"/>
                <w:szCs w:val="20"/>
                <w:color w:val="auto"/>
              </w:rPr>
            </w:pPr>
            <w:r>
              <w:rPr>
                <w:rFonts w:ascii="Arial" w:cs="Arial" w:eastAsia="Arial" w:hAnsi="Arial"/>
                <w:sz w:val="14"/>
                <w:szCs w:val="14"/>
                <w:color w:val="auto"/>
              </w:rPr>
              <w:t>intangible asset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ind w:left="220"/>
              <w:spacing w:after="0"/>
              <w:rPr>
                <w:sz w:val="20"/>
                <w:szCs w:val="20"/>
                <w:color w:val="auto"/>
              </w:rPr>
            </w:pPr>
            <w:r>
              <w:rPr>
                <w:rFonts w:ascii="Arial" w:cs="Arial" w:eastAsia="Arial" w:hAnsi="Arial"/>
                <w:sz w:val="14"/>
                <w:szCs w:val="14"/>
                <w:color w:val="auto"/>
              </w:rPr>
              <w:t>impairment and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ind w:left="220"/>
              <w:spacing w:after="0"/>
              <w:rPr>
                <w:sz w:val="20"/>
                <w:szCs w:val="20"/>
                <w:color w:val="auto"/>
              </w:rPr>
            </w:pPr>
            <w:r>
              <w:rPr>
                <w:rFonts w:ascii="Arial" w:cs="Arial" w:eastAsia="Arial" w:hAnsi="Arial"/>
                <w:sz w:val="14"/>
                <w:szCs w:val="14"/>
                <w:color w:val="auto"/>
              </w:rPr>
              <w:t>amortization expense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93"/>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(100)</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shd w:val="clear" w:color="auto" w:fill="CFF0FC"/>
          </w:tcPr>
          <w:p>
            <w:pPr>
              <w:ind w:left="100"/>
              <w:spacing w:after="0" w:line="153" w:lineRule="exact"/>
              <w:rPr>
                <w:sz w:val="20"/>
                <w:szCs w:val="20"/>
                <w:color w:val="auto"/>
              </w:rPr>
            </w:pPr>
            <w:r>
              <w:rPr>
                <w:rFonts w:ascii="Arial" w:cs="Arial" w:eastAsia="Arial" w:hAnsi="Arial"/>
                <w:sz w:val="14"/>
                <w:szCs w:val="14"/>
                <w:color w:val="auto"/>
              </w:rPr>
              <w:t>Restructuring/other</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vMerge w:val="restart"/>
            <w:shd w:val="clear" w:color="auto" w:fill="CFF0FC"/>
          </w:tcPr>
          <w:p>
            <w:pPr>
              <w:jc w:val="right"/>
              <w:ind w:right="73"/>
              <w:spacing w:after="0"/>
              <w:rPr>
                <w:sz w:val="20"/>
                <w:szCs w:val="20"/>
                <w:color w:val="auto"/>
              </w:rPr>
            </w:pPr>
            <w:r>
              <w:rPr>
                <w:rFonts w:ascii="Arial" w:cs="Arial" w:eastAsia="Arial" w:hAnsi="Arial"/>
                <w:sz w:val="14"/>
                <w:szCs w:val="14"/>
                <w:color w:val="auto"/>
              </w:rPr>
              <w:t>(1)</w:t>
            </w:r>
          </w:p>
        </w:tc>
        <w:tc>
          <w:tcPr>
            <w:tcW w:w="300" w:type="dxa"/>
            <w:vAlign w:val="bottom"/>
            <w:shd w:val="clear" w:color="auto" w:fill="CFF0FC"/>
          </w:tcPr>
          <w:p>
            <w:pPr>
              <w:spacing w:after="0"/>
              <w:rPr>
                <w:sz w:val="13"/>
                <w:szCs w:val="13"/>
                <w:color w:val="auto"/>
              </w:rPr>
            </w:pPr>
          </w:p>
        </w:tc>
        <w:tc>
          <w:tcPr>
            <w:tcW w:w="740" w:type="dxa"/>
            <w:vAlign w:val="bottom"/>
            <w:tcBorders>
              <w:right w:val="single" w:sz="8" w:color="CFF0FC"/>
            </w:tcBorders>
            <w:gridSpan w:val="2"/>
            <w:vMerge w:val="restart"/>
            <w:shd w:val="clear" w:color="auto" w:fill="CFF0FC"/>
          </w:tcPr>
          <w:p>
            <w:pPr>
              <w:jc w:val="right"/>
              <w:ind w:right="18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3"/>
                <w:szCs w:val="13"/>
                <w:color w:val="auto"/>
              </w:rPr>
            </w:pPr>
          </w:p>
        </w:tc>
        <w:tc>
          <w:tcPr>
            <w:tcW w:w="760" w:type="dxa"/>
            <w:vAlign w:val="bottom"/>
            <w:gridSpan w:val="2"/>
            <w:vMerge w:val="restart"/>
            <w:shd w:val="clear" w:color="auto" w:fill="CFF0FC"/>
          </w:tcPr>
          <w:p>
            <w:pPr>
              <w:jc w:val="right"/>
              <w:ind w:right="93"/>
              <w:spacing w:after="0"/>
              <w:rPr>
                <w:sz w:val="20"/>
                <w:szCs w:val="20"/>
                <w:color w:val="auto"/>
              </w:rPr>
            </w:pPr>
            <w:r>
              <w:rPr>
                <w:rFonts w:ascii="Arial" w:cs="Arial" w:eastAsia="Arial" w:hAnsi="Arial"/>
                <w:sz w:val="14"/>
                <w:szCs w:val="14"/>
                <w:color w:val="auto"/>
              </w:rPr>
              <w:t>(2)</w:t>
            </w:r>
          </w:p>
        </w:tc>
        <w:tc>
          <w:tcPr>
            <w:tcW w:w="280" w:type="dxa"/>
            <w:vAlign w:val="bottom"/>
            <w:shd w:val="clear" w:color="auto" w:fill="CFF0FC"/>
          </w:tcPr>
          <w:p>
            <w:pPr>
              <w:spacing w:after="0"/>
              <w:rPr>
                <w:sz w:val="13"/>
                <w:szCs w:val="13"/>
                <w:color w:val="auto"/>
              </w:rPr>
            </w:pPr>
          </w:p>
        </w:tc>
        <w:tc>
          <w:tcPr>
            <w:tcW w:w="6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(50)</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shd w:val="clear" w:color="auto" w:fill="CFF0FC"/>
          </w:tcPr>
          <w:p>
            <w:pPr>
              <w:ind w:left="220"/>
              <w:spacing w:after="0" w:line="158" w:lineRule="exact"/>
              <w:rPr>
                <w:sz w:val="20"/>
                <w:szCs w:val="20"/>
                <w:color w:val="auto"/>
              </w:rPr>
            </w:pPr>
            <w:r>
              <w:rPr>
                <w:rFonts w:ascii="Arial" w:cs="Arial" w:eastAsia="Arial" w:hAnsi="Arial"/>
                <w:sz w:val="14"/>
                <w:szCs w:val="14"/>
                <w:color w:val="auto"/>
              </w:rPr>
              <w:t>reorganization expenses</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40" w:type="dxa"/>
            <w:vAlign w:val="bottom"/>
            <w:tcBorders>
              <w:right w:val="single" w:sz="8" w:color="CFF0FC"/>
            </w:tcBorders>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180" w:type="dxa"/>
            <w:vAlign w:val="bottom"/>
            <w:gridSpan w:val="3"/>
          </w:tcPr>
          <w:p>
            <w:pPr>
              <w:spacing w:after="0" w:line="155" w:lineRule="exact"/>
              <w:rPr>
                <w:sz w:val="20"/>
                <w:szCs w:val="20"/>
                <w:color w:val="auto"/>
              </w:rPr>
            </w:pPr>
            <w:r>
              <w:rPr>
                <w:rFonts w:ascii="Arial" w:cs="Arial" w:eastAsia="Arial" w:hAnsi="Arial"/>
                <w:sz w:val="14"/>
                <w:szCs w:val="14"/>
                <w:color w:val="auto"/>
              </w:rPr>
              <w:t>Total expenses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85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73"/>
              <w:spacing w:after="0" w:line="155" w:lineRule="exact"/>
              <w:rPr>
                <w:sz w:val="20"/>
                <w:szCs w:val="20"/>
                <w:color w:val="auto"/>
              </w:rPr>
            </w:pPr>
            <w:r>
              <w:rPr>
                <w:rFonts w:ascii="Arial" w:cs="Arial" w:eastAsia="Arial" w:hAnsi="Arial"/>
                <w:sz w:val="14"/>
                <w:szCs w:val="14"/>
                <w:color w:val="auto"/>
              </w:rPr>
              <w:t>(8)</w:t>
            </w:r>
          </w:p>
        </w:tc>
        <w:tc>
          <w:tcPr>
            <w:tcW w:w="300" w:type="dxa"/>
            <w:vAlign w:val="bottom"/>
          </w:tcPr>
          <w:p>
            <w:pPr>
              <w:spacing w:after="0"/>
              <w:rPr>
                <w:sz w:val="13"/>
                <w:szCs w:val="13"/>
                <w:color w:val="auto"/>
              </w:rPr>
            </w:pPr>
          </w:p>
        </w:tc>
        <w:tc>
          <w:tcPr>
            <w:tcW w:w="740" w:type="dxa"/>
            <w:vAlign w:val="bottom"/>
            <w:gridSpan w:val="2"/>
          </w:tcPr>
          <w:p>
            <w:pPr>
              <w:jc w:val="right"/>
              <w:ind w:right="188"/>
              <w:spacing w:after="0" w:line="155"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3"/>
                <w:szCs w:val="13"/>
                <w:color w:val="auto"/>
              </w:rPr>
            </w:pPr>
          </w:p>
        </w:tc>
        <w:tc>
          <w:tcPr>
            <w:tcW w:w="760" w:type="dxa"/>
            <w:vAlign w:val="bottom"/>
            <w:gridSpan w:val="2"/>
          </w:tcPr>
          <w:p>
            <w:pPr>
              <w:jc w:val="right"/>
              <w:ind w:right="93"/>
              <w:spacing w:after="0" w:line="155" w:lineRule="exact"/>
              <w:rPr>
                <w:sz w:val="20"/>
                <w:szCs w:val="20"/>
                <w:color w:val="auto"/>
              </w:rPr>
            </w:pPr>
            <w:r>
              <w:rPr>
                <w:rFonts w:ascii="Arial" w:cs="Arial" w:eastAsia="Arial" w:hAnsi="Arial"/>
                <w:sz w:val="14"/>
                <w:szCs w:val="14"/>
                <w:color w:val="auto"/>
              </w:rPr>
              <w:t>(33)</w:t>
            </w:r>
          </w:p>
        </w:tc>
        <w:tc>
          <w:tcPr>
            <w:tcW w:w="280" w:type="dxa"/>
            <w:vAlign w:val="bottom"/>
          </w:tcPr>
          <w:p>
            <w:pPr>
              <w:spacing w:after="0"/>
              <w:rPr>
                <w:sz w:val="13"/>
                <w:szCs w:val="13"/>
                <w:color w:val="auto"/>
              </w:rPr>
            </w:pPr>
          </w:p>
        </w:tc>
        <w:tc>
          <w:tcPr>
            <w:tcW w:w="6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(30)</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3"/>
            <w:shd w:val="clear" w:color="auto" w:fill="CFF0FC"/>
          </w:tcPr>
          <w:p>
            <w:pPr>
              <w:spacing w:after="0" w:line="147" w:lineRule="exact"/>
              <w:rPr>
                <w:sz w:val="20"/>
                <w:szCs w:val="20"/>
                <w:color w:val="auto"/>
              </w:rPr>
            </w:pPr>
            <w:r>
              <w:rPr>
                <w:rFonts w:ascii="Arial" w:cs="Arial" w:eastAsia="Arial" w:hAnsi="Arial"/>
                <w:sz w:val="14"/>
                <w:szCs w:val="14"/>
                <w:color w:val="auto"/>
              </w:rPr>
              <w:t>Income (loss) before income tax</w:t>
            </w:r>
          </w:p>
        </w:tc>
        <w:tc>
          <w:tcPr>
            <w:tcW w:w="1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expense</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73"/>
              <w:spacing w:after="0"/>
              <w:rPr>
                <w:sz w:val="20"/>
                <w:szCs w:val="20"/>
                <w:color w:val="auto"/>
              </w:rPr>
            </w:pPr>
            <w:r>
              <w:rPr>
                <w:rFonts w:ascii="Arial" w:cs="Arial" w:eastAsia="Arial" w:hAnsi="Arial"/>
                <w:sz w:val="14"/>
                <w:szCs w:val="14"/>
                <w:color w:val="auto"/>
              </w:rPr>
              <w:t>(26)</w:t>
            </w:r>
          </w:p>
        </w:tc>
        <w:tc>
          <w:tcPr>
            <w:tcW w:w="30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18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color w:val="auto"/>
              </w:rPr>
              <w:t>Income tax expense (benefit)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73"/>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94</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18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(86)</w:t>
            </w: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73"/>
              <w:spacing w:after="0" w:line="155" w:lineRule="exact"/>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5"/>
                <w:szCs w:val="15"/>
                <w:color w:val="auto"/>
              </w:rPr>
            </w:pPr>
          </w:p>
        </w:tc>
        <w:tc>
          <w:tcPr>
            <w:tcW w:w="740" w:type="dxa"/>
            <w:vAlign w:val="bottom"/>
            <w:tcBorders>
              <w:right w:val="single" w:sz="8" w:color="CFF0FC"/>
            </w:tcBorders>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(40)%</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101</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117%</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1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Basic earnings (loss) per</w:t>
            </w:r>
          </w:p>
        </w:tc>
        <w:tc>
          <w:tcPr>
            <w:tcW w:w="14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gridSpan w:val="3"/>
          </w:tcPr>
          <w:p>
            <w:pPr>
              <w:ind w:left="100"/>
              <w:spacing w:after="0" w:line="125" w:lineRule="exact"/>
              <w:rPr>
                <w:sz w:val="20"/>
                <w:szCs w:val="20"/>
                <w:color w:val="auto"/>
              </w:rPr>
            </w:pPr>
            <w:r>
              <w:rPr>
                <w:rFonts w:ascii="Arial" w:cs="Arial" w:eastAsia="Arial" w:hAnsi="Arial"/>
                <w:sz w:val="14"/>
                <w:szCs w:val="14"/>
                <w:b w:val="1"/>
                <w:bCs w:val="1"/>
                <w:color w:val="auto"/>
              </w:rPr>
              <w:t>common share</w:t>
            </w:r>
          </w:p>
        </w:tc>
        <w:tc>
          <w:tcPr>
            <w:tcW w:w="1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80" w:type="dxa"/>
            <w:vAlign w:val="bottom"/>
            <w:gridSpan w:val="3"/>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Diluted earnings (loss) per</w:t>
            </w:r>
          </w:p>
        </w:tc>
        <w:tc>
          <w:tcPr>
            <w:tcW w:w="14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300" w:type="dxa"/>
            <w:vAlign w:val="bottom"/>
            <w:tcBorders>
              <w:right w:val="single" w:sz="8" w:color="CFF0FC"/>
            </w:tcBorders>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118%</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3"/>
            <w:shd w:val="clear" w:color="auto" w:fill="CFF0FC"/>
          </w:tcPr>
          <w:p>
            <w:pPr>
              <w:ind w:left="100"/>
              <w:spacing w:after="0" w:line="125" w:lineRule="exact"/>
              <w:rPr>
                <w:sz w:val="20"/>
                <w:szCs w:val="20"/>
                <w:color w:val="auto"/>
              </w:rPr>
            </w:pPr>
            <w:r>
              <w:rPr>
                <w:rFonts w:ascii="Arial" w:cs="Arial" w:eastAsia="Arial" w:hAnsi="Arial"/>
                <w:sz w:val="14"/>
                <w:szCs w:val="14"/>
                <w:b w:val="1"/>
                <w:bCs w:val="1"/>
                <w:color w:val="auto"/>
              </w:rPr>
              <w:t>common share</w:t>
            </w:r>
          </w:p>
        </w:tc>
        <w:tc>
          <w:tcPr>
            <w:tcW w:w="14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0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11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104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40" w:type="dxa"/>
            <w:vAlign w:val="bottom"/>
            <w:vMerge w:val="continue"/>
            <w:shd w:val="clear" w:color="auto" w:fill="CFF0FC"/>
          </w:tcPr>
          <w:p>
            <w:pPr>
              <w:spacing w:after="0"/>
              <w:rPr>
                <w:sz w:val="13"/>
                <w:szCs w:val="13"/>
                <w:color w:val="auto"/>
              </w:rPr>
            </w:pPr>
          </w:p>
        </w:tc>
        <w:tc>
          <w:tcPr>
            <w:tcW w:w="300" w:type="dxa"/>
            <w:vAlign w:val="bottom"/>
            <w:tcBorders>
              <w:right w:val="single" w:sz="8" w:color="CFF0FC"/>
            </w:tcBorders>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1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Dividends per common share</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1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3"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500"/>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8"/>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500"/>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-4139565</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-4139565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-4139565</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-4139565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-4139565</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-4139565</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-4139565</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-3925570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-3925570</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-3925570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-3925570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-3925570</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-3925570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-3925570</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-3710940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-3710940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-3710940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-3710940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-3710940</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-3710940</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-3710940</wp:posOffset>
            </wp:positionV>
            <wp:extent cx="1200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-1859280</wp:posOffset>
            </wp:positionV>
            <wp:extent cx="59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-1859280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-1859280</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-1859280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-1859280</wp:posOffset>
            </wp:positionV>
            <wp:extent cx="1200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-1859280</wp:posOffset>
            </wp:positionV>
            <wp:extent cx="59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-1859280</wp:posOffset>
            </wp:positionV>
            <wp:extent cx="1200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-1319530</wp:posOffset>
            </wp:positionV>
            <wp:extent cx="596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-1302385</wp:posOffset>
            </wp:positionV>
            <wp:extent cx="59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-1319530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-1302385</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-1319530</wp:posOffset>
            </wp:positionV>
            <wp:extent cx="596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-1302385</wp:posOffset>
            </wp:positionV>
            <wp:extent cx="596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-1319530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-1302385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-1319530</wp:posOffset>
            </wp:positionV>
            <wp:extent cx="120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-1302385</wp:posOffset>
            </wp:positionV>
            <wp:extent cx="1200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-1319530</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-1302385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-1319530</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-1302385</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-908050</wp:posOffset>
            </wp:positionV>
            <wp:extent cx="596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2384425</wp:posOffset>
            </wp:positionH>
            <wp:positionV relativeFrom="paragraph">
              <wp:posOffset>-890905</wp:posOffset>
            </wp:positionV>
            <wp:extent cx="596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-908050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3284855</wp:posOffset>
            </wp:positionH>
            <wp:positionV relativeFrom="paragraph">
              <wp:posOffset>-890905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-908050</wp:posOffset>
            </wp:positionV>
            <wp:extent cx="59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4133215</wp:posOffset>
            </wp:positionH>
            <wp:positionV relativeFrom="paragraph">
              <wp:posOffset>-890905</wp:posOffset>
            </wp:positionV>
            <wp:extent cx="59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-908050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-890905</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-908050</wp:posOffset>
            </wp:positionV>
            <wp:extent cx="1200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-890905</wp:posOffset>
            </wp:positionV>
            <wp:extent cx="1200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-908050</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-890905</wp:posOffset>
            </wp:positionV>
            <wp:extent cx="59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-908050</wp:posOffset>
            </wp:positionV>
            <wp:extent cx="1200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6473825</wp:posOffset>
            </wp:positionH>
            <wp:positionV relativeFrom="paragraph">
              <wp:posOffset>-890905</wp:posOffset>
            </wp:positionV>
            <wp:extent cx="1200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040"/>
          </w:cols>
          <w:pgMar w:left="420" w:top="1367"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3"/>
          </w:tcPr>
          <w:p>
            <w:pPr>
              <w:jc w:val="center"/>
              <w:ind w:left="449"/>
              <w:spacing w:after="0"/>
              <w:rPr>
                <w:sz w:val="20"/>
                <w:szCs w:val="20"/>
                <w:color w:val="auto"/>
              </w:rPr>
            </w:pPr>
            <w:r>
              <w:rPr>
                <w:rFonts w:ascii="Arial" w:cs="Arial" w:eastAsia="Arial" w:hAnsi="Arial"/>
                <w:sz w:val="13"/>
                <w:szCs w:val="13"/>
                <w:b w:val="1"/>
                <w:bCs w:val="1"/>
                <w:color w:val="auto"/>
              </w:rPr>
              <w:t>Increase</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5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49"/>
              <w:spacing w:after="0"/>
              <w:rPr>
                <w:sz w:val="20"/>
                <w:szCs w:val="20"/>
                <w:color w:val="auto"/>
              </w:rPr>
            </w:pPr>
            <w:r>
              <w:rPr>
                <w:rFonts w:ascii="Arial" w:cs="Arial" w:eastAsia="Arial" w:hAnsi="Arial"/>
                <w:sz w:val="13"/>
                <w:szCs w:val="13"/>
                <w:b w:val="1"/>
                <w:bCs w:val="1"/>
                <w:color w:val="auto"/>
              </w:rPr>
              <w:t>(Decrease)</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29"/>
              <w:spacing w:after="0" w:line="142" w:lineRule="exact"/>
              <w:rPr>
                <w:sz w:val="20"/>
                <w:szCs w:val="20"/>
                <w:color w:val="auto"/>
              </w:rPr>
            </w:pPr>
            <w:r>
              <w:rPr>
                <w:rFonts w:ascii="Arial" w:cs="Arial" w:eastAsia="Arial" w:hAnsi="Arial"/>
                <w:sz w:val="13"/>
                <w:szCs w:val="13"/>
                <w:b w:val="1"/>
                <w:bCs w:val="1"/>
                <w:color w:val="auto"/>
              </w:rPr>
              <w:t>2026</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ind w:right="348"/>
              <w:spacing w:after="0" w:line="142" w:lineRule="exact"/>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ind w:right="509"/>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right"/>
              <w:ind w:right="528"/>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Interest income</w:t>
            </w:r>
          </w:p>
        </w:tc>
        <w:tc>
          <w:tcPr>
            <w:tcW w:w="1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80"/>
              <w:spacing w:after="0"/>
              <w:rPr>
                <w:sz w:val="20"/>
                <w:szCs w:val="20"/>
                <w:color w:val="auto"/>
              </w:rPr>
            </w:pPr>
            <w:r>
              <w:rPr>
                <w:rFonts w:ascii="Arial" w:cs="Arial" w:eastAsia="Arial" w:hAnsi="Arial"/>
                <w:sz w:val="14"/>
                <w:szCs w:val="14"/>
                <w:color w:val="auto"/>
              </w:rPr>
              <w:t>Private Education Loans</w:t>
            </w:r>
          </w:p>
        </w:tc>
        <w:tc>
          <w:tcPr>
            <w:tcW w:w="11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820</w:t>
            </w:r>
          </w:p>
        </w:tc>
        <w:tc>
          <w:tcPr>
            <w:tcW w:w="6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838</w:t>
            </w:r>
          </w:p>
        </w:tc>
        <w:tc>
          <w:tcPr>
            <w:tcW w:w="160" w:type="dxa"/>
            <w:vAlign w:val="bottom"/>
          </w:tcPr>
          <w:p>
            <w:pPr>
              <w:spacing w:after="0"/>
              <w:rPr>
                <w:sz w:val="14"/>
                <w:szCs w:val="14"/>
                <w:color w:val="auto"/>
              </w:rPr>
            </w:pPr>
          </w:p>
        </w:tc>
        <w:tc>
          <w:tcPr>
            <w:tcW w:w="44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(18)</w:t>
            </w:r>
          </w:p>
        </w:tc>
        <w:tc>
          <w:tcPr>
            <w:tcW w:w="40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FFELP Loans</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1,173</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(286)</w:t>
            </w:r>
          </w:p>
        </w:tc>
        <w:tc>
          <w:tcPr>
            <w:tcW w:w="4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80"/>
              <w:spacing w:after="0"/>
              <w:rPr>
                <w:sz w:val="20"/>
                <w:szCs w:val="20"/>
                <w:color w:val="auto"/>
              </w:rPr>
            </w:pPr>
            <w:r>
              <w:rPr>
                <w:rFonts w:ascii="Arial" w:cs="Arial" w:eastAsia="Arial" w:hAnsi="Arial"/>
                <w:sz w:val="14"/>
                <w:szCs w:val="14"/>
                <w:color w:val="auto"/>
              </w:rPr>
              <w:t>Personal Loans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Cash and investments</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w:t>
            </w:r>
          </w:p>
        </w:tc>
        <w:tc>
          <w:tcPr>
            <w:tcW w:w="4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520" w:type="dxa"/>
            <w:vAlign w:val="bottom"/>
            <w:gridSpan w:val="2"/>
          </w:tcPr>
          <w:p>
            <w:pPr>
              <w:spacing w:after="0" w:line="155" w:lineRule="exact"/>
              <w:rPr>
                <w:sz w:val="20"/>
                <w:szCs w:val="20"/>
                <w:color w:val="auto"/>
              </w:rPr>
            </w:pPr>
            <w:r>
              <w:rPr>
                <w:rFonts w:ascii="Arial" w:cs="Arial" w:eastAsia="Arial" w:hAnsi="Arial"/>
                <w:sz w:val="14"/>
                <w:szCs w:val="14"/>
                <w:color w:val="auto"/>
              </w:rPr>
              <w:t>Total interest income</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2,045</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2,361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(316)</w:t>
            </w:r>
          </w:p>
        </w:tc>
        <w:tc>
          <w:tcPr>
            <w:tcW w:w="400" w:type="dxa"/>
            <w:vAlign w:val="bottom"/>
          </w:tcPr>
          <w:p>
            <w:pPr>
              <w:spacing w:after="0"/>
              <w:rPr>
                <w:sz w:val="13"/>
                <w:szCs w:val="13"/>
                <w:color w:val="auto"/>
              </w:rPr>
            </w:pPr>
          </w:p>
        </w:tc>
        <w:tc>
          <w:tcPr>
            <w:tcW w:w="10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interest expense</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1,677</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(284)</w:t>
            </w:r>
          </w:p>
        </w:tc>
        <w:tc>
          <w:tcPr>
            <w:tcW w:w="4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520" w:type="dxa"/>
            <w:vAlign w:val="bottom"/>
            <w:gridSpan w:val="2"/>
          </w:tcPr>
          <w:p>
            <w:pPr>
              <w:spacing w:after="0" w:line="155" w:lineRule="exact"/>
              <w:rPr>
                <w:sz w:val="20"/>
                <w:szCs w:val="20"/>
                <w:color w:val="auto"/>
              </w:rPr>
            </w:pPr>
            <w:r>
              <w:rPr>
                <w:rFonts w:ascii="Arial" w:cs="Arial" w:eastAsia="Arial" w:hAnsi="Arial"/>
                <w:sz w:val="14"/>
                <w:szCs w:val="14"/>
                <w:color w:val="auto"/>
              </w:rPr>
              <w:t>Net interest income</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368</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(32)</w:t>
            </w:r>
          </w:p>
        </w:tc>
        <w:tc>
          <w:tcPr>
            <w:tcW w:w="400" w:type="dxa"/>
            <w:vAlign w:val="bottom"/>
          </w:tcPr>
          <w:p>
            <w:pPr>
              <w:spacing w:after="0"/>
              <w:rPr>
                <w:sz w:val="13"/>
                <w:szCs w:val="13"/>
                <w:color w:val="auto"/>
              </w:rPr>
            </w:pPr>
          </w:p>
        </w:tc>
        <w:tc>
          <w:tcPr>
            <w:tcW w:w="10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Less: provisions for loan losses</w:t>
            </w:r>
          </w:p>
        </w:tc>
        <w:tc>
          <w:tcPr>
            <w:tcW w:w="9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3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236</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2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20" w:type="dxa"/>
            <w:vAlign w:val="bottom"/>
            <w:gridSpan w:val="2"/>
          </w:tcPr>
          <w:p>
            <w:pPr>
              <w:spacing w:after="0" w:line="147" w:lineRule="exact"/>
              <w:rPr>
                <w:sz w:val="20"/>
                <w:szCs w:val="20"/>
                <w:color w:val="auto"/>
              </w:rPr>
            </w:pPr>
            <w:r>
              <w:rPr>
                <w:rFonts w:ascii="Arial" w:cs="Arial" w:eastAsia="Arial" w:hAnsi="Arial"/>
                <w:sz w:val="14"/>
                <w:szCs w:val="14"/>
                <w:color w:val="auto"/>
              </w:rPr>
              <w:t>Net interest income after</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gridSpan w:val="2"/>
          </w:tcPr>
          <w:p>
            <w:pPr>
              <w:ind w:left="100"/>
              <w:spacing w:after="0"/>
              <w:rPr>
                <w:sz w:val="20"/>
                <w:szCs w:val="20"/>
                <w:color w:val="auto"/>
              </w:rPr>
            </w:pPr>
            <w:r>
              <w:rPr>
                <w:rFonts w:ascii="Arial" w:cs="Arial" w:eastAsia="Arial" w:hAnsi="Arial"/>
                <w:sz w:val="14"/>
                <w:szCs w:val="14"/>
                <w:color w:val="auto"/>
              </w:rPr>
              <w:t>provisions for loan losses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(77)</w:t>
            </w:r>
          </w:p>
        </w:tc>
        <w:tc>
          <w:tcPr>
            <w:tcW w:w="4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income (loss):</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80"/>
              <w:spacing w:after="0"/>
              <w:rPr>
                <w:sz w:val="20"/>
                <w:szCs w:val="20"/>
                <w:color w:val="auto"/>
              </w:rPr>
            </w:pPr>
            <w:r>
              <w:rPr>
                <w:rFonts w:ascii="Arial" w:cs="Arial" w:eastAsia="Arial" w:hAnsi="Arial"/>
                <w:sz w:val="14"/>
                <w:szCs w:val="14"/>
                <w:color w:val="auto"/>
              </w:rPr>
              <w:t>Servicing revenue</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(9)</w:t>
            </w:r>
          </w:p>
        </w:tc>
        <w:tc>
          <w:tcPr>
            <w:tcW w:w="4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20" w:type="dxa"/>
            <w:vAlign w:val="bottom"/>
            <w:gridSpan w:val="2"/>
            <w:shd w:val="clear" w:color="auto" w:fill="CFF0FC"/>
          </w:tcPr>
          <w:p>
            <w:pPr>
              <w:ind w:left="80"/>
              <w:spacing w:after="0" w:line="153" w:lineRule="exact"/>
              <w:rPr>
                <w:sz w:val="20"/>
                <w:szCs w:val="20"/>
                <w:color w:val="auto"/>
              </w:rPr>
            </w:pPr>
            <w:r>
              <w:rPr>
                <w:rFonts w:ascii="Arial" w:cs="Arial" w:eastAsia="Arial" w:hAnsi="Arial"/>
                <w:sz w:val="14"/>
                <w:szCs w:val="14"/>
                <w:color w:val="auto"/>
              </w:rPr>
              <w:t>Asset recovery and business</w:t>
            </w: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processing revenue</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(23)</w:t>
            </w:r>
          </w:p>
        </w:tc>
        <w:tc>
          <w:tcPr>
            <w:tcW w:w="4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80"/>
              <w:spacing w:after="0"/>
              <w:rPr>
                <w:sz w:val="20"/>
                <w:szCs w:val="20"/>
                <w:color w:val="auto"/>
              </w:rPr>
            </w:pPr>
            <w:r>
              <w:rPr>
                <w:rFonts w:ascii="Arial" w:cs="Arial" w:eastAsia="Arial" w:hAnsi="Arial"/>
                <w:sz w:val="14"/>
                <w:szCs w:val="14"/>
                <w:color w:val="auto"/>
              </w:rPr>
              <w:t>Other income</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(21)</w:t>
            </w:r>
          </w:p>
        </w:tc>
        <w:tc>
          <w:tcPr>
            <w:tcW w:w="4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Gains on sales of loans</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80"/>
              <w:spacing w:after="0"/>
              <w:rPr>
                <w:sz w:val="20"/>
                <w:szCs w:val="20"/>
                <w:color w:val="auto"/>
              </w:rPr>
            </w:pPr>
            <w:r>
              <w:rPr>
                <w:rFonts w:ascii="Arial" w:cs="Arial" w:eastAsia="Arial" w:hAnsi="Arial"/>
                <w:sz w:val="14"/>
                <w:szCs w:val="14"/>
                <w:color w:val="auto"/>
              </w:rPr>
              <w:t>Net fair value changes of loans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20" w:type="dxa"/>
            <w:vAlign w:val="bottom"/>
            <w:gridSpan w:val="2"/>
            <w:shd w:val="clear" w:color="auto" w:fill="CFF0FC"/>
          </w:tcPr>
          <w:p>
            <w:pPr>
              <w:ind w:left="80"/>
              <w:spacing w:after="0" w:line="153" w:lineRule="exact"/>
              <w:rPr>
                <w:sz w:val="20"/>
                <w:szCs w:val="20"/>
                <w:color w:val="auto"/>
              </w:rPr>
            </w:pPr>
            <w:r>
              <w:rPr>
                <w:rFonts w:ascii="Arial" w:cs="Arial" w:eastAsia="Arial" w:hAnsi="Arial"/>
                <w:sz w:val="14"/>
                <w:szCs w:val="14"/>
                <w:color w:val="auto"/>
              </w:rPr>
              <w:t>Gains (losses) on derivative and</w:t>
            </w: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20" w:type="dxa"/>
            <w:vAlign w:val="bottom"/>
            <w:gridSpan w:val="2"/>
            <w:shd w:val="clear" w:color="auto" w:fill="CFF0FC"/>
          </w:tcPr>
          <w:p>
            <w:pPr>
              <w:ind w:left="240"/>
              <w:spacing w:after="0" w:line="158" w:lineRule="exact"/>
              <w:rPr>
                <w:sz w:val="20"/>
                <w:szCs w:val="20"/>
                <w:color w:val="auto"/>
              </w:rPr>
            </w:pPr>
            <w:r>
              <w:rPr>
                <w:rFonts w:ascii="Arial" w:cs="Arial" w:eastAsia="Arial" w:hAnsi="Arial"/>
                <w:sz w:val="14"/>
                <w:szCs w:val="14"/>
                <w:color w:val="auto"/>
              </w:rPr>
              <w:t>hedging activities, net</w:t>
            </w: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8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tcBorders>
              <w:top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other income</w:t>
            </w:r>
          </w:p>
        </w:tc>
        <w:tc>
          <w:tcPr>
            <w:tcW w:w="9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w:t>
            </w:r>
          </w:p>
        </w:tc>
        <w:tc>
          <w:tcPr>
            <w:tcW w:w="30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177</w:t>
            </w:r>
          </w:p>
        </w:tc>
        <w:tc>
          <w:tcPr>
            <w:tcW w:w="240" w:type="dxa"/>
            <w:vAlign w:val="bottom"/>
            <w:tcBorders>
              <w:top w:val="single" w:sz="8" w:color="CFF0FC"/>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242</w:t>
            </w:r>
          </w:p>
        </w:tc>
        <w:tc>
          <w:tcPr>
            <w:tcW w:w="1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Expenses:</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100"/>
              <w:spacing w:after="0"/>
              <w:rPr>
                <w:sz w:val="20"/>
                <w:szCs w:val="20"/>
                <w:color w:val="auto"/>
              </w:rPr>
            </w:pPr>
            <w:r>
              <w:rPr>
                <w:rFonts w:ascii="Arial" w:cs="Arial" w:eastAsia="Arial" w:hAnsi="Arial"/>
                <w:sz w:val="14"/>
                <w:szCs w:val="14"/>
                <w:color w:val="auto"/>
              </w:rPr>
              <w:t>Operating expenses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246</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(87)</w:t>
            </w:r>
          </w:p>
        </w:tc>
        <w:tc>
          <w:tcPr>
            <w:tcW w:w="4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20" w:type="dxa"/>
            <w:vAlign w:val="bottom"/>
            <w:gridSpan w:val="2"/>
            <w:shd w:val="clear" w:color="auto" w:fill="CFF0FC"/>
          </w:tcPr>
          <w:p>
            <w:pPr>
              <w:ind w:left="100"/>
              <w:spacing w:after="0" w:line="153" w:lineRule="exact"/>
              <w:rPr>
                <w:sz w:val="20"/>
                <w:szCs w:val="20"/>
                <w:color w:val="auto"/>
              </w:rPr>
            </w:pPr>
            <w:r>
              <w:rPr>
                <w:rFonts w:ascii="Arial" w:cs="Arial" w:eastAsia="Arial" w:hAnsi="Arial"/>
                <w:sz w:val="14"/>
                <w:szCs w:val="14"/>
                <w:color w:val="auto"/>
              </w:rPr>
              <w:t>Goodwill and acquired intangible</w:t>
            </w: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assets impairment and</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amortization expense</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20" w:type="dxa"/>
            <w:vAlign w:val="bottom"/>
            <w:gridSpan w:val="2"/>
          </w:tcPr>
          <w:p>
            <w:pPr>
              <w:ind w:left="100"/>
              <w:spacing w:after="0" w:line="153" w:lineRule="exact"/>
              <w:rPr>
                <w:sz w:val="20"/>
                <w:szCs w:val="20"/>
                <w:color w:val="auto"/>
              </w:rPr>
            </w:pPr>
            <w:r>
              <w:rPr>
                <w:rFonts w:ascii="Arial" w:cs="Arial" w:eastAsia="Arial" w:hAnsi="Arial"/>
                <w:sz w:val="14"/>
                <w:szCs w:val="14"/>
                <w:color w:val="auto"/>
              </w:rPr>
              <w:t>Restructuring/other</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2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reorganization expenses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5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expenses</w:t>
            </w: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255</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341</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(86)</w:t>
            </w:r>
          </w:p>
        </w:tc>
        <w:tc>
          <w:tcPr>
            <w:tcW w:w="4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20" w:type="dxa"/>
            <w:vAlign w:val="bottom"/>
            <w:gridSpan w:val="2"/>
          </w:tcPr>
          <w:p>
            <w:pPr>
              <w:spacing w:after="0" w:line="155" w:lineRule="exact"/>
              <w:rPr>
                <w:sz w:val="20"/>
                <w:szCs w:val="20"/>
                <w:color w:val="auto"/>
              </w:rPr>
            </w:pPr>
            <w:r>
              <w:rPr>
                <w:rFonts w:ascii="Arial" w:cs="Arial" w:eastAsia="Arial" w:hAnsi="Arial"/>
                <w:sz w:val="14"/>
                <w:szCs w:val="14"/>
                <w:color w:val="auto"/>
              </w:rPr>
              <w:t>Income (loss) before income tax expense</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82</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186</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expense (benefit)</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income (loss)</w:t>
            </w:r>
          </w:p>
        </w:tc>
        <w:tc>
          <w:tcPr>
            <w:tcW w:w="90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56</w:t>
            </w:r>
          </w:p>
        </w:tc>
        <w:tc>
          <w:tcPr>
            <w:tcW w:w="640" w:type="dxa"/>
            <w:vAlign w:val="bottom"/>
            <w:gridSpan w:val="2"/>
          </w:tcPr>
          <w:p>
            <w:pPr>
              <w:jc w:val="right"/>
              <w:ind w:right="229"/>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(75)</w:t>
            </w:r>
          </w:p>
        </w:tc>
        <w:tc>
          <w:tcPr>
            <w:tcW w:w="440" w:type="dxa"/>
            <w:vAlign w:val="bottom"/>
            <w:gridSpan w:val="2"/>
          </w:tcPr>
          <w:p>
            <w:pPr>
              <w:jc w:val="right"/>
              <w:ind w:right="209"/>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131</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gridSpan w:val="2"/>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Basic earnings (loss) per</w:t>
            </w:r>
          </w:p>
        </w:tc>
        <w:tc>
          <w:tcPr>
            <w:tcW w:w="900" w:type="dxa"/>
            <w:vAlign w:val="bottom"/>
            <w:shd w:val="clear" w:color="auto" w:fill="CFF0FC"/>
          </w:tcPr>
          <w:p>
            <w:pPr>
              <w:spacing w:after="0"/>
              <w:rPr>
                <w:sz w:val="11"/>
                <w:szCs w:val="11"/>
                <w:color w:val="auto"/>
              </w:rPr>
            </w:pPr>
          </w:p>
        </w:tc>
        <w:tc>
          <w:tcPr>
            <w:tcW w:w="2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30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520" w:type="dxa"/>
            <w:vAlign w:val="bottom"/>
            <w:gridSpan w:val="2"/>
            <w:shd w:val="clear" w:color="auto" w:fill="CFF0FC"/>
          </w:tcPr>
          <w:p>
            <w:pPr>
              <w:ind w:left="100"/>
              <w:spacing w:after="0" w:line="125" w:lineRule="exact"/>
              <w:rPr>
                <w:sz w:val="20"/>
                <w:szCs w:val="20"/>
                <w:color w:val="auto"/>
              </w:rPr>
            </w:pPr>
            <w:r>
              <w:rPr>
                <w:rFonts w:ascii="Arial" w:cs="Arial" w:eastAsia="Arial" w:hAnsi="Arial"/>
                <w:sz w:val="14"/>
                <w:szCs w:val="14"/>
                <w:b w:val="1"/>
                <w:bCs w:val="1"/>
                <w:color w:val="auto"/>
              </w:rPr>
              <w:t>common share</w:t>
            </w:r>
          </w:p>
        </w:tc>
        <w:tc>
          <w:tcPr>
            <w:tcW w:w="900" w:type="dxa"/>
            <w:vAlign w:val="bottom"/>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vMerge w:val="continue"/>
            <w:shd w:val="clear" w:color="auto" w:fill="CFF0FC"/>
          </w:tcPr>
          <w:p>
            <w:pPr>
              <w:spacing w:after="0"/>
              <w:rPr>
                <w:sz w:val="13"/>
                <w:szCs w:val="13"/>
                <w:color w:val="auto"/>
              </w:rPr>
            </w:pPr>
          </w:p>
        </w:tc>
        <w:tc>
          <w:tcPr>
            <w:tcW w:w="9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35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Diluted earnings (loss) per</w:t>
            </w:r>
          </w:p>
        </w:tc>
        <w:tc>
          <w:tcPr>
            <w:tcW w:w="90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300" w:type="dxa"/>
            <w:vAlign w:val="bottom"/>
          </w:tcPr>
          <w:p>
            <w:pPr>
              <w:spacing w:after="0"/>
              <w:rPr>
                <w:sz w:val="11"/>
                <w:szCs w:val="11"/>
                <w:color w:val="auto"/>
              </w:rPr>
            </w:pPr>
          </w:p>
        </w:tc>
        <w:tc>
          <w:tcPr>
            <w:tcW w:w="340" w:type="dxa"/>
            <w:vAlign w:val="bottom"/>
            <w:vMerge w:val="restart"/>
          </w:tcPr>
          <w:p>
            <w:pPr>
              <w:jc w:val="right"/>
              <w:ind w:right="229"/>
              <w:spacing w:after="0"/>
              <w:rPr>
                <w:sz w:val="20"/>
                <w:szCs w:val="20"/>
                <w:color w:val="auto"/>
              </w:rPr>
            </w:pPr>
            <w:r>
              <w:rPr>
                <w:rFonts w:ascii="Arial" w:cs="Arial" w:eastAsia="Arial" w:hAnsi="Arial"/>
                <w:sz w:val="10"/>
                <w:szCs w:val="10"/>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restart"/>
          </w:tcPr>
          <w:p>
            <w:pPr>
              <w:jc w:val="right"/>
              <w:ind w:right="209"/>
              <w:spacing w:after="0"/>
              <w:rPr>
                <w:sz w:val="20"/>
                <w:szCs w:val="20"/>
                <w:color w:val="auto"/>
              </w:rPr>
            </w:pPr>
            <w:r>
              <w:rPr>
                <w:rFonts w:ascii="Arial" w:cs="Arial" w:eastAsia="Arial" w:hAnsi="Arial"/>
                <w:sz w:val="10"/>
                <w:szCs w:val="10"/>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gridSpan w:val="2"/>
          </w:tcPr>
          <w:p>
            <w:pPr>
              <w:ind w:left="100"/>
              <w:spacing w:after="0" w:line="125" w:lineRule="exact"/>
              <w:rPr>
                <w:sz w:val="20"/>
                <w:szCs w:val="20"/>
                <w:color w:val="auto"/>
              </w:rPr>
            </w:pPr>
            <w:r>
              <w:rPr>
                <w:rFonts w:ascii="Arial" w:cs="Arial" w:eastAsia="Arial" w:hAnsi="Arial"/>
                <w:sz w:val="14"/>
                <w:szCs w:val="14"/>
                <w:b w:val="1"/>
                <w:bCs w:val="1"/>
                <w:color w:val="auto"/>
              </w:rPr>
              <w:t>common share</w:t>
            </w:r>
          </w:p>
        </w:tc>
        <w:tc>
          <w:tcPr>
            <w:tcW w:w="9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5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Dividends per common share</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.48</w:t>
            </w:r>
          </w:p>
        </w:tc>
        <w:tc>
          <w:tcPr>
            <w:tcW w:w="640" w:type="dxa"/>
            <w:vAlign w:val="bottom"/>
            <w:gridSpan w:val="2"/>
            <w:shd w:val="clear" w:color="auto" w:fill="CFF0FC"/>
          </w:tcPr>
          <w:p>
            <w:pPr>
              <w:jc w:val="right"/>
              <w:ind w:right="229"/>
              <w:spacing w:after="0" w:line="143"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.48</w:t>
            </w:r>
          </w:p>
        </w:tc>
        <w:tc>
          <w:tcPr>
            <w:tcW w:w="1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09"/>
              <w:spacing w:after="0" w:line="143" w:lineRule="exact"/>
              <w:rPr>
                <w:sz w:val="20"/>
                <w:szCs w:val="20"/>
                <w:color w:val="auto"/>
              </w:rPr>
            </w:pPr>
            <w:r>
              <w:rPr>
                <w:rFonts w:ascii="Arial" w:cs="Arial" w:eastAsia="Arial" w:hAnsi="Arial"/>
                <w:sz w:val="14"/>
                <w:szCs w:val="14"/>
                <w:color w:val="auto"/>
              </w:rPr>
              <w:t>$</w:t>
            </w:r>
          </w:p>
        </w:tc>
        <w:tc>
          <w:tcPr>
            <w:tcW w:w="1540" w:type="dxa"/>
            <w:vAlign w:val="bottom"/>
            <w:gridSpan w:val="3"/>
            <w:shd w:val="clear" w:color="auto" w:fill="CFF0FC"/>
          </w:tcPr>
          <w:p>
            <w:pPr>
              <w:jc w:val="right"/>
              <w:ind w:right="660"/>
              <w:spacing w:after="0" w:line="143"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-3385185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-3385185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-3385185</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-3385185</wp:posOffset>
            </wp:positionV>
            <wp:extent cx="1200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-3171190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-3171190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-3171190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-3171190</wp:posOffset>
            </wp:positionV>
            <wp:extent cx="120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-2956560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-2956560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-2956560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-2956560</wp:posOffset>
            </wp:positionV>
            <wp:extent cx="120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-1824990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-1824990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-1824990</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-1824990</wp:posOffset>
            </wp:positionV>
            <wp:extent cx="120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-890905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-890905</wp:posOffset>
            </wp:positionV>
            <wp:extent cx="603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-890905</wp:posOffset>
            </wp:positionV>
            <wp:extent cx="59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-890905</wp:posOffset>
            </wp:positionV>
            <wp:extent cx="1200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-676275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-676275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-676275</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-676275</wp:posOffset>
            </wp:positionV>
            <wp:extent cx="1200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-359410</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-342265</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-359410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-342265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-359410</wp:posOffset>
            </wp:positionV>
            <wp:extent cx="596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-342265</wp:posOffset>
            </wp:positionV>
            <wp:extent cx="59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-359410</wp:posOffset>
            </wp:positionV>
            <wp:extent cx="1200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-342265</wp:posOffset>
            </wp:positionV>
            <wp:extent cx="1200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-24765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-24765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-24765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-7620</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-24765</wp:posOffset>
            </wp:positionV>
            <wp:extent cx="120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6296025</wp:posOffset>
            </wp:positionH>
            <wp:positionV relativeFrom="paragraph">
              <wp:posOffset>-7620</wp:posOffset>
            </wp:positionV>
            <wp:extent cx="120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00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494030</wp:posOffset>
            </wp:positionV>
            <wp:extent cx="703770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0"/>
          </w:cols>
          <w:pgMar w:left="700" w:top="1231" w:right="1099" w:bottom="1440" w:gutter="0" w:footer="0" w:header="0"/>
        </w:sectPr>
      </w:pPr>
    </w:p>
    <w:bookmarkStart w:id="12" w:name="page13"/>
    <w:bookmarkEnd w:id="12"/>
    <w:p>
      <w:pPr>
        <w:ind w:left="38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448310</wp:posOffset>
            </wp:positionH>
            <wp:positionV relativeFrom="page">
              <wp:posOffset>774700</wp:posOffset>
            </wp:positionV>
            <wp:extent cx="6412230" cy="3689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12230" cy="368935"/>
                    </a:xfrm>
                    <a:prstGeom prst="rect">
                      <a:avLst/>
                    </a:prstGeom>
                    <a:noFill/>
                  </pic:spPr>
                </pic:pic>
              </a:graphicData>
            </a:graphic>
          </wp:anchor>
        </w:drawing>
        <w:t>GAAP BALANCE SHEETS (UNAUDITED)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5220" w:type="dxa"/>
            <w:vAlign w:val="bottom"/>
            <w:gridSpan w:val="3"/>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 2026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Assets</w:t>
            </w:r>
          </w:p>
        </w:tc>
        <w:tc>
          <w:tcPr>
            <w:tcW w:w="30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gridSpan w:val="2"/>
          </w:tcPr>
          <w:p>
            <w:pPr>
              <w:spacing w:after="0" w:line="145" w:lineRule="exact"/>
              <w:rPr>
                <w:sz w:val="20"/>
                <w:szCs w:val="20"/>
                <w:color w:val="auto"/>
              </w:rPr>
            </w:pPr>
            <w:r>
              <w:rPr>
                <w:rFonts w:ascii="Arial" w:cs="Arial" w:eastAsia="Arial" w:hAnsi="Arial"/>
                <w:sz w:val="15"/>
                <w:szCs w:val="15"/>
                <w:color w:val="auto"/>
              </w:rPr>
              <w:t>Private Education Loans at amortized cost (net of allowance for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gridSpan w:val="2"/>
          </w:tcPr>
          <w:p>
            <w:pPr>
              <w:ind w:left="100"/>
              <w:spacing w:after="0"/>
              <w:rPr>
                <w:sz w:val="20"/>
                <w:szCs w:val="20"/>
                <w:color w:val="auto"/>
              </w:rPr>
            </w:pPr>
            <w:r>
              <w:rPr>
                <w:rFonts w:ascii="Arial" w:cs="Arial" w:eastAsia="Arial" w:hAnsi="Arial"/>
                <w:sz w:val="15"/>
                <w:szCs w:val="15"/>
                <w:color w:val="auto"/>
              </w:rPr>
              <w:t>loan losses of $299, $263 and $406, respectively)</w:t>
            </w:r>
          </w:p>
        </w:tc>
        <w:tc>
          <w:tcPr>
            <w:tcW w:w="4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12,680</w:t>
            </w:r>
          </w:p>
        </w:tc>
        <w:tc>
          <w:tcPr>
            <w:tcW w:w="1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15,146</w:t>
            </w:r>
          </w:p>
        </w:tc>
        <w:tc>
          <w:tcPr>
            <w:tcW w:w="12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15,456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Private Education Loans at fair value</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235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9"/>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tcPr>
          <w:p>
            <w:pPr>
              <w:spacing w:after="0" w:line="162" w:lineRule="exact"/>
              <w:rPr>
                <w:sz w:val="20"/>
                <w:szCs w:val="20"/>
                <w:color w:val="auto"/>
              </w:rPr>
            </w:pPr>
            <w:r>
              <w:rPr>
                <w:rFonts w:ascii="Arial" w:cs="Arial" w:eastAsia="Arial" w:hAnsi="Arial"/>
                <w:sz w:val="15"/>
                <w:szCs w:val="15"/>
                <w:color w:val="auto"/>
              </w:rPr>
              <w:t>Private Education Loans held for sale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2,339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528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9"/>
              <w:spacing w:after="0" w:line="162" w:lineRule="exact"/>
              <w:rPr>
                <w:sz w:val="20"/>
                <w:szCs w:val="20"/>
                <w:color w:val="auto"/>
              </w:rPr>
            </w:pPr>
            <w:r>
              <w:rPr>
                <w:rFonts w:ascii="Arial" w:cs="Arial" w:eastAsia="Arial" w:hAnsi="Arial"/>
                <w:sz w:val="15"/>
                <w:szCs w:val="15"/>
                <w:color w:val="auto"/>
              </w:rPr>
              <w: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gridSpan w:val="2"/>
            <w:shd w:val="clear" w:color="auto" w:fill="CFF0FC"/>
          </w:tcPr>
          <w:p>
            <w:pPr>
              <w:spacing w:after="0" w:line="145" w:lineRule="exact"/>
              <w:rPr>
                <w:sz w:val="20"/>
                <w:szCs w:val="20"/>
                <w:color w:val="auto"/>
              </w:rPr>
            </w:pPr>
            <w:r>
              <w:rPr>
                <w:rFonts w:ascii="Arial" w:cs="Arial" w:eastAsia="Arial" w:hAnsi="Arial"/>
                <w:sz w:val="15"/>
                <w:szCs w:val="15"/>
                <w:color w:val="auto"/>
              </w:rPr>
              <w:t>FFELP Loans at amortized cost (net of allowance for loan losses</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of $165, $163 and $186, respectively)</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25,898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26,575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28,952</w:t>
            </w: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tcPr>
          <w:p>
            <w:pPr>
              <w:spacing w:after="0" w:line="162" w:lineRule="exact"/>
              <w:rPr>
                <w:sz w:val="20"/>
                <w:szCs w:val="20"/>
                <w:color w:val="auto"/>
              </w:rPr>
            </w:pPr>
            <w:r>
              <w:rPr>
                <w:rFonts w:ascii="Arial" w:cs="Arial" w:eastAsia="Arial" w:hAnsi="Arial"/>
                <w:sz w:val="15"/>
                <w:szCs w:val="15"/>
                <w:color w:val="auto"/>
              </w:rPr>
              <w:t>Investments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116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147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Cash and cash equivalents</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701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770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571</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tcPr>
          <w:p>
            <w:pPr>
              <w:spacing w:after="0" w:line="162" w:lineRule="exact"/>
              <w:rPr>
                <w:sz w:val="20"/>
                <w:szCs w:val="20"/>
                <w:color w:val="auto"/>
              </w:rPr>
            </w:pPr>
            <w:r>
              <w:rPr>
                <w:rFonts w:ascii="Arial" w:cs="Arial" w:eastAsia="Arial" w:hAnsi="Arial"/>
                <w:sz w:val="15"/>
                <w:szCs w:val="15"/>
                <w:color w:val="auto"/>
              </w:rPr>
              <w:t>Restricted cash and cash equivalents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1,286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1,369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1,301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Goodwill and acquired intangible assets, net</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430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430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435</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tcPr>
          <w:p>
            <w:pPr>
              <w:spacing w:after="0" w:line="162" w:lineRule="exact"/>
              <w:rPr>
                <w:sz w:val="20"/>
                <w:szCs w:val="20"/>
                <w:color w:val="auto"/>
              </w:rPr>
            </w:pPr>
            <w:r>
              <w:rPr>
                <w:rFonts w:ascii="Arial" w:cs="Arial" w:eastAsia="Arial" w:hAnsi="Arial"/>
                <w:sz w:val="15"/>
                <w:szCs w:val="15"/>
                <w:color w:val="auto"/>
              </w:rPr>
              <w:t>Other assets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2,444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color w:val="auto"/>
              </w:rPr>
              <w:t>Total assets</w:t>
            </w:r>
          </w:p>
        </w:tc>
        <w:tc>
          <w:tcPr>
            <w:tcW w:w="46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46,128</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47,297</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49,306</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tcBorders>
              <w:top w:val="single" w:sz="8" w:color="CFF0FC"/>
            </w:tcBorders>
            <w:gridSpan w:val="2"/>
          </w:tcPr>
          <w:p>
            <w:pPr>
              <w:spacing w:after="0" w:line="143" w:lineRule="exact"/>
              <w:rPr>
                <w:sz w:val="20"/>
                <w:szCs w:val="20"/>
                <w:color w:val="auto"/>
              </w:rPr>
            </w:pPr>
            <w:r>
              <w:rPr>
                <w:rFonts w:ascii="Arial" w:cs="Arial" w:eastAsia="Arial" w:hAnsi="Arial"/>
                <w:sz w:val="15"/>
                <w:szCs w:val="15"/>
                <w:b w:val="1"/>
                <w:bCs w:val="1"/>
                <w:color w:val="auto"/>
              </w:rPr>
              <w:t>Liabilities</w:t>
            </w:r>
          </w:p>
        </w:tc>
        <w:tc>
          <w:tcPr>
            <w:tcW w:w="3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Short-term borrowings</w:t>
            </w:r>
          </w:p>
        </w:tc>
        <w:tc>
          <w:tcPr>
            <w:tcW w:w="46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5,751</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4,214</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4,920</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tcPr>
          <w:p>
            <w:pPr>
              <w:spacing w:after="0" w:line="162" w:lineRule="exact"/>
              <w:rPr>
                <w:sz w:val="20"/>
                <w:szCs w:val="20"/>
                <w:color w:val="auto"/>
              </w:rPr>
            </w:pPr>
            <w:r>
              <w:rPr>
                <w:rFonts w:ascii="Arial" w:cs="Arial" w:eastAsia="Arial" w:hAnsi="Arial"/>
                <w:sz w:val="15"/>
                <w:szCs w:val="15"/>
                <w:color w:val="auto"/>
              </w:rPr>
              <w:t>Long-term borrowings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37,429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40,123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41,414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bottom w:val="single" w:sz="8" w:color="CFF0FC"/>
            </w:tcBorders>
            <w:gridSpan w:val="2"/>
            <w:shd w:val="clear" w:color="auto" w:fill="CFF0FC"/>
          </w:tcPr>
          <w:p>
            <w:pPr>
              <w:spacing w:after="0" w:line="162" w:lineRule="exact"/>
              <w:rPr>
                <w:sz w:val="20"/>
                <w:szCs w:val="20"/>
                <w:color w:val="auto"/>
              </w:rPr>
            </w:pPr>
            <w:r>
              <w:rPr>
                <w:rFonts w:ascii="Arial" w:cs="Arial" w:eastAsia="Arial" w:hAnsi="Arial"/>
                <w:sz w:val="15"/>
                <w:szCs w:val="15"/>
                <w:color w:val="auto"/>
              </w:rPr>
              <w:t>Other liabilities</w:t>
            </w:r>
          </w:p>
        </w:tc>
        <w:tc>
          <w:tcPr>
            <w:tcW w:w="3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513</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562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533</w:t>
            </w: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46,867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Commitments and contingencies</w:t>
            </w: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Equity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gridSpan w:val="2"/>
            <w:shd w:val="clear" w:color="auto" w:fill="CFF0FC"/>
          </w:tcPr>
          <w:p>
            <w:pPr>
              <w:spacing w:after="0" w:line="145" w:lineRule="exact"/>
              <w:rPr>
                <w:sz w:val="20"/>
                <w:szCs w:val="20"/>
                <w:color w:val="auto"/>
              </w:rPr>
            </w:pPr>
            <w:r>
              <w:rPr>
                <w:rFonts w:ascii="Arial" w:cs="Arial" w:eastAsia="Arial" w:hAnsi="Arial"/>
                <w:sz w:val="15"/>
                <w:szCs w:val="15"/>
                <w:color w:val="auto"/>
              </w:rPr>
              <w:t>Series A Junior Participating Preferred Stock, par value $0.20 per share;</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shd w:val="clear" w:color="auto" w:fill="CFF0FC"/>
          </w:tcPr>
          <w:p>
            <w:pPr>
              <w:ind w:left="100"/>
              <w:spacing w:after="0" w:line="162" w:lineRule="exact"/>
              <w:rPr>
                <w:sz w:val="20"/>
                <w:szCs w:val="20"/>
                <w:color w:val="auto"/>
              </w:rPr>
            </w:pPr>
            <w:r>
              <w:rPr>
                <w:rFonts w:ascii="Arial" w:cs="Arial" w:eastAsia="Arial" w:hAnsi="Arial"/>
                <w:sz w:val="15"/>
                <w:szCs w:val="15"/>
                <w:color w:val="auto"/>
              </w:rPr>
              <w:t>2 million shares authorized at December 31, 2021; no shares issued</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or outstanding</w:t>
            </w: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9"/>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gridSpan w:val="2"/>
          </w:tcPr>
          <w:p>
            <w:pPr>
              <w:spacing w:after="0" w:line="145" w:lineRule="exact"/>
              <w:rPr>
                <w:sz w:val="20"/>
                <w:szCs w:val="20"/>
                <w:color w:val="auto"/>
              </w:rPr>
            </w:pPr>
            <w:r>
              <w:rPr>
                <w:rFonts w:ascii="Arial" w:cs="Arial" w:eastAsia="Arial" w:hAnsi="Arial"/>
                <w:sz w:val="15"/>
                <w:szCs w:val="15"/>
                <w:color w:val="auto"/>
              </w:rPr>
              <w:t>Common stock, par value $0.01 per share; 1.125 billion shares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authorized: 468 million, 468 million and 467 million shares,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gridSpan w:val="2"/>
          </w:tcPr>
          <w:p>
            <w:pPr>
              <w:ind w:left="100"/>
              <w:spacing w:after="0"/>
              <w:rPr>
                <w:sz w:val="20"/>
                <w:szCs w:val="20"/>
                <w:color w:val="auto"/>
              </w:rPr>
            </w:pPr>
            <w:r>
              <w:rPr>
                <w:rFonts w:ascii="Arial" w:cs="Arial" w:eastAsia="Arial" w:hAnsi="Arial"/>
                <w:sz w:val="15"/>
                <w:szCs w:val="15"/>
                <w:color w:val="auto"/>
              </w:rPr>
              <w:t>respectively, issued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Additional paid-in capital</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3,411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3,410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3,398</w:t>
            </w: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2"/>
          </w:tcPr>
          <w:p>
            <w:pPr>
              <w:spacing w:after="0" w:line="162" w:lineRule="exact"/>
              <w:rPr>
                <w:sz w:val="20"/>
                <w:szCs w:val="20"/>
                <w:color w:val="auto"/>
              </w:rPr>
            </w:pPr>
            <w:r>
              <w:rPr>
                <w:rFonts w:ascii="Arial" w:cs="Arial" w:eastAsia="Arial" w:hAnsi="Arial"/>
                <w:sz w:val="15"/>
                <w:szCs w:val="15"/>
                <w:color w:val="auto"/>
              </w:rPr>
              <w:t>Accumulated other comprehensive income, net of tax</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5"/>
                <w:szCs w:val="15"/>
                <w:color w:val="auto"/>
              </w:rPr>
              <w:t>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line="162" w:lineRule="exact"/>
              <w:rPr>
                <w:sz w:val="20"/>
                <w:szCs w:val="20"/>
                <w:color w:val="auto"/>
              </w:rPr>
            </w:pPr>
            <w:r>
              <w:rPr>
                <w:rFonts w:ascii="Arial" w:cs="Arial" w:eastAsia="Arial" w:hAnsi="Arial"/>
                <w:sz w:val="15"/>
                <w:szCs w:val="15"/>
                <w:color w:val="auto"/>
              </w:rPr>
              <w:t>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bottom w:val="single" w:sz="8" w:color="CFF0FC"/>
            </w:tcBorders>
            <w:gridSpan w:val="2"/>
            <w:shd w:val="clear" w:color="auto" w:fill="CFF0FC"/>
          </w:tcPr>
          <w:p>
            <w:pPr>
              <w:spacing w:after="0" w:line="162" w:lineRule="exact"/>
              <w:rPr>
                <w:sz w:val="20"/>
                <w:szCs w:val="20"/>
                <w:color w:val="auto"/>
              </w:rPr>
            </w:pPr>
            <w:r>
              <w:rPr>
                <w:rFonts w:ascii="Arial" w:cs="Arial" w:eastAsia="Arial" w:hAnsi="Arial"/>
                <w:sz w:val="15"/>
                <w:szCs w:val="15"/>
                <w:color w:val="auto"/>
              </w:rPr>
              <w:t>Retained earnings</w:t>
            </w:r>
          </w:p>
        </w:tc>
        <w:tc>
          <w:tcPr>
            <w:tcW w:w="3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4,562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4,562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2" w:lineRule="exact"/>
              <w:rPr>
                <w:sz w:val="20"/>
                <w:szCs w:val="20"/>
                <w:color w:val="auto"/>
              </w:rPr>
            </w:pPr>
            <w:r>
              <w:rPr>
                <w:rFonts w:ascii="Arial" w:cs="Arial" w:eastAsia="Arial" w:hAnsi="Arial"/>
                <w:sz w:val="15"/>
                <w:szCs w:val="15"/>
                <w:color w:val="auto"/>
              </w:rPr>
              <w:t>4,573</w:t>
            </w:r>
          </w:p>
        </w:tc>
        <w:tc>
          <w:tcPr>
            <w:tcW w:w="100" w:type="dxa"/>
            <w:vAlign w:val="bottom"/>
            <w:tcBorders>
              <w:bottom w:val="single" w:sz="8" w:color="CFF0FC"/>
            </w:tcBorders>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gridSpan w:val="2"/>
          </w:tcPr>
          <w:p>
            <w:pPr>
              <w:spacing w:after="0" w:line="156" w:lineRule="exact"/>
              <w:rPr>
                <w:sz w:val="20"/>
                <w:szCs w:val="20"/>
                <w:color w:val="auto"/>
              </w:rPr>
            </w:pPr>
            <w:r>
              <w:rPr>
                <w:rFonts w:ascii="Arial" w:cs="Arial" w:eastAsia="Arial" w:hAnsi="Arial"/>
                <w:sz w:val="15"/>
                <w:szCs w:val="15"/>
                <w:color w:val="auto"/>
              </w:rPr>
              <w:t>Total stockholders’ equity before treasury stock</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5"/>
                <w:szCs w:val="15"/>
                <w:color w:val="auto"/>
              </w:rPr>
              <w:t>8,037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5"/>
                <w:szCs w:val="15"/>
                <w:color w:val="auto"/>
              </w:rPr>
              <w:t>7,990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5"/>
                <w:szCs w:val="15"/>
                <w:color w:val="auto"/>
              </w:rPr>
              <w:t>7,974</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gridSpan w:val="2"/>
            <w:shd w:val="clear" w:color="auto" w:fill="CFF0FC"/>
          </w:tcPr>
          <w:p>
            <w:pPr>
              <w:spacing w:after="0" w:line="145" w:lineRule="exact"/>
              <w:rPr>
                <w:sz w:val="20"/>
                <w:szCs w:val="20"/>
                <w:color w:val="auto"/>
              </w:rPr>
            </w:pPr>
            <w:r>
              <w:rPr>
                <w:rFonts w:ascii="Arial" w:cs="Arial" w:eastAsia="Arial" w:hAnsi="Arial"/>
                <w:sz w:val="15"/>
                <w:szCs w:val="15"/>
                <w:color w:val="auto"/>
              </w:rPr>
              <w:t>Less: Common stock held in treasury at cost: 375 million,</w:t>
            </w: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5"/>
                <w:szCs w:val="15"/>
                <w:color w:val="auto"/>
              </w:rPr>
              <w:t>(5,592)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5"/>
                <w:szCs w:val="15"/>
                <w:color w:val="auto"/>
              </w:rPr>
              <w:t>(5,535)</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0" w:type="dxa"/>
            <w:vAlign w:val="bottom"/>
            <w:gridSpan w:val="2"/>
            <w:shd w:val="clear" w:color="auto" w:fill="CFF0FC"/>
          </w:tcPr>
          <w:p>
            <w:pPr>
              <w:spacing w:after="0" w:line="166" w:lineRule="exact"/>
              <w:rPr>
                <w:sz w:val="20"/>
                <w:szCs w:val="20"/>
                <w:color w:val="auto"/>
              </w:rPr>
            </w:pPr>
            <w:r>
              <w:rPr>
                <w:rFonts w:ascii="Arial" w:cs="Arial" w:eastAsia="Arial" w:hAnsi="Arial"/>
                <w:sz w:val="15"/>
                <w:szCs w:val="15"/>
                <w:color w:val="auto"/>
              </w:rPr>
              <w:t>374 million and 369 million shares, respectively</w:t>
            </w: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80"/>
              <w:spacing w:after="0" w:line="166" w:lineRule="exact"/>
              <w:rPr>
                <w:sz w:val="20"/>
                <w:szCs w:val="20"/>
                <w:color w:val="auto"/>
              </w:rPr>
            </w:pPr>
            <w:r>
              <w:rPr>
                <w:rFonts w:ascii="Arial" w:cs="Arial" w:eastAsia="Arial" w:hAnsi="Arial"/>
                <w:sz w:val="15"/>
                <w:szCs w:val="15"/>
                <w:color w:val="auto"/>
              </w:rPr>
              <w:t>(5,602)</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2"/>
            <w:vMerge w:val="continue"/>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0" w:type="dxa"/>
            <w:vAlign w:val="bottom"/>
            <w:tcBorders>
              <w:top w:val="single" w:sz="8" w:color="CFF0FC"/>
            </w:tcBorders>
            <w:gridSpan w:val="2"/>
          </w:tcPr>
          <w:p>
            <w:pPr>
              <w:spacing w:after="0" w:line="149" w:lineRule="exact"/>
              <w:rPr>
                <w:sz w:val="20"/>
                <w:szCs w:val="20"/>
                <w:color w:val="auto"/>
              </w:rPr>
            </w:pPr>
            <w:r>
              <w:rPr>
                <w:rFonts w:ascii="Arial" w:cs="Arial" w:eastAsia="Arial" w:hAnsi="Arial"/>
                <w:sz w:val="15"/>
                <w:szCs w:val="15"/>
                <w:color w:val="auto"/>
              </w:rPr>
              <w:t>Total equity</w:t>
            </w:r>
          </w:p>
        </w:tc>
        <w:tc>
          <w:tcPr>
            <w:tcW w:w="340" w:type="dxa"/>
            <w:vAlign w:val="bottom"/>
            <w:tcBorders>
              <w:top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2,435</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2,398</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2,439</w:t>
            </w:r>
          </w:p>
        </w:tc>
        <w:tc>
          <w:tcPr>
            <w:tcW w:w="100" w:type="dxa"/>
            <w:vAlign w:val="bottom"/>
            <w:tcBorders>
              <w:top w:val="single" w:sz="8" w:color="CFF0FC"/>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color w:val="auto"/>
              </w:rPr>
              <w:t>Total liabilities and equity</w:t>
            </w: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46,128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47,297</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56"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49,306</w:t>
            </w: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tcBorders>
              <w:top w:val="single" w:sz="8" w:color="CFF0FC"/>
            </w:tcBorders>
          </w:tcPr>
          <w:p>
            <w:pPr>
              <w:spacing w:after="0"/>
              <w:rPr>
                <w:sz w:val="24"/>
                <w:szCs w:val="24"/>
                <w:color w:val="auto"/>
              </w:rPr>
            </w:pPr>
          </w:p>
        </w:tc>
        <w:tc>
          <w:tcPr>
            <w:tcW w:w="300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-3034030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-3016885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-3034030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-3016885</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-3034030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-3016885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-2596515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-2596515</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-2596515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-1319530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-1319530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-1319530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-1010920</wp:posOffset>
            </wp:positionV>
            <wp:extent cx="59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-1010920</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-1014730</wp:posOffset>
            </wp:positionV>
            <wp:extent cx="9398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-779145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4561840</wp:posOffset>
            </wp:positionH>
            <wp:positionV relativeFrom="paragraph">
              <wp:posOffset>-762000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-779145</wp:posOffset>
            </wp:positionV>
            <wp:extent cx="596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-762000</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-779145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-762000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1394" w:right="439" w:bottom="1440" w:gutter="0" w:footer="0" w:header="0"/>
        </w:sectPr>
      </w:pPr>
    </w:p>
    <w:bookmarkStart w:id="13" w:name="page14"/>
    <w:bookmarkEnd w:id="13"/>
    <w:p>
      <w:pPr>
        <w:ind w:left="14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473710</wp:posOffset>
            </wp:positionH>
            <wp:positionV relativeFrom="page">
              <wp:posOffset>637540</wp:posOffset>
            </wp:positionV>
            <wp:extent cx="6351905" cy="2571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51905" cy="257175"/>
                    </a:xfrm>
                    <a:prstGeom prst="rect">
                      <a:avLst/>
                    </a:prstGeom>
                    <a:noFill/>
                  </pic:spPr>
                </pic:pic>
              </a:graphicData>
            </a:graphic>
          </wp:anchor>
        </w:drawing>
        <w:t>GAAP COMPARISON OF 2026 RESULTS WITH 2025</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September 30, 2026 Compared with Three Months Ended September 30, 2025</w:t>
      </w:r>
    </w:p>
    <w:p>
      <w:pPr>
        <w:spacing w:after="0" w:line="11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For the three months ended September 30, 2026, net income was $15 million, or $0.16 per diluted share, compared with net loss of $86 million, or $0.87 per diluted share, for the year-ago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primary contributors to the change in net income are as follows:</w:t>
      </w:r>
    </w:p>
    <w:p>
      <w:pPr>
        <w:spacing w:after="0" w:line="59" w:lineRule="exact"/>
        <w:rPr>
          <w:sz w:val="20"/>
          <w:szCs w:val="20"/>
          <w:color w:val="auto"/>
        </w:rPr>
      </w:pPr>
    </w:p>
    <w:p>
      <w:pPr>
        <w:ind w:left="600" w:right="100" w:hanging="216"/>
        <w:spacing w:after="0" w:line="256" w:lineRule="auto"/>
        <w:tabs>
          <w:tab w:leader="none" w:pos="7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interest income decreased by $27 million primarily due to an $18 million benefit in the year-ago period from a decrease in prepayment rate assumptions on FFELP Loans (reduced premium amortization) as well as the paydown of the FFELP portfolio and the Private Education Loan portfolio's changing product mix with Refinance Education Loans increasing as a percentage of the portfolio. The Refinance Education Loan portfolio earns a lower net interest margin compared to the non-refinance portfolio, due to lower expected credit losses, which reduces the overall net interest margin.</w:t>
      </w:r>
    </w:p>
    <w:p>
      <w:pPr>
        <w:spacing w:after="0" w:line="17" w:lineRule="exact"/>
        <w:rPr>
          <w:rFonts w:ascii="Arial" w:cs="Arial" w:eastAsia="Arial" w:hAnsi="Arial"/>
          <w:sz w:val="16"/>
          <w:szCs w:val="16"/>
          <w:color w:val="auto"/>
        </w:rPr>
      </w:pPr>
    </w:p>
    <w:p>
      <w:pPr>
        <w:ind w:left="740" w:hanging="356"/>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Provisions for loan losses increased $59 million from $168 million to $227 million.</w:t>
      </w:r>
    </w:p>
    <w:p>
      <w:pPr>
        <w:spacing w:after="0" w:line="59" w:lineRule="exact"/>
        <w:rPr>
          <w:rFonts w:ascii="Arial" w:cs="Arial" w:eastAsia="Arial" w:hAnsi="Arial"/>
          <w:sz w:val="16"/>
          <w:szCs w:val="16"/>
          <w:color w:val="auto"/>
        </w:rPr>
      </w:pPr>
    </w:p>
    <w:p>
      <w:pPr>
        <w:ind w:left="1260" w:hanging="358"/>
        <w:spacing w:after="0"/>
        <w:tabs>
          <w:tab w:leader="none" w:pos="12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provision for Private Loan losses increased $59 million from $155 million to $214 million.</w:t>
      </w:r>
    </w:p>
    <w:p>
      <w:pPr>
        <w:spacing w:after="0" w:line="59" w:lineRule="exact"/>
        <w:rPr>
          <w:rFonts w:ascii="Arial" w:cs="Arial" w:eastAsia="Arial" w:hAnsi="Arial"/>
          <w:sz w:val="16"/>
          <w:szCs w:val="16"/>
          <w:color w:val="auto"/>
        </w:rPr>
      </w:pPr>
    </w:p>
    <w:p>
      <w:pPr>
        <w:ind w:left="1260" w:hanging="358"/>
        <w:spacing w:after="0"/>
        <w:tabs>
          <w:tab w:leader="none" w:pos="12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provision for FFELP Loan losses remained unchanged at $13 million.</w:t>
      </w:r>
    </w:p>
    <w:p>
      <w:pPr>
        <w:spacing w:after="0" w:line="59" w:lineRule="exact"/>
        <w:rPr>
          <w:sz w:val="20"/>
          <w:szCs w:val="20"/>
          <w:color w:val="auto"/>
        </w:rPr>
      </w:pPr>
    </w:p>
    <w:p>
      <w:pPr>
        <w:ind w:left="600" w:right="40"/>
        <w:spacing w:after="0" w:line="253" w:lineRule="auto"/>
        <w:rPr>
          <w:sz w:val="20"/>
          <w:szCs w:val="20"/>
          <w:color w:val="auto"/>
        </w:rPr>
      </w:pPr>
      <w:r>
        <w:rPr>
          <w:rFonts w:ascii="Arial" w:cs="Arial" w:eastAsia="Arial" w:hAnsi="Arial"/>
          <w:sz w:val="16"/>
          <w:szCs w:val="16"/>
          <w:color w:val="auto"/>
        </w:rPr>
        <w:t>The provision for Private Loan losses of $214 million in the current quarter included $16 million associated with loan originations and $29 million a result of classifying $1.4 billion of Legacy Private Education Loans as held for sale as of September 30, 2026. An additional $211 million of provision in the current quarter primarily relates to recent and forecasted delinquencies and charge-offs persisting at elevated levels for a longer duration than previously anticipated. This was partially offset by a $42 million decrease as a result of classifying $1.0 billion of In-School Education Loans as held for sale as of September 30, 2026. The provision for loan losses of $155 million in the year-ago quarter included $17 million associated with loan originations and $138 million primarily the result of elevated delinquency balances as well as our forecasted macroeconomic outlook.</w:t>
      </w:r>
    </w:p>
    <w:p>
      <w:pPr>
        <w:spacing w:after="0" w:line="73" w:lineRule="exact"/>
        <w:rPr>
          <w:sz w:val="20"/>
          <w:szCs w:val="20"/>
          <w:color w:val="auto"/>
        </w:rPr>
      </w:pPr>
    </w:p>
    <w:p>
      <w:pPr>
        <w:ind w:left="600" w:right="40"/>
        <w:spacing w:after="0" w:line="259" w:lineRule="auto"/>
        <w:rPr>
          <w:sz w:val="20"/>
          <w:szCs w:val="20"/>
          <w:color w:val="auto"/>
        </w:rPr>
      </w:pPr>
      <w:r>
        <w:rPr>
          <w:rFonts w:ascii="Arial" w:cs="Arial" w:eastAsia="Arial" w:hAnsi="Arial"/>
          <w:sz w:val="16"/>
          <w:szCs w:val="16"/>
          <w:color w:val="auto"/>
        </w:rPr>
        <w:t>The provision for FFELP Loan losses of $13 million in the current period was primarily the result of an increase in premium allocated to future defaults, as well as the continued extension of the portfolio. The provision of $13 million in the year-ago quarter was primarily the result of an increase in delinquency balances, our forecasted macroeconomic outlook, as well as the continued extension of the portfolio.</w:t>
      </w:r>
    </w:p>
    <w:p>
      <w:pPr>
        <w:spacing w:after="0" w:line="16" w:lineRule="exact"/>
        <w:rPr>
          <w:sz w:val="20"/>
          <w:szCs w:val="20"/>
          <w:color w:val="auto"/>
        </w:rPr>
      </w:pPr>
    </w:p>
    <w:p>
      <w:pPr>
        <w:ind w:left="600" w:right="80" w:hanging="216"/>
        <w:spacing w:after="0" w:line="259" w:lineRule="auto"/>
        <w:tabs>
          <w:tab w:leader="none" w:pos="571"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income decreased $8 million primarily related to a $7 million decrease in transition services revenue we had earned related to our various strategic initiatives. The transition services related to the outsourcing of loan servicing and the sale of our healthcare services business ended in May 2025. The transition services related to the sale of our government services business ended in October 2025.</w:t>
      </w:r>
    </w:p>
    <w:p>
      <w:pPr>
        <w:spacing w:after="0" w:line="15" w:lineRule="exact"/>
        <w:rPr>
          <w:rFonts w:ascii="Arial" w:cs="Arial" w:eastAsia="Arial" w:hAnsi="Arial"/>
          <w:sz w:val="16"/>
          <w:szCs w:val="16"/>
          <w:color w:val="auto"/>
        </w:rPr>
      </w:pPr>
    </w:p>
    <w:p>
      <w:pPr>
        <w:ind w:left="600" w:hanging="216"/>
        <w:spacing w:after="0" w:line="266" w:lineRule="auto"/>
        <w:tabs>
          <w:tab w:leader="none" w:pos="7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were $162 million of gains on sale in the current period related to the sale of $750 million of Legacy Private Education Loans in connection with our broader effort to redeploy capital and align our balance sheet with today's lending products. There were no sales in the year-ago period.</w:t>
      </w:r>
    </w:p>
    <w:p>
      <w:pPr>
        <w:spacing w:after="0" w:line="9" w:lineRule="exact"/>
        <w:rPr>
          <w:rFonts w:ascii="Arial" w:cs="Arial" w:eastAsia="Arial" w:hAnsi="Arial"/>
          <w:sz w:val="16"/>
          <w:szCs w:val="16"/>
          <w:color w:val="auto"/>
        </w:rPr>
      </w:pPr>
    </w:p>
    <w:p>
      <w:pPr>
        <w:ind w:left="600" w:right="60" w:hanging="216"/>
        <w:spacing w:after="0" w:line="254" w:lineRule="auto"/>
        <w:tabs>
          <w:tab w:leader="none" w:pos="7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were $23 million of net fair value changes of loans related to electing the fair value option for In-School Education Loan originations beginning July 1, 2026. Of the $23 million net fair value changes of loans, $11 million relates to loans disbursed and recorded as loans on our balance sheet and $12 million relates to loan commitments to be disbursed in a future period (with the fair value of the lending commitment recorded in Other Assets on our balance sheet). Valuations of education loans fluctuate based upon many factors including changes in prepayment rates, loss rates and discount rates. As a result, net fair value changes of loans may vary significantly in future periods.</w:t>
      </w:r>
    </w:p>
    <w:p>
      <w:pPr>
        <w:spacing w:after="0" w:line="19" w:lineRule="exact"/>
        <w:rPr>
          <w:rFonts w:ascii="Arial" w:cs="Arial" w:eastAsia="Arial" w:hAnsi="Arial"/>
          <w:sz w:val="16"/>
          <w:szCs w:val="16"/>
          <w:color w:val="auto"/>
        </w:rPr>
      </w:pPr>
    </w:p>
    <w:p>
      <w:pPr>
        <w:ind w:left="600" w:right="200" w:hanging="216"/>
        <w:spacing w:after="0" w:line="266" w:lineRule="auto"/>
        <w:tabs>
          <w:tab w:leader="none" w:pos="7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Net gains on derivative and hedging activities increased $9 million due primarily to interest rate fluctuations. Valuations of derivative instruments fluctuate based upon many factors including changes in interest rates and other market factors. As a result, net gains and losses on derivative and hedging activities may vary significantly in future periods.</w:t>
      </w:r>
    </w:p>
    <w:p>
      <w:pPr>
        <w:spacing w:after="0" w:line="9" w:lineRule="exact"/>
        <w:rPr>
          <w:rFonts w:ascii="Arial" w:cs="Arial" w:eastAsia="Arial" w:hAnsi="Arial"/>
          <w:sz w:val="16"/>
          <w:szCs w:val="16"/>
          <w:color w:val="auto"/>
        </w:rPr>
      </w:pPr>
    </w:p>
    <w:p>
      <w:pPr>
        <w:ind w:left="600" w:right="60" w:hanging="216"/>
        <w:spacing w:after="0" w:line="253" w:lineRule="auto"/>
        <w:tabs>
          <w:tab w:leader="none" w:pos="7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Operating expenses decreased $30 million, $7 million of which was due to a decline in expenses in connection with providing transition services related to our various strategic initiatives. As of October 2025 we had no further obligations to provide these transition services. There was also a $16 million decrease in regulatory-related expenses primarily related to a $16 million benefit in the current period due to insurance proceeds received in connection with prior litigation matters. These decreases were offset by a $12 million increase in seasonal marketing and other expenses associated with the growth of our consumer lending businesses. The remaining $19 million decrease primarily relates to cost saving initiatives implemented, which have reduced our operating costs mostly in connection with our shared service functions and corporate footprint.</w:t>
      </w:r>
    </w:p>
    <w:p>
      <w:pPr>
        <w:spacing w:after="0" w:line="19" w:lineRule="exact"/>
        <w:rPr>
          <w:rFonts w:ascii="Arial" w:cs="Arial" w:eastAsia="Arial" w:hAnsi="Arial"/>
          <w:sz w:val="16"/>
          <w:szCs w:val="16"/>
          <w:color w:val="auto"/>
        </w:rPr>
      </w:pPr>
    </w:p>
    <w:p>
      <w:pPr>
        <w:ind w:left="600" w:right="120" w:hanging="216"/>
        <w:spacing w:after="0" w:line="266" w:lineRule="auto"/>
        <w:tabs>
          <w:tab w:leader="none" w:pos="7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Restructuring and other reorganization expenses decreased $2 million primarily due to a decrease in severance-related costs incurred in connection with the various strategic initiatives that have been and continue to be implemented to simplify the company, continue to reduce our expense base and enhance our flexibility.</w:t>
      </w:r>
    </w:p>
    <w:p>
      <w:pPr>
        <w:spacing w:after="0" w:line="9" w:lineRule="exact"/>
        <w:rPr>
          <w:rFonts w:ascii="Arial" w:cs="Arial" w:eastAsia="Arial" w:hAnsi="Arial"/>
          <w:sz w:val="16"/>
          <w:szCs w:val="16"/>
          <w:color w:val="auto"/>
        </w:rPr>
      </w:pPr>
    </w:p>
    <w:p>
      <w:pPr>
        <w:ind w:left="600" w:right="480" w:hanging="216"/>
        <w:spacing w:after="0" w:line="266" w:lineRule="auto"/>
        <w:tabs>
          <w:tab w:leader="none" w:pos="73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effective income tax rates for the current and year-ago quarters were (18)% and 27%, respectively. The decrease in the effective income tax rate in the current quarter is due to changes in the valuation allowance attributed to state operating loss carryovers.</w:t>
      </w:r>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repurchased 1.1 million and 2.0 million shares of our common stock during the third quarters of 2026 and 2025, respectively. As a result of repurchases, our average outstanding diluted shares decreased by 4 million common shares (or 4%) from the year-ago period.</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479425</wp:posOffset>
            </wp:positionV>
            <wp:extent cx="703770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0"/>
          </w:cols>
          <w:pgMar w:left="700" w:top="1097" w:right="10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Nine Months Ended September 30, 2026 Compared with Nine Months Ended September 30, 2025</w:t>
      </w:r>
    </w:p>
    <w:p>
      <w:pPr>
        <w:spacing w:after="0" w:line="113"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For the nine months ended September 30, 2026, net income was $56 million, or $0.59 per diluted share, compared with net loss of $75 million, or $0.75 per diluted share, for the year-ago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primary contributors to the change in net income are as follows:</w:t>
      </w:r>
    </w:p>
    <w:p>
      <w:pPr>
        <w:spacing w:after="0" w:line="59" w:lineRule="exact"/>
        <w:rPr>
          <w:sz w:val="20"/>
          <w:szCs w:val="20"/>
          <w:color w:val="auto"/>
        </w:rPr>
      </w:pPr>
    </w:p>
    <w:p>
      <w:pPr>
        <w:ind w:left="600" w:right="80" w:hanging="216"/>
        <w:spacing w:after="0" w:line="254" w:lineRule="auto"/>
        <w:tabs>
          <w:tab w:leader="none" w:pos="7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interest income decreased by $32 million primarily due to the paydown of the FFELP portfolio and the Private Education Loan portfolio's changing product mix with Refinance Education Loans increasing as a percentage of the portfolio. The Refinance Education Loan portfolio earns a lower net interest margin compared to the non-refinance portfolio, due to lower expected credit losses, which reduces the overall net interest margin. In addition, there was an $18 million benefit in the year-ago period from a decrease in prepayment rate assumptions on FFELP Loans (reduced premium amortization). This was partially offset by a $21 million increase in mark-to-market gains on fair value hedges recorded in interest expense.</w:t>
      </w:r>
    </w:p>
    <w:p>
      <w:pPr>
        <w:spacing w:after="0" w:line="19" w:lineRule="exact"/>
        <w:rPr>
          <w:rFonts w:ascii="Arial" w:cs="Arial" w:eastAsia="Arial" w:hAnsi="Arial"/>
          <w:sz w:val="16"/>
          <w:szCs w:val="16"/>
          <w:color w:val="auto"/>
        </w:rPr>
      </w:pPr>
    </w:p>
    <w:p>
      <w:pPr>
        <w:ind w:left="740" w:hanging="356"/>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Provisions for loan losses increased $45 million from $236 million to $281 million.</w:t>
      </w:r>
    </w:p>
    <w:p>
      <w:pPr>
        <w:spacing w:after="0" w:line="59" w:lineRule="exact"/>
        <w:rPr>
          <w:rFonts w:ascii="Arial" w:cs="Arial" w:eastAsia="Arial" w:hAnsi="Arial"/>
          <w:sz w:val="16"/>
          <w:szCs w:val="16"/>
          <w:color w:val="auto"/>
        </w:rPr>
      </w:pPr>
    </w:p>
    <w:p>
      <w:pPr>
        <w:ind w:left="1260" w:hanging="358"/>
        <w:spacing w:after="0"/>
        <w:tabs>
          <w:tab w:leader="none" w:pos="12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provision for Private Loan losses increased $44 million from $207 million to $251 million.</w:t>
      </w:r>
    </w:p>
    <w:p>
      <w:pPr>
        <w:spacing w:after="0" w:line="59" w:lineRule="exact"/>
        <w:rPr>
          <w:rFonts w:ascii="Arial" w:cs="Arial" w:eastAsia="Arial" w:hAnsi="Arial"/>
          <w:sz w:val="16"/>
          <w:szCs w:val="16"/>
          <w:color w:val="auto"/>
        </w:rPr>
      </w:pPr>
    </w:p>
    <w:p>
      <w:pPr>
        <w:ind w:left="1260" w:hanging="358"/>
        <w:spacing w:after="0"/>
        <w:tabs>
          <w:tab w:leader="none" w:pos="12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provision for FFELP Loan losses increased $1 million from $29 million to $30 million.</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provision for Private Loan losses of $251 million in the current period included $42 million associated with loan originations and</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$10 million a result of classifying $2.0 billion of Legacy Private Education Loans as held for sale during the period. An additional</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$241 million of provision in the current period primarily relates to recent and forecasted delinquencies and charge-offs persisting at</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elevated levels for a longer duration than previously anticipated. This was partially offset by a $42 million decrease as a result of</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classifying $1.0 billion of In-School Education Loans as held for sale as of September 30, 2026. The provision of $207 million in the</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year-ago period included $32 million associated with loan originations and $175 million primarily the result of elevated delinquency</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balances as well as our forecasted macroeconomic outlook.</w:t>
      </w:r>
    </w:p>
    <w:p>
      <w:pPr>
        <w:spacing w:after="0" w:line="97" w:lineRule="exact"/>
        <w:rPr>
          <w:sz w:val="20"/>
          <w:szCs w:val="20"/>
          <w:color w:val="auto"/>
        </w:rPr>
      </w:pPr>
    </w:p>
    <w:p>
      <w:pPr>
        <w:ind w:left="600"/>
        <w:spacing w:after="0" w:line="259" w:lineRule="auto"/>
        <w:rPr>
          <w:sz w:val="20"/>
          <w:szCs w:val="20"/>
          <w:color w:val="auto"/>
        </w:rPr>
      </w:pPr>
      <w:r>
        <w:rPr>
          <w:rFonts w:ascii="Arial" w:cs="Arial" w:eastAsia="Arial" w:hAnsi="Arial"/>
          <w:sz w:val="16"/>
          <w:szCs w:val="16"/>
          <w:color w:val="auto"/>
        </w:rPr>
        <w:t>The provision for FFELP Loan losses of $30 million in the current period was primarily the result of increased charge-offs due to prior disaster forbearance volume, as well as the continued extension of the portfolio. The provision of $29 million in the year-ago period was primarily the result of an increase in delinquency balances, our forecasted macroeconomic outlook, as well as the continued extension of the portfolio.</w:t>
      </w:r>
    </w:p>
    <w:p>
      <w:pPr>
        <w:spacing w:after="0" w:line="16" w:lineRule="exact"/>
        <w:rPr>
          <w:sz w:val="20"/>
          <w:szCs w:val="20"/>
          <w:color w:val="auto"/>
        </w:rPr>
      </w:pPr>
    </w:p>
    <w:p>
      <w:pPr>
        <w:ind w:left="600" w:right="340" w:hanging="216"/>
        <w:spacing w:after="0" w:line="266" w:lineRule="auto"/>
        <w:tabs>
          <w:tab w:leader="none" w:pos="7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Asset recovery and business processing revenue decreased $23 million as a result of the sale of our government services business in February 2025. With the sale of our government services business, Navient no longer provides business processing segment services.</w:t>
      </w:r>
    </w:p>
    <w:p>
      <w:pPr>
        <w:spacing w:after="0" w:line="9" w:lineRule="exact"/>
        <w:rPr>
          <w:rFonts w:ascii="Arial" w:cs="Arial" w:eastAsia="Arial" w:hAnsi="Arial"/>
          <w:sz w:val="16"/>
          <w:szCs w:val="16"/>
          <w:color w:val="auto"/>
        </w:rPr>
      </w:pPr>
    </w:p>
    <w:p>
      <w:pPr>
        <w:ind w:left="600" w:right="80" w:hanging="216"/>
        <w:spacing w:after="0" w:line="259" w:lineRule="auto"/>
        <w:tabs>
          <w:tab w:leader="none" w:pos="571"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income decreased $21 million primarily related to a $32 million decrease in transition services revenue we had earned related to our various strategic initiatives. The transition services related to the outsourcing of loan servicing and the sale of our healthcare services business ended in May 2025. The transition services related to the sale of our government services business ended in October 2025. This $32 million decrease was partially offset by a $12 million gain on an investment in the current period.</w:t>
      </w:r>
    </w:p>
    <w:p>
      <w:pPr>
        <w:spacing w:after="0" w:line="15" w:lineRule="exact"/>
        <w:rPr>
          <w:rFonts w:ascii="Arial" w:cs="Arial" w:eastAsia="Arial" w:hAnsi="Arial"/>
          <w:sz w:val="16"/>
          <w:szCs w:val="16"/>
          <w:color w:val="auto"/>
        </w:rPr>
      </w:pPr>
    </w:p>
    <w:p>
      <w:pPr>
        <w:ind w:left="600" w:hanging="216"/>
        <w:spacing w:after="0" w:line="266" w:lineRule="auto"/>
        <w:tabs>
          <w:tab w:leader="none" w:pos="7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were $162 million of gains on sale in the current period related to the sale of $750 million of Legacy Private Education Loans in connection with our broader effort to redeploy capital and align our balance sheet with today's lending products. There were no sales in the year-ago period.</w:t>
      </w:r>
    </w:p>
    <w:p>
      <w:pPr>
        <w:spacing w:after="0" w:line="9" w:lineRule="exact"/>
        <w:rPr>
          <w:rFonts w:ascii="Arial" w:cs="Arial" w:eastAsia="Arial" w:hAnsi="Arial"/>
          <w:sz w:val="16"/>
          <w:szCs w:val="16"/>
          <w:color w:val="auto"/>
        </w:rPr>
      </w:pPr>
    </w:p>
    <w:p>
      <w:pPr>
        <w:ind w:left="600" w:right="80" w:hanging="216"/>
        <w:spacing w:after="0" w:line="254" w:lineRule="auto"/>
        <w:tabs>
          <w:tab w:leader="none" w:pos="7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were $23 million of net fair value changes of loans related to electing the fair value option accounting model for In-School Education Loan originations beginning July 1, 2026. Of the $23 million net fair value changes of loans, $11 million relates to loans disbursed and recorded as loans on our balance sheet and $12 million relates to loan commitments to be disbursed in a future period (with the fair value of the lending commitment recorded in Other Assets on our balance sheet). Valuations of education loans fluctuate based upon many factors including changes in prepayment rates, loss rates and discount rates. As a result, net fair value changes of loans may vary significantly in future periods.</w:t>
      </w:r>
    </w:p>
    <w:p>
      <w:pPr>
        <w:spacing w:after="0" w:line="19" w:lineRule="exact"/>
        <w:rPr>
          <w:rFonts w:ascii="Arial" w:cs="Arial" w:eastAsia="Arial" w:hAnsi="Arial"/>
          <w:sz w:val="16"/>
          <w:szCs w:val="16"/>
          <w:color w:val="auto"/>
        </w:rPr>
      </w:pPr>
    </w:p>
    <w:p>
      <w:pPr>
        <w:ind w:left="600" w:right="200" w:hanging="216"/>
        <w:spacing w:after="0" w:line="266" w:lineRule="auto"/>
        <w:tabs>
          <w:tab w:leader="none" w:pos="7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gains on derivative and hedging activities increased $45 million due primarily to interest rate fluctuations. Valuations of derivative instruments fluctuate based upon many factors including changes in interest rates and other market factors. As a result, net gains and losses on derivative and hedging activities may vary significantly in future periods.</w:t>
      </w:r>
    </w:p>
    <w:p>
      <w:pPr>
        <w:spacing w:after="0" w:line="9" w:lineRule="exact"/>
        <w:rPr>
          <w:rFonts w:ascii="Arial" w:cs="Arial" w:eastAsia="Arial" w:hAnsi="Arial"/>
          <w:sz w:val="16"/>
          <w:szCs w:val="16"/>
          <w:color w:val="auto"/>
        </w:rPr>
      </w:pPr>
    </w:p>
    <w:p>
      <w:pPr>
        <w:ind w:left="600" w:right="20" w:hanging="216"/>
        <w:spacing w:after="0" w:line="251" w:lineRule="auto"/>
        <w:tabs>
          <w:tab w:leader="none" w:pos="7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Operating expenses decreased $87 million, $23 million of which was due to a decline in business processing expenses as a result of the sale of our government services business in February 2025 ($20 million of the reduction is in the Business Processing segment and $3 million of the reduction is in the Other segment). In addition, there was a $30 million decline in expenses in connection with providing transition services related to our various strategic initiatives. As of October 2025, we had no further obligations to provide these transition services. There was also a $17 million decrease in regulatory-related expenses primarily related to a $16 million benefit in the current period due to insurance proceeds received in connection with prior litigation matters. These decreases were offset by a $23 million increase in marketing and other expenses associated with the growth of our consumer lending businesses. The remaining $40 million decrease primarily relates to cost saving initiatives implemented, which have reduced our operating costs mostly in connection with our shared service functions and corporate footprint.</w:t>
      </w:r>
    </w:p>
    <w:p>
      <w:pPr>
        <w:spacing w:after="0" w:line="23" w:lineRule="exact"/>
        <w:rPr>
          <w:rFonts w:ascii="Arial" w:cs="Arial" w:eastAsia="Arial" w:hAnsi="Arial"/>
          <w:sz w:val="16"/>
          <w:szCs w:val="16"/>
          <w:color w:val="auto"/>
        </w:rPr>
      </w:pPr>
    </w:p>
    <w:p>
      <w:pPr>
        <w:ind w:left="600" w:right="120" w:hanging="216"/>
        <w:spacing w:after="0" w:line="266" w:lineRule="auto"/>
        <w:tabs>
          <w:tab w:leader="none" w:pos="7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Restructuring and other reorganization expenses decreased $2 million primarily due to a decrease in severance-related costs incurred in connection with the various strategic initiatives that have been and continue to be implemented to simplify the company, continue to reduce our expense base and enhance our flexibility.</w:t>
      </w:r>
    </w:p>
    <w:p>
      <w:pPr>
        <w:spacing w:after="0" w:line="19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repurchased 3.7 million and 6.4 million shares of our common stock during the nine months ended September 30, 2026 and September 30, 2025, respectively. As a result of repurchases, our average outstanding diluted shares decreased by 5 million common shares (or 5%) from the year-ago period.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479425</wp:posOffset>
            </wp:positionV>
            <wp:extent cx="703770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0"/>
          </w:cols>
          <w:pgMar w:left="700" w:top="1205" w:right="1099" w:bottom="1440" w:gutter="0" w:footer="0" w:header="0"/>
        </w:sectPr>
      </w:pPr>
    </w:p>
    <w:bookmarkStart w:id="15" w:name="page16"/>
    <w:bookmarkEnd w:id="15"/>
    <w:p>
      <w:pPr>
        <w:ind w:left="105"/>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448310</wp:posOffset>
            </wp:positionH>
            <wp:positionV relativeFrom="page">
              <wp:posOffset>774700</wp:posOffset>
            </wp:positionV>
            <wp:extent cx="6412230"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12230" cy="205740"/>
                    </a:xfrm>
                    <a:prstGeom prst="rect">
                      <a:avLst/>
                    </a:prstGeom>
                    <a:noFill/>
                  </pic:spPr>
                </pic:pic>
              </a:graphicData>
            </a:graphic>
          </wp:anchor>
        </w:drawing>
        <w:t>PRIVATE EDUCATION LOANS PORTFOLIO PERFORMANCE</w:t>
      </w:r>
    </w:p>
    <w:p>
      <w:pPr>
        <w:spacing w:after="0" w:line="16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Private Education Loan Delinquencies and Forbearance</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left="149"/>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left="369"/>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12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millions)</w:t>
            </w:r>
          </w:p>
        </w:tc>
        <w:tc>
          <w:tcPr>
            <w:tcW w:w="208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2026</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gridSpan w:val="2"/>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9"/>
              <w:spacing w:after="0" w:line="142" w:lineRule="exact"/>
              <w:rPr>
                <w:sz w:val="20"/>
                <w:szCs w:val="20"/>
                <w:color w:val="auto"/>
              </w:rPr>
            </w:pPr>
            <w:r>
              <w:rPr>
                <w:rFonts w:ascii="Arial" w:cs="Arial" w:eastAsia="Arial" w:hAnsi="Arial"/>
                <w:sz w:val="13"/>
                <w:szCs w:val="13"/>
                <w:b w:val="1"/>
                <w:bCs w:val="1"/>
                <w:color w:val="auto"/>
              </w:rPr>
              <w:t>Balance</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rPr>
              <w:t>Balance</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rPr>
              <w:t>Balance</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2"/>
            <w:shd w:val="clear" w:color="auto" w:fill="CFF0FC"/>
          </w:tcPr>
          <w:p>
            <w:pPr>
              <w:spacing w:after="0" w:line="183" w:lineRule="exact"/>
              <w:rPr>
                <w:sz w:val="20"/>
                <w:szCs w:val="20"/>
                <w:color w:val="auto"/>
              </w:rPr>
            </w:pPr>
            <w:r>
              <w:rPr>
                <w:rFonts w:ascii="Arial" w:cs="Arial" w:eastAsia="Arial" w:hAnsi="Arial"/>
                <w:sz w:val="14"/>
                <w:szCs w:val="14"/>
                <w:color w:val="auto"/>
              </w:rPr>
              <w:t>Loans in-school/grace/deferment</w:t>
            </w:r>
            <w:r>
              <w:rPr>
                <w:rFonts w:ascii="Arial" w:cs="Arial" w:eastAsia="Arial" w:hAnsi="Arial"/>
                <w:sz w:val="19"/>
                <w:szCs w:val="19"/>
                <w:color w:val="auto"/>
                <w:vertAlign w:val="superscript"/>
              </w:rPr>
              <w:t>(1)</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2"/>
          </w:tcPr>
          <w:p>
            <w:pPr>
              <w:spacing w:after="0" w:line="189" w:lineRule="exact"/>
              <w:rPr>
                <w:sz w:val="20"/>
                <w:szCs w:val="20"/>
                <w:color w:val="auto"/>
              </w:rPr>
            </w:pPr>
            <w:r>
              <w:rPr>
                <w:rFonts w:ascii="Arial" w:cs="Arial" w:eastAsia="Arial" w:hAnsi="Arial"/>
                <w:sz w:val="14"/>
                <w:szCs w:val="14"/>
                <w:color w:val="auto"/>
              </w:rPr>
              <w:t>Loans in forbearance</w:t>
            </w:r>
            <w:r>
              <w:rPr>
                <w:rFonts w:ascii="Arial" w:cs="Arial" w:eastAsia="Arial" w:hAnsi="Arial"/>
                <w:sz w:val="19"/>
                <w:szCs w:val="19"/>
                <w:color w:val="auto"/>
                <w:vertAlign w:val="superscript"/>
              </w:rPr>
              <w:t>(2)</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FF0FC"/>
          </w:tcPr>
          <w:p>
            <w:pPr>
              <w:spacing w:after="0" w:line="153" w:lineRule="exact"/>
              <w:rPr>
                <w:sz w:val="20"/>
                <w:szCs w:val="20"/>
                <w:color w:val="auto"/>
              </w:rPr>
            </w:pPr>
            <w:r>
              <w:rPr>
                <w:rFonts w:ascii="Arial" w:cs="Arial" w:eastAsia="Arial" w:hAnsi="Arial"/>
                <w:sz w:val="14"/>
                <w:szCs w:val="14"/>
                <w:color w:val="auto"/>
              </w:rPr>
              <w:t>Loans in repayment and percentage</w:t>
            </w: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of each status:</w:t>
            </w: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tcPr>
          <w:p>
            <w:pPr>
              <w:ind w:left="80"/>
              <w:spacing w:after="0"/>
              <w:rPr>
                <w:sz w:val="20"/>
                <w:szCs w:val="20"/>
                <w:color w:val="auto"/>
              </w:rPr>
            </w:pPr>
            <w:r>
              <w:rPr>
                <w:rFonts w:ascii="Arial" w:cs="Arial" w:eastAsia="Arial" w:hAnsi="Arial"/>
                <w:sz w:val="14"/>
                <w:szCs w:val="14"/>
                <w:color w:val="auto"/>
              </w:rPr>
              <w:t>Loans current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11,881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94.9%</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13,985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94.6%</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14,291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2"/>
            <w:shd w:val="clear" w:color="auto" w:fill="CFF0FC"/>
          </w:tcPr>
          <w:p>
            <w:pPr>
              <w:ind w:left="80"/>
              <w:spacing w:after="0" w:line="189" w:lineRule="exact"/>
              <w:rPr>
                <w:sz w:val="20"/>
                <w:szCs w:val="20"/>
                <w:color w:val="auto"/>
              </w:rPr>
            </w:pPr>
            <w:r>
              <w:rPr>
                <w:rFonts w:ascii="Arial" w:cs="Arial" w:eastAsia="Arial" w:hAnsi="Arial"/>
                <w:sz w:val="14"/>
                <w:szCs w:val="14"/>
                <w:color w:val="auto"/>
              </w:rPr>
              <w:t>Loans delinquent 31-60 days</w:t>
            </w:r>
            <w:r>
              <w:rPr>
                <w:rFonts w:ascii="Arial" w:cs="Arial" w:eastAsia="Arial" w:hAnsi="Arial"/>
                <w:sz w:val="19"/>
                <w:szCs w:val="19"/>
                <w:color w:val="auto"/>
                <w:vertAlign w:val="superscript"/>
              </w:rPr>
              <w:t>(3)</w:t>
            </w: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2"/>
          </w:tcPr>
          <w:p>
            <w:pPr>
              <w:ind w:left="80"/>
              <w:spacing w:after="0" w:line="189" w:lineRule="exact"/>
              <w:rPr>
                <w:sz w:val="20"/>
                <w:szCs w:val="20"/>
                <w:color w:val="auto"/>
              </w:rPr>
            </w:pPr>
            <w:r>
              <w:rPr>
                <w:rFonts w:ascii="Arial" w:cs="Arial" w:eastAsia="Arial" w:hAnsi="Arial"/>
                <w:sz w:val="14"/>
                <w:szCs w:val="14"/>
                <w:color w:val="auto"/>
              </w:rPr>
              <w:t>Loans delinquent 61-90 days</w:t>
            </w:r>
            <w:r>
              <w:rPr>
                <w:rFonts w:ascii="Arial" w:cs="Arial" w:eastAsia="Arial" w:hAnsi="Arial"/>
                <w:sz w:val="19"/>
                <w:szCs w:val="19"/>
                <w:color w:val="auto"/>
                <w:vertAlign w:val="superscript"/>
              </w:rPr>
              <w:t>(3)</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FF0FC"/>
          </w:tcPr>
          <w:p>
            <w:pPr>
              <w:ind w:left="80"/>
              <w:spacing w:after="0" w:line="135" w:lineRule="exact"/>
              <w:rPr>
                <w:sz w:val="20"/>
                <w:szCs w:val="20"/>
                <w:color w:val="auto"/>
              </w:rPr>
            </w:pPr>
            <w:r>
              <w:rPr>
                <w:rFonts w:ascii="Arial" w:cs="Arial" w:eastAsia="Arial" w:hAnsi="Arial"/>
                <w:sz w:val="14"/>
                <w:szCs w:val="14"/>
                <w:color w:val="auto"/>
              </w:rPr>
              <w:t>Loans delinquent greater than</w:t>
            </w:r>
          </w:p>
        </w:tc>
        <w:tc>
          <w:tcPr>
            <w:tcW w:w="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Borders>
              <w:bottom w:val="single" w:sz="8" w:color="CFF0FC"/>
            </w:tcBorders>
            <w:gridSpan w:val="2"/>
            <w:shd w:val="clear" w:color="auto" w:fill="CFF0FC"/>
          </w:tcPr>
          <w:p>
            <w:pPr>
              <w:ind w:left="240"/>
              <w:spacing w:after="0" w:line="203" w:lineRule="exact"/>
              <w:rPr>
                <w:sz w:val="20"/>
                <w:szCs w:val="20"/>
                <w:color w:val="auto"/>
              </w:rPr>
            </w:pPr>
            <w:r>
              <w:rPr>
                <w:rFonts w:ascii="Arial" w:cs="Arial" w:eastAsia="Arial" w:hAnsi="Arial"/>
                <w:sz w:val="14"/>
                <w:szCs w:val="14"/>
                <w:color w:val="auto"/>
              </w:rPr>
              <w:t>90 days</w:t>
            </w:r>
            <w:r>
              <w:rPr>
                <w:rFonts w:ascii="Arial" w:cs="Arial" w:eastAsia="Arial" w:hAnsi="Arial"/>
                <w:sz w:val="19"/>
                <w:szCs w:val="19"/>
                <w:color w:val="auto"/>
                <w:vertAlign w:val="superscript"/>
              </w:rPr>
              <w:t>(3)</w:t>
            </w:r>
          </w:p>
        </w:tc>
        <w:tc>
          <w:tcPr>
            <w:tcW w:w="8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433</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gridSpan w:val="2"/>
          </w:tcPr>
          <w:p>
            <w:pPr>
              <w:spacing w:after="0" w:line="147" w:lineRule="exact"/>
              <w:rPr>
                <w:sz w:val="20"/>
                <w:szCs w:val="20"/>
                <w:color w:val="auto"/>
              </w:rPr>
            </w:pPr>
            <w:r>
              <w:rPr>
                <w:rFonts w:ascii="Arial" w:cs="Arial" w:eastAsia="Arial" w:hAnsi="Arial"/>
                <w:sz w:val="14"/>
                <w:szCs w:val="14"/>
                <w:color w:val="auto"/>
              </w:rPr>
              <w:t>Total Private Education Loans in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12,519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14,781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15,221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ind w:left="100"/>
              <w:spacing w:after="0" w:line="125" w:lineRule="exact"/>
              <w:rPr>
                <w:sz w:val="20"/>
                <w:szCs w:val="20"/>
                <w:color w:val="auto"/>
              </w:rPr>
            </w:pPr>
            <w:r>
              <w:rPr>
                <w:rFonts w:ascii="Arial" w:cs="Arial" w:eastAsia="Arial" w:hAnsi="Arial"/>
                <w:sz w:val="14"/>
                <w:szCs w:val="14"/>
                <w:color w:val="auto"/>
              </w:rPr>
              <w:t>repayment</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2"/>
            <w:shd w:val="clear" w:color="auto" w:fill="CFF0FC"/>
          </w:tcPr>
          <w:p>
            <w:pPr>
              <w:spacing w:after="0" w:line="170" w:lineRule="exact"/>
              <w:rPr>
                <w:sz w:val="20"/>
                <w:szCs w:val="20"/>
                <w:color w:val="auto"/>
              </w:rPr>
            </w:pPr>
            <w:r>
              <w:rPr>
                <w:rFonts w:ascii="Arial" w:cs="Arial" w:eastAsia="Arial" w:hAnsi="Arial"/>
                <w:sz w:val="14"/>
                <w:szCs w:val="14"/>
                <w:color w:val="auto"/>
              </w:rPr>
              <w:t xml:space="preserve">Total Private Education Loans, gross </w:t>
            </w:r>
            <w:r>
              <w:rPr>
                <w:rFonts w:ascii="Arial" w:cs="Arial" w:eastAsia="Arial" w:hAnsi="Arial"/>
                <w:sz w:val="19"/>
                <w:szCs w:val="19"/>
                <w:color w:val="auto"/>
                <w:vertAlign w:val="superscript"/>
              </w:rPr>
              <w:t>(5)</w:t>
            </w: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12,979</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15,409</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15,862</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tcPr>
          <w:p>
            <w:pPr>
              <w:spacing w:after="0" w:line="153" w:lineRule="exact"/>
              <w:rPr>
                <w:sz w:val="20"/>
                <w:szCs w:val="20"/>
                <w:color w:val="auto"/>
              </w:rPr>
            </w:pPr>
            <w:r>
              <w:rPr>
                <w:rFonts w:ascii="Arial" w:cs="Arial" w:eastAsia="Arial" w:hAnsi="Arial"/>
                <w:sz w:val="14"/>
                <w:szCs w:val="14"/>
                <w:color w:val="auto"/>
              </w:rPr>
              <w:t>Private Education Loan allowance for</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(299)</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(263)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(406)</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20" w:type="dxa"/>
            <w:vAlign w:val="bottom"/>
            <w:gridSpan w:val="2"/>
          </w:tcPr>
          <w:p>
            <w:pPr>
              <w:ind w:left="100"/>
              <w:spacing w:after="0" w:line="158" w:lineRule="exact"/>
              <w:rPr>
                <w:sz w:val="20"/>
                <w:szCs w:val="20"/>
                <w:color w:val="auto"/>
              </w:rPr>
            </w:pPr>
            <w:r>
              <w:rPr>
                <w:rFonts w:ascii="Arial" w:cs="Arial" w:eastAsia="Arial" w:hAnsi="Arial"/>
                <w:sz w:val="14"/>
                <w:szCs w:val="14"/>
                <w:color w:val="auto"/>
              </w:rPr>
              <w:t>loan losses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7"/>
                <w:szCs w:val="17"/>
                <w:color w:val="auto"/>
              </w:rPr>
            </w:pPr>
          </w:p>
        </w:tc>
        <w:tc>
          <w:tcPr>
            <w:tcW w:w="33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Private Education Loans, net</w:t>
            </w:r>
          </w:p>
        </w:tc>
        <w:tc>
          <w:tcPr>
            <w:tcW w:w="9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12,680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15,146</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15,456</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20" w:type="dxa"/>
            <w:vAlign w:val="bottom"/>
            <w:tcBorders>
              <w:top w:val="single" w:sz="8" w:color="CFF0FC"/>
            </w:tcBorders>
            <w:gridSpan w:val="2"/>
          </w:tcPr>
          <w:p>
            <w:pPr>
              <w:spacing w:after="0" w:line="133" w:lineRule="exact"/>
              <w:rPr>
                <w:sz w:val="20"/>
                <w:szCs w:val="20"/>
                <w:color w:val="auto"/>
              </w:rPr>
            </w:pPr>
            <w:r>
              <w:rPr>
                <w:rFonts w:ascii="Arial" w:cs="Arial" w:eastAsia="Arial" w:hAnsi="Arial"/>
                <w:sz w:val="14"/>
                <w:szCs w:val="14"/>
                <w:color w:val="auto"/>
              </w:rPr>
              <w:t>Percentage of Private Education</w:t>
            </w:r>
          </w:p>
        </w:tc>
        <w:tc>
          <w:tcPr>
            <w:tcW w:w="86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600" w:type="dxa"/>
            <w:vAlign w:val="bottom"/>
            <w:tcBorders>
              <w:top w:val="single" w:sz="8" w:color="CFF0FC"/>
            </w:tcBorders>
            <w:gridSpan w:val="2"/>
            <w:vMerge w:val="restart"/>
          </w:tcPr>
          <w:p>
            <w:pPr>
              <w:jc w:val="right"/>
              <w:ind w:right="140"/>
              <w:spacing w:after="0"/>
              <w:rPr>
                <w:sz w:val="20"/>
                <w:szCs w:val="20"/>
                <w:color w:val="auto"/>
              </w:rPr>
            </w:pPr>
            <w:r>
              <w:rPr>
                <w:rFonts w:ascii="Arial" w:cs="Arial" w:eastAsia="Arial" w:hAnsi="Arial"/>
                <w:sz w:val="14"/>
                <w:szCs w:val="14"/>
                <w:color w:val="auto"/>
              </w:rPr>
              <w:t>96.5%</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00" w:type="dxa"/>
            <w:vAlign w:val="bottom"/>
            <w:tcBorders>
              <w:top w:val="single" w:sz="8" w:color="CFF0FC"/>
            </w:tcBorders>
            <w:gridSpan w:val="2"/>
            <w:vMerge w:val="restart"/>
          </w:tcPr>
          <w:p>
            <w:pPr>
              <w:jc w:val="right"/>
              <w:ind w:right="160"/>
              <w:spacing w:after="0"/>
              <w:rPr>
                <w:sz w:val="20"/>
                <w:szCs w:val="20"/>
                <w:color w:val="auto"/>
              </w:rPr>
            </w:pPr>
            <w:r>
              <w:rPr>
                <w:rFonts w:ascii="Arial" w:cs="Arial" w:eastAsia="Arial" w:hAnsi="Arial"/>
                <w:sz w:val="14"/>
                <w:szCs w:val="14"/>
                <w:color w:val="auto"/>
              </w:rPr>
              <w:t>95.9%</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gridSpan w:val="2"/>
            <w:vMerge w:val="restart"/>
          </w:tcPr>
          <w:p>
            <w:pPr>
              <w:jc w:val="right"/>
              <w:ind w:right="20"/>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ind w:left="60"/>
              <w:spacing w:after="0" w:line="125" w:lineRule="exact"/>
              <w:rPr>
                <w:sz w:val="20"/>
                <w:szCs w:val="20"/>
                <w:color w:val="auto"/>
              </w:rPr>
            </w:pPr>
            <w:r>
              <w:rPr>
                <w:rFonts w:ascii="Arial" w:cs="Arial" w:eastAsia="Arial" w:hAnsi="Arial"/>
                <w:sz w:val="14"/>
                <w:szCs w:val="14"/>
                <w:color w:val="auto"/>
              </w:rPr>
              <w:t>Loans in repayment</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320" w:type="dxa"/>
            <w:vAlign w:val="bottom"/>
            <w:gridSpan w:val="2"/>
            <w:shd w:val="clear" w:color="auto" w:fill="CFF0FC"/>
          </w:tcPr>
          <w:p>
            <w:pPr>
              <w:spacing w:after="0" w:line="133" w:lineRule="exact"/>
              <w:rPr>
                <w:sz w:val="20"/>
                <w:szCs w:val="20"/>
                <w:color w:val="auto"/>
              </w:rPr>
            </w:pPr>
            <w:r>
              <w:rPr>
                <w:rFonts w:ascii="Arial" w:cs="Arial" w:eastAsia="Arial" w:hAnsi="Arial"/>
                <w:sz w:val="14"/>
                <w:szCs w:val="14"/>
                <w:color w:val="auto"/>
              </w:rPr>
              <w:t>Delinquencies as a percentage of</w:t>
            </w:r>
          </w:p>
        </w:tc>
        <w:tc>
          <w:tcPr>
            <w:tcW w:w="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Private Education Loans in</w:t>
            </w: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5.1%</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5.4%</w:t>
            </w: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shd w:val="clear" w:color="auto" w:fill="CFF0FC"/>
          </w:tcPr>
          <w:p>
            <w:pPr>
              <w:ind w:left="100"/>
              <w:spacing w:after="0" w:line="125" w:lineRule="exact"/>
              <w:rPr>
                <w:sz w:val="20"/>
                <w:szCs w:val="20"/>
                <w:color w:val="auto"/>
              </w:rPr>
            </w:pPr>
            <w:r>
              <w:rPr>
                <w:rFonts w:ascii="Arial" w:cs="Arial" w:eastAsia="Arial" w:hAnsi="Arial"/>
                <w:sz w:val="14"/>
                <w:szCs w:val="14"/>
                <w:color w:val="auto"/>
              </w:rPr>
              <w:t>repayment</w:t>
            </w: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20" w:type="dxa"/>
            <w:vAlign w:val="bottom"/>
            <w:tcBorders>
              <w:top w:val="single" w:sz="8" w:color="CFF0FC"/>
            </w:tcBorders>
            <w:gridSpan w:val="2"/>
          </w:tcPr>
          <w:p>
            <w:pPr>
              <w:spacing w:after="0" w:line="133" w:lineRule="exact"/>
              <w:rPr>
                <w:sz w:val="20"/>
                <w:szCs w:val="20"/>
                <w:color w:val="auto"/>
              </w:rPr>
            </w:pPr>
            <w:r>
              <w:rPr>
                <w:rFonts w:ascii="Arial" w:cs="Arial" w:eastAsia="Arial" w:hAnsi="Arial"/>
                <w:sz w:val="14"/>
                <w:szCs w:val="14"/>
                <w:color w:val="auto"/>
              </w:rPr>
              <w:t>Loans in forbearance as a percentage</w:t>
            </w:r>
          </w:p>
        </w:tc>
        <w:tc>
          <w:tcPr>
            <w:tcW w:w="86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2"/>
          </w:tcPr>
          <w:p>
            <w:pPr>
              <w:ind w:left="60"/>
              <w:spacing w:after="0"/>
              <w:rPr>
                <w:sz w:val="20"/>
                <w:szCs w:val="20"/>
                <w:color w:val="auto"/>
              </w:rPr>
            </w:pPr>
            <w:r>
              <w:rPr>
                <w:rFonts w:ascii="Arial" w:cs="Arial" w:eastAsia="Arial" w:hAnsi="Arial"/>
                <w:sz w:val="14"/>
                <w:szCs w:val="14"/>
                <w:color w:val="auto"/>
              </w:rPr>
              <w:t>of loans in repayment and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ind w:left="100"/>
              <w:spacing w:after="0" w:line="125" w:lineRule="exact"/>
              <w:rPr>
                <w:sz w:val="20"/>
                <w:szCs w:val="20"/>
                <w:color w:val="auto"/>
              </w:rPr>
            </w:pPr>
            <w:r>
              <w:rPr>
                <w:rFonts w:ascii="Arial" w:cs="Arial" w:eastAsia="Arial" w:hAnsi="Arial"/>
                <w:sz w:val="14"/>
                <w:szCs w:val="14"/>
                <w:color w:val="auto"/>
              </w:rPr>
              <w:t>forbearance</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320" w:type="dxa"/>
            <w:vAlign w:val="bottom"/>
            <w:gridSpan w:val="2"/>
            <w:shd w:val="clear" w:color="auto" w:fill="CFF0FC"/>
          </w:tcPr>
          <w:p>
            <w:pPr>
              <w:spacing w:after="0" w:line="116" w:lineRule="exact"/>
              <w:rPr>
                <w:sz w:val="20"/>
                <w:szCs w:val="20"/>
                <w:color w:val="auto"/>
              </w:rPr>
            </w:pPr>
            <w:r>
              <w:rPr>
                <w:rFonts w:ascii="Arial" w:cs="Arial" w:eastAsia="Arial" w:hAnsi="Arial"/>
                <w:sz w:val="13"/>
                <w:szCs w:val="13"/>
                <w:color w:val="auto"/>
              </w:rPr>
              <w:t>Percentage of Private Education</w:t>
            </w:r>
          </w:p>
        </w:tc>
        <w:tc>
          <w:tcPr>
            <w:tcW w:w="8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3320" w:type="dxa"/>
            <w:vAlign w:val="bottom"/>
            <w:gridSpan w:val="2"/>
            <w:shd w:val="clear" w:color="auto" w:fill="CFF0FC"/>
          </w:tcPr>
          <w:p>
            <w:pPr>
              <w:ind w:left="100"/>
              <w:spacing w:after="0" w:line="175" w:lineRule="exact"/>
              <w:rPr>
                <w:sz w:val="20"/>
                <w:szCs w:val="20"/>
                <w:color w:val="auto"/>
              </w:rPr>
            </w:pPr>
            <w:r>
              <w:rPr>
                <w:rFonts w:ascii="Arial" w:cs="Arial" w:eastAsia="Arial" w:hAnsi="Arial"/>
                <w:sz w:val="14"/>
                <w:szCs w:val="14"/>
                <w:color w:val="auto"/>
              </w:rPr>
              <w:t>Loans with a cosigner</w:t>
            </w:r>
            <w:r>
              <w:rPr>
                <w:rFonts w:ascii="Arial" w:cs="Arial" w:eastAsia="Arial" w:hAnsi="Arial"/>
                <w:sz w:val="19"/>
                <w:szCs w:val="19"/>
                <w:color w:val="auto"/>
                <w:vertAlign w:val="superscript"/>
              </w:rPr>
              <w:t>(4)</w:t>
            </w: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29%</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-1713865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-1713865</wp:posOffset>
            </wp:positionV>
            <wp:extent cx="93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-1713865</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-1713865</wp:posOffset>
            </wp:positionV>
            <wp:extent cx="939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-1713865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-1713865</wp:posOffset>
            </wp:positionV>
            <wp:extent cx="939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-1071245</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-1053465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-1071245</wp:posOffset>
            </wp:positionV>
            <wp:extent cx="596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-1053465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-1071245</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-1053465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-556895</wp:posOffset>
            </wp:positionV>
            <wp:extent cx="93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-539115</wp:posOffset>
            </wp:positionV>
            <wp:extent cx="93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-556895</wp:posOffset>
            </wp:positionV>
            <wp:extent cx="93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-539115</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-556895</wp:posOffset>
            </wp:positionV>
            <wp:extent cx="93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-539115</wp:posOffset>
            </wp:positionV>
            <wp:extent cx="939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-25400</wp:posOffset>
            </wp:positionV>
            <wp:extent cx="93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3769995</wp:posOffset>
            </wp:positionH>
            <wp:positionV relativeFrom="paragraph">
              <wp:posOffset>-8255</wp:posOffset>
            </wp:positionV>
            <wp:extent cx="93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-25400</wp:posOffset>
            </wp:positionV>
            <wp:extent cx="93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-8255</wp:posOffset>
            </wp:positionV>
            <wp:extent cx="93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-25400</wp:posOffset>
            </wp:positionV>
            <wp:extent cx="93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-8255</wp:posOffset>
            </wp:positionV>
            <wp:extent cx="939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111125</wp:posOffset>
            </wp:positionV>
            <wp:extent cx="9855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14" w:lineRule="exact"/>
        <w:rPr>
          <w:sz w:val="20"/>
          <w:szCs w:val="20"/>
          <w:color w:val="auto"/>
        </w:rPr>
      </w:pPr>
    </w:p>
    <w:p>
      <w:pPr>
        <w:ind w:left="225" w:right="440" w:hanging="225"/>
        <w:spacing w:after="0" w:line="222" w:lineRule="auto"/>
        <w:tabs>
          <w:tab w:leader="none" w:pos="365"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Loans for customers who are attending school or are in other permitted educational activities and are not yet required to make payments on their loans, e.g., loans for customers who have requested and qualify for other permitted program deferments such as various military eligible deferments.</w:t>
      </w:r>
    </w:p>
    <w:p>
      <w:pPr>
        <w:spacing w:after="0" w:line="26" w:lineRule="exact"/>
        <w:rPr>
          <w:rFonts w:ascii="Arial" w:cs="Arial" w:eastAsia="Arial" w:hAnsi="Arial"/>
          <w:sz w:val="19"/>
          <w:szCs w:val="19"/>
          <w:color w:val="auto"/>
          <w:vertAlign w:val="superscript"/>
        </w:rPr>
      </w:pPr>
    </w:p>
    <w:p>
      <w:pPr>
        <w:ind w:left="225" w:right="360" w:hanging="225"/>
        <w:spacing w:after="0" w:line="222" w:lineRule="auto"/>
        <w:tabs>
          <w:tab w:leader="none" w:pos="365"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Loans for customers who have requested extension of grace period generally during employment transition or who have temporarily ceased making full payments due to hardship or other factors such as disaster relief consistent with established loan program servicing policies and procedures.</w:t>
      </w:r>
    </w:p>
    <w:p>
      <w:pPr>
        <w:spacing w:after="0" w:line="1" w:lineRule="exact"/>
        <w:rPr>
          <w:rFonts w:ascii="Arial" w:cs="Arial" w:eastAsia="Arial" w:hAnsi="Arial"/>
          <w:sz w:val="19"/>
          <w:szCs w:val="19"/>
          <w:color w:val="auto"/>
          <w:vertAlign w:val="superscript"/>
        </w:rPr>
      </w:pPr>
    </w:p>
    <w:p>
      <w:pPr>
        <w:ind w:left="365" w:hanging="365"/>
        <w:spacing w:after="0" w:line="237" w:lineRule="auto"/>
        <w:tabs>
          <w:tab w:leader="none" w:pos="365"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period of delinquency is based on the number of days scheduled payments are contractually past due.</w:t>
      </w:r>
    </w:p>
    <w:p>
      <w:pPr>
        <w:spacing w:after="0" w:line="40" w:lineRule="exact"/>
        <w:rPr>
          <w:rFonts w:ascii="Arial" w:cs="Arial" w:eastAsia="Arial" w:hAnsi="Arial"/>
          <w:sz w:val="19"/>
          <w:szCs w:val="19"/>
          <w:color w:val="auto"/>
          <w:vertAlign w:val="superscript"/>
        </w:rPr>
      </w:pPr>
    </w:p>
    <w:p>
      <w:pPr>
        <w:ind w:left="225" w:right="260" w:hanging="225"/>
        <w:spacing w:after="0" w:line="213" w:lineRule="auto"/>
        <w:tabs>
          <w:tab w:leader="none" w:pos="365"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Excluding Refinance Education Loans, the cosigner rate was 65%, 66% and 67% for third-quarter 2026, second-quarter 2026 and third-quarter 2025, respectively.</w:t>
      </w:r>
    </w:p>
    <w:p>
      <w:pPr>
        <w:spacing w:after="0" w:line="27" w:lineRule="exact"/>
        <w:rPr>
          <w:rFonts w:ascii="Arial" w:cs="Arial" w:eastAsia="Arial" w:hAnsi="Arial"/>
          <w:sz w:val="19"/>
          <w:szCs w:val="19"/>
          <w:color w:val="auto"/>
          <w:vertAlign w:val="superscript"/>
        </w:rPr>
      </w:pPr>
    </w:p>
    <w:p>
      <w:pPr>
        <w:ind w:left="225" w:right="120" w:hanging="225"/>
        <w:spacing w:after="0" w:line="228" w:lineRule="auto"/>
        <w:tabs>
          <w:tab w:leader="none" w:pos="365"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September 30, 2026 excludes $2.4 billion of Private Education Loans that were classified as held for sale as of September 30, 2026 and $235 million of In-School Education Loans carried at fair value. June 30, 2026 excludes $528 million of Legacy Private Education Loans classified as held for sale as of June 30, 2026.</w:t>
      </w:r>
    </w:p>
    <w:p>
      <w:pPr>
        <w:spacing w:after="0" w:line="224" w:lineRule="exact"/>
        <w:rPr>
          <w:sz w:val="20"/>
          <w:szCs w:val="20"/>
          <w:color w:val="auto"/>
        </w:rPr>
      </w:pPr>
    </w:p>
    <w:p>
      <w:pPr>
        <w:ind w:left="9925"/>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479425</wp:posOffset>
            </wp:positionV>
            <wp:extent cx="703770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1268" w:right="1099" w:bottom="1440" w:gutter="0" w:footer="0" w:header="0"/>
        </w:sectPr>
      </w:pPr>
    </w:p>
    <w:bookmarkStart w:id="16" w:name="page17"/>
    <w:bookmarkEnd w:id="16"/>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448310</wp:posOffset>
            </wp:positionH>
            <wp:positionV relativeFrom="page">
              <wp:posOffset>637540</wp:posOffset>
            </wp:positionV>
            <wp:extent cx="641223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12230" cy="171450"/>
                    </a:xfrm>
                    <a:prstGeom prst="rect">
                      <a:avLst/>
                    </a:prstGeom>
                    <a:noFill/>
                  </pic:spPr>
                </pic:pic>
              </a:graphicData>
            </a:graphic>
          </wp:anchor>
        </w:drawing>
        <w:t>ALLOWANCE FOR LOAN LOSSES – EDUCATION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(Dollars in millions)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Allowance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6412230" cy="93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Total provision</w:t>
      </w:r>
    </w:p>
    <w:p>
      <w:pPr>
        <w:spacing w:after="0"/>
        <w:rPr>
          <w:sz w:val="20"/>
          <w:szCs w:val="20"/>
          <w:color w:val="auto"/>
        </w:rPr>
      </w:pPr>
      <w:r>
        <w:rPr>
          <w:rFonts w:ascii="Arial" w:cs="Arial" w:eastAsia="Arial" w:hAnsi="Arial"/>
          <w:sz w:val="13"/>
          <w:szCs w:val="13"/>
          <w:color w:val="auto"/>
        </w:rPr>
        <w:t>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6412230" cy="939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Gross charge-offs</w:t>
      </w:r>
    </w:p>
    <w:p>
      <w:pPr>
        <w:ind w:right="1560" w:firstLine="75"/>
        <w:spacing w:after="0" w:line="199" w:lineRule="auto"/>
        <w:rPr>
          <w:sz w:val="20"/>
          <w:szCs w:val="20"/>
          <w:color w:val="auto"/>
        </w:rPr>
      </w:pPr>
      <w:r>
        <w:rPr>
          <w:rFonts w:ascii="Arial" w:cs="Arial" w:eastAsia="Arial" w:hAnsi="Arial"/>
          <w:sz w:val="13"/>
          <w:szCs w:val="13"/>
          <w:color w:val="auto"/>
        </w:rPr>
        <w:t>Expected future recoveries on current period gross charge-offs Net charge-offs</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-186690</wp:posOffset>
            </wp:positionV>
            <wp:extent cx="6412230" cy="102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89" w:lineRule="auto"/>
        <w:rPr>
          <w:sz w:val="20"/>
          <w:szCs w:val="20"/>
          <w:color w:val="auto"/>
        </w:rPr>
      </w:pPr>
      <w:r>
        <w:rPr>
          <w:rFonts w:ascii="Arial" w:cs="Arial" w:eastAsia="Arial" w:hAnsi="Arial"/>
          <w:sz w:val="13"/>
          <w:szCs w:val="13"/>
          <w:color w:val="auto"/>
        </w:rPr>
        <w:t>Write off in connection with classification of loans as held for sale</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412230"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219" w:lineRule="auto"/>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(3)</w:t>
      </w:r>
    </w:p>
    <w:p>
      <w:pPr>
        <w:spacing w:after="0" w:line="197" w:lineRule="auto"/>
        <w:rPr>
          <w:sz w:val="20"/>
          <w:szCs w:val="20"/>
          <w:color w:val="auto"/>
        </w:rPr>
      </w:pPr>
      <w:r>
        <w:rPr>
          <w:rFonts w:ascii="Arial" w:cs="Arial" w:eastAsia="Arial" w:hAnsi="Arial"/>
          <w:sz w:val="13"/>
          <w:szCs w:val="13"/>
          <w:color w:val="auto"/>
        </w:rPr>
        <w:t>Allowance at end of period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6412230" cy="93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spacing w:after="0" w:line="218" w:lineRule="auto"/>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(3)</w:t>
      </w:r>
    </w:p>
    <w:p>
      <w:pPr>
        <w:ind w:left="120" w:right="440" w:hanging="111"/>
        <w:spacing w:after="0" w:line="190" w:lineRule="auto"/>
        <w:rPr>
          <w:sz w:val="20"/>
          <w:szCs w:val="20"/>
          <w:color w:val="auto"/>
        </w:rPr>
      </w:pPr>
      <w:r>
        <w:rPr>
          <w:rFonts w:ascii="Arial" w:cs="Arial" w:eastAsia="Arial" w:hAnsi="Arial"/>
          <w:sz w:val="13"/>
          <w:szCs w:val="13"/>
          <w:color w:val="auto"/>
        </w:rPr>
        <w:t>Allowance at end of period excluding expected future recoveries on previously fully charged-off loans (Non-GAAP Financial Measure)</w:t>
      </w:r>
      <w:r>
        <w:rPr>
          <w:rFonts w:ascii="Arial" w:cs="Arial" w:eastAsia="Arial" w:hAnsi="Arial"/>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-178435</wp:posOffset>
            </wp:positionV>
            <wp:extent cx="6412230" cy="1968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12230" cy="196850"/>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13"/>
          <w:szCs w:val="13"/>
          <w:color w:val="auto"/>
        </w:rPr>
        <w:t xml:space="preserve">Net charge-offs as a percentage of average loans in repayment (annualized) </w:t>
      </w:r>
      <w:r>
        <w:rPr>
          <w:rFonts w:ascii="Arial" w:cs="Arial" w:eastAsia="Arial" w:hAnsi="Arial"/>
          <w:sz w:val="18"/>
          <w:szCs w:val="18"/>
          <w:color w:val="auto"/>
          <w:vertAlign w:val="superscript"/>
        </w:rPr>
        <w:t>(5)</w:t>
      </w:r>
    </w:p>
    <w:p>
      <w:pPr>
        <w:spacing w:after="0" w:line="188" w:lineRule="auto"/>
        <w:rPr>
          <w:sz w:val="20"/>
          <w:szCs w:val="20"/>
          <w:color w:val="auto"/>
        </w:rPr>
      </w:pPr>
      <w:r>
        <w:rPr>
          <w:rFonts w:ascii="Arial" w:cs="Arial" w:eastAsia="Arial" w:hAnsi="Arial"/>
          <w:sz w:val="11"/>
          <w:szCs w:val="11"/>
          <w:color w:val="auto"/>
        </w:rPr>
        <w:t>Allowance coverage of charge-offs (annualized)</w:t>
      </w:r>
      <w:r>
        <w:rPr>
          <w:rFonts w:ascii="Arial" w:cs="Arial" w:eastAsia="Arial" w:hAnsi="Arial"/>
          <w:sz w:val="15"/>
          <w:szCs w:val="15"/>
          <w:color w:val="auto"/>
          <w:vertAlign w:val="superscript"/>
        </w:rPr>
        <w:t>(4)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412230" cy="1028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219" w:lineRule="auto"/>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8"/>
          <w:szCs w:val="18"/>
          <w:color w:val="auto"/>
          <w:vertAlign w:val="superscript"/>
        </w:rPr>
        <w:t>(4) (5)</w:t>
      </w:r>
    </w:p>
    <w:p>
      <w:pPr>
        <w:spacing w:after="0" w:line="188" w:lineRule="auto"/>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412230" cy="1028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88" w:lineRule="auto"/>
        <w:rPr>
          <w:sz w:val="20"/>
          <w:szCs w:val="20"/>
          <w:color w:val="auto"/>
        </w:rPr>
      </w:pPr>
      <w:r>
        <w:rPr>
          <w:rFonts w:ascii="Arial" w:cs="Arial" w:eastAsia="Arial" w:hAnsi="Arial"/>
          <w:sz w:val="11"/>
          <w:szCs w:val="11"/>
          <w:color w:val="auto"/>
        </w:rPr>
        <w:t>Ending total loans</w:t>
      </w:r>
      <w:r>
        <w:rPr>
          <w:rFonts w:ascii="Arial" w:cs="Arial" w:eastAsia="Arial" w:hAnsi="Arial"/>
          <w:sz w:val="15"/>
          <w:szCs w:val="15"/>
          <w:color w:val="auto"/>
          <w:vertAlign w:val="superscript"/>
        </w:rPr>
        <w:t>(5)</w:t>
      </w:r>
    </w:p>
    <w:p>
      <w:pPr>
        <w:spacing w:after="0" w:line="219" w:lineRule="auto"/>
        <w:rPr>
          <w:sz w:val="20"/>
          <w:szCs w:val="20"/>
          <w:color w:val="auto"/>
        </w:rPr>
      </w:pPr>
      <w:r>
        <w:rPr>
          <w:rFonts w:ascii="Arial" w:cs="Arial" w:eastAsia="Arial" w:hAnsi="Arial"/>
          <w:sz w:val="13"/>
          <w:szCs w:val="13"/>
          <w:color w:val="auto"/>
        </w:rPr>
        <w:t>Average loans in repayment</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412230"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91" w:lineRule="auto"/>
        <w:rPr>
          <w:sz w:val="20"/>
          <w:szCs w:val="20"/>
          <w:color w:val="auto"/>
        </w:rPr>
      </w:pPr>
      <w:r>
        <w:rPr>
          <w:rFonts w:ascii="Arial" w:cs="Arial" w:eastAsia="Arial" w:hAnsi="Arial"/>
          <w:sz w:val="13"/>
          <w:szCs w:val="13"/>
          <w:color w:val="auto"/>
        </w:rPr>
        <w:t>Ending loans in repayment</w:t>
      </w:r>
      <w:r>
        <w:rPr>
          <w:rFonts w:ascii="Arial" w:cs="Arial" w:eastAsia="Arial" w:hAnsi="Arial"/>
          <w:sz w:val="18"/>
          <w:szCs w:val="18"/>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(Dollars in millions)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Allowance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6412230" cy="94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2230" cy="946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Total provision</w:t>
      </w:r>
    </w:p>
    <w:p>
      <w:pPr>
        <w:spacing w:after="0"/>
        <w:rPr>
          <w:sz w:val="20"/>
          <w:szCs w:val="20"/>
          <w:color w:val="auto"/>
        </w:rPr>
      </w:pPr>
      <w:r>
        <w:rPr>
          <w:rFonts w:ascii="Arial" w:cs="Arial" w:eastAsia="Arial" w:hAnsi="Arial"/>
          <w:sz w:val="13"/>
          <w:szCs w:val="13"/>
          <w:color w:val="auto"/>
        </w:rPr>
        <w:t>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6412230" cy="939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Gross charge-offs</w:t>
      </w:r>
    </w:p>
    <w:p>
      <w:pPr>
        <w:ind w:right="1560" w:firstLine="75"/>
        <w:spacing w:after="0" w:line="199" w:lineRule="auto"/>
        <w:rPr>
          <w:sz w:val="20"/>
          <w:szCs w:val="20"/>
          <w:color w:val="auto"/>
        </w:rPr>
      </w:pPr>
      <w:r>
        <w:rPr>
          <w:rFonts w:ascii="Arial" w:cs="Arial" w:eastAsia="Arial" w:hAnsi="Arial"/>
          <w:sz w:val="13"/>
          <w:szCs w:val="13"/>
          <w:color w:val="auto"/>
        </w:rPr>
        <w:t>Expected future recoveries on current period gross charge-offs Net charge-offs</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-186690</wp:posOffset>
            </wp:positionV>
            <wp:extent cx="6412230" cy="1028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412230"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13"/>
          <w:szCs w:val="13"/>
          <w:color w:val="auto"/>
        </w:rPr>
        <w:t>Allowance at end of period (GAAP)</w:t>
      </w:r>
    </w:p>
    <w:p>
      <w:pPr>
        <w:spacing w:after="0" w:line="218" w:lineRule="auto"/>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412230" cy="1028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ind w:left="120" w:right="440" w:hanging="111"/>
        <w:spacing w:after="0" w:line="190" w:lineRule="auto"/>
        <w:rPr>
          <w:sz w:val="20"/>
          <w:szCs w:val="20"/>
          <w:color w:val="auto"/>
        </w:rPr>
      </w:pPr>
      <w:r>
        <w:rPr>
          <w:rFonts w:ascii="Arial" w:cs="Arial" w:eastAsia="Arial" w:hAnsi="Arial"/>
          <w:sz w:val="13"/>
          <w:szCs w:val="13"/>
          <w:color w:val="auto"/>
        </w:rPr>
        <w:t>Allowance at end of period excluding expected future recoveries on previously fully charged-off loans (Non-GAAP Financial Measure)</w:t>
      </w:r>
      <w:r>
        <w:rPr>
          <w:rFonts w:ascii="Arial" w:cs="Arial" w:eastAsia="Arial" w:hAnsi="Arial"/>
          <w:sz w:val="18"/>
          <w:szCs w:val="18"/>
          <w:color w:val="auto"/>
          <w:vertAlign w:val="superscript"/>
        </w:rPr>
        <w:t>(4)</w:t>
      </w:r>
    </w:p>
    <w:p>
      <w:pPr>
        <w:spacing w:after="0" w:line="189" w:lineRule="auto"/>
        <w:rPr>
          <w:sz w:val="20"/>
          <w:szCs w:val="20"/>
          <w:color w:val="auto"/>
        </w:rPr>
      </w:pPr>
      <w:r>
        <w:rPr>
          <w:rFonts w:ascii="Arial" w:cs="Arial" w:eastAsia="Arial" w:hAnsi="Arial"/>
          <w:sz w:val="13"/>
          <w:szCs w:val="13"/>
          <w:color w:val="auto"/>
        </w:rPr>
        <w:t xml:space="preserve">Net charge-offs as a percentage of average loans in repayment (annualized) </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412230" cy="1028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87" w:lineRule="auto"/>
        <w:rPr>
          <w:sz w:val="20"/>
          <w:szCs w:val="20"/>
          <w:color w:val="auto"/>
        </w:rPr>
      </w:pPr>
      <w:r>
        <w:rPr>
          <w:rFonts w:ascii="Arial" w:cs="Arial" w:eastAsia="Arial" w:hAnsi="Arial"/>
          <w:sz w:val="13"/>
          <w:szCs w:val="13"/>
          <w:color w:val="auto"/>
        </w:rPr>
        <w:t>Allowance coverage of charge-offs (annualized)</w:t>
      </w:r>
      <w:r>
        <w:rPr>
          <w:rFonts w:ascii="Arial" w:cs="Arial" w:eastAsia="Arial" w:hAnsi="Arial"/>
          <w:sz w:val="18"/>
          <w:szCs w:val="18"/>
          <w:color w:val="auto"/>
          <w:vertAlign w:val="superscript"/>
        </w:rPr>
        <w:t>(4)(5)</w:t>
      </w:r>
    </w:p>
    <w:p>
      <w:pPr>
        <w:spacing w:after="0" w:line="188" w:lineRule="auto"/>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8"/>
          <w:szCs w:val="18"/>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6412230" cy="1028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88" w:lineRule="auto"/>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(4)(5)</w:t>
      </w:r>
    </w:p>
    <w:p>
      <w:pPr>
        <w:spacing w:after="0" w:line="188" w:lineRule="auto"/>
        <w:rPr>
          <w:sz w:val="20"/>
          <w:szCs w:val="20"/>
          <w:color w:val="auto"/>
        </w:rPr>
      </w:pPr>
      <w:r>
        <w:rPr>
          <w:rFonts w:ascii="Arial" w:cs="Arial" w:eastAsia="Arial" w:hAnsi="Arial"/>
          <w:sz w:val="13"/>
          <w:szCs w:val="13"/>
          <w:color w:val="auto"/>
        </w:rPr>
        <w:t>Ending total loans</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412230" cy="1028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219" w:lineRule="auto"/>
        <w:rPr>
          <w:sz w:val="20"/>
          <w:szCs w:val="20"/>
          <w:color w:val="auto"/>
        </w:rPr>
      </w:pPr>
      <w:r>
        <w:rPr>
          <w:rFonts w:ascii="Arial" w:cs="Arial" w:eastAsia="Arial" w:hAnsi="Arial"/>
          <w:sz w:val="13"/>
          <w:szCs w:val="13"/>
          <w:color w:val="auto"/>
        </w:rPr>
        <w:t>Average loans in repayment</w:t>
      </w:r>
      <w:r>
        <w:rPr>
          <w:rFonts w:ascii="Arial" w:cs="Arial" w:eastAsia="Arial" w:hAnsi="Arial"/>
          <w:sz w:val="18"/>
          <w:szCs w:val="18"/>
          <w:color w:val="auto"/>
          <w:vertAlign w:val="superscript"/>
        </w:rPr>
        <w:t>(5)</w:t>
      </w:r>
    </w:p>
    <w:p>
      <w:pPr>
        <w:spacing w:after="0" w:line="191" w:lineRule="auto"/>
        <w:rPr>
          <w:sz w:val="20"/>
          <w:szCs w:val="20"/>
          <w:color w:val="auto"/>
        </w:rPr>
      </w:pPr>
      <w:r>
        <w:rPr>
          <w:rFonts w:ascii="Arial" w:cs="Arial" w:eastAsia="Arial" w:hAnsi="Arial"/>
          <w:sz w:val="13"/>
          <w:szCs w:val="13"/>
          <w:color w:val="auto"/>
        </w:rPr>
        <w:t>Ending loans in repayment</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723900</wp:posOffset>
            </wp:positionV>
            <wp:extent cx="703770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-102870</wp:posOffset>
            </wp:positionV>
            <wp:extent cx="6412230" cy="1028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1400"/>
        <w:spacing w:after="0"/>
        <w:rPr>
          <w:sz w:val="20"/>
          <w:szCs w:val="20"/>
          <w:color w:val="auto"/>
        </w:rPr>
      </w:pPr>
      <w:r>
        <w:rPr>
          <w:rFonts w:ascii="Arial" w:cs="Arial" w:eastAsia="Arial" w:hAnsi="Arial"/>
          <w:sz w:val="13"/>
          <w:szCs w:val="13"/>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53746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37460" cy="137160"/>
                    </a:xfrm>
                    <a:prstGeom prst="rect">
                      <a:avLst/>
                    </a:prstGeom>
                    <a:noFill/>
                  </pic:spPr>
                </pic:pic>
              </a:graphicData>
            </a:graphic>
          </wp:anchor>
        </w:drawing>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September 30, 2026</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center"/>
              <w:ind w:right="380"/>
              <w:spacing w:after="0" w:line="111" w:lineRule="exact"/>
              <w:rPr>
                <w:sz w:val="20"/>
                <w:szCs w:val="20"/>
                <w:color w:val="auto"/>
              </w:rPr>
            </w:pPr>
            <w:r>
              <w:rPr>
                <w:rFonts w:ascii="Arial" w:cs="Arial" w:eastAsia="Arial" w:hAnsi="Arial"/>
                <w:sz w:val="12"/>
                <w:szCs w:val="12"/>
                <w:b w:val="1"/>
                <w:bCs w:val="1"/>
                <w:color w:val="auto"/>
              </w:rPr>
              <w:t>Private</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FFELP</w:t>
            </w: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8"/>
              </w:rPr>
              <w:t>Education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Loans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Loans</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Borders>
              <w:top w:val="single" w:sz="8" w:color="auto"/>
            </w:tcBorders>
          </w:tcPr>
          <w:p>
            <w:pPr>
              <w:jc w:val="right"/>
              <w:ind w:right="77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299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456</w:t>
            </w:r>
          </w:p>
        </w:tc>
        <w:tc>
          <w:tcPr>
            <w:tcW w:w="18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165</w:t>
            </w:r>
          </w:p>
        </w:tc>
        <w:tc>
          <w:tcPr>
            <w:tcW w:w="220" w:type="dxa"/>
            <w:vAlign w:val="bottom"/>
          </w:tcPr>
          <w:p>
            <w:pPr>
              <w:spacing w:after="0"/>
              <w:rPr>
                <w:sz w:val="22"/>
                <w:szCs w:val="22"/>
                <w:color w:val="auto"/>
              </w:rPr>
            </w:pPr>
          </w:p>
        </w:tc>
        <w:tc>
          <w:tcPr>
            <w:tcW w:w="960" w:type="dxa"/>
            <w:vAlign w:val="bottom"/>
            <w:gridSpan w:val="2"/>
          </w:tcPr>
          <w:p>
            <w:pPr>
              <w:jc w:val="right"/>
              <w:ind w:right="777"/>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.20%</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12,979</w:t>
            </w:r>
          </w:p>
        </w:tc>
        <w:tc>
          <w:tcPr>
            <w:tcW w:w="1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26,063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12,613</w:t>
            </w:r>
          </w:p>
        </w:tc>
        <w:tc>
          <w:tcPr>
            <w:tcW w:w="1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22,022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12,519</w:t>
            </w:r>
          </w:p>
        </w:tc>
        <w:tc>
          <w:tcPr>
            <w:tcW w:w="18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21,872</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18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160" w:type="dxa"/>
            <w:vAlign w:val="bottom"/>
            <w:gridSpan w:val="2"/>
            <w:shd w:val="clear" w:color="auto" w:fill="D9D9D9"/>
          </w:tcPr>
          <w:p>
            <w:pPr>
              <w:jc w:val="right"/>
              <w:ind w:right="40"/>
              <w:spacing w:after="0"/>
              <w:rPr>
                <w:sz w:val="20"/>
                <w:szCs w:val="20"/>
                <w:color w:val="auto"/>
              </w:rPr>
            </w:pPr>
            <w:r>
              <w:rPr>
                <w:rFonts w:ascii="Arial" w:cs="Arial" w:eastAsia="Arial" w:hAnsi="Arial"/>
                <w:sz w:val="13"/>
                <w:szCs w:val="13"/>
                <w:b w:val="1"/>
                <w:bCs w:val="1"/>
                <w:color w:val="auto"/>
                <w:w w:val="96"/>
              </w:rPr>
              <w:t>QUARTER ENDED</w:t>
            </w:r>
          </w:p>
        </w:tc>
        <w:tc>
          <w:tcPr>
            <w:tcW w:w="6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40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June 30, 2026</w:t>
            </w:r>
          </w:p>
        </w:tc>
        <w:tc>
          <w:tcPr>
            <w:tcW w:w="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380"/>
              <w:spacing w:after="0" w:line="111" w:lineRule="exact"/>
              <w:rPr>
                <w:sz w:val="20"/>
                <w:szCs w:val="20"/>
                <w:color w:val="auto"/>
              </w:rPr>
            </w:pPr>
            <w:r>
              <w:rPr>
                <w:rFonts w:ascii="Arial" w:cs="Arial" w:eastAsia="Arial" w:hAnsi="Arial"/>
                <w:sz w:val="12"/>
                <w:szCs w:val="12"/>
                <w:b w:val="1"/>
                <w:bCs w:val="1"/>
                <w:color w:val="auto"/>
              </w:rPr>
              <w:t>Private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3"/>
                <w:szCs w:val="13"/>
                <w:b w:val="1"/>
                <w:bCs w:val="1"/>
                <w:color w:val="auto"/>
              </w:rPr>
              <w:t>FFELP</w:t>
            </w: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8"/>
              </w:rPr>
              <w:t>Education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Loans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Loans</w:t>
            </w: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314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Borders>
              <w:top w:val="single" w:sz="8" w:color="auto"/>
            </w:tcBorders>
          </w:tcPr>
          <w:p>
            <w:pPr>
              <w:jc w:val="right"/>
              <w:ind w:right="77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(10)</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426</w:t>
            </w:r>
          </w:p>
        </w:tc>
        <w:tc>
          <w:tcPr>
            <w:tcW w:w="18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163</w:t>
            </w:r>
          </w:p>
        </w:tc>
        <w:tc>
          <w:tcPr>
            <w:tcW w:w="220" w:type="dxa"/>
            <w:vAlign w:val="bottom"/>
          </w:tcPr>
          <w:p>
            <w:pPr>
              <w:spacing w:after="0"/>
              <w:rPr>
                <w:sz w:val="22"/>
                <w:szCs w:val="22"/>
                <w:color w:val="auto"/>
              </w:rPr>
            </w:pPr>
          </w:p>
        </w:tc>
        <w:tc>
          <w:tcPr>
            <w:tcW w:w="960" w:type="dxa"/>
            <w:vAlign w:val="bottom"/>
            <w:gridSpan w:val="2"/>
          </w:tcPr>
          <w:p>
            <w:pPr>
              <w:jc w:val="right"/>
              <w:ind w:right="777"/>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.18%</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15,409</w:t>
            </w:r>
          </w:p>
        </w:tc>
        <w:tc>
          <w:tcPr>
            <w:tcW w:w="1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26,738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14,803</w:t>
            </w:r>
          </w:p>
        </w:tc>
        <w:tc>
          <w:tcPr>
            <w:tcW w:w="1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22,478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14,781</w:t>
            </w:r>
          </w:p>
        </w:tc>
        <w:tc>
          <w:tcPr>
            <w:tcW w:w="18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22,324</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ectPr>
          <w:pgSz w:w="11900" w:h="16838" w:orient="portrait"/>
          <w:cols w:equalWidth="0" w:num="2">
            <w:col w:w="5380" w:space="720"/>
            <w:col w:w="4000"/>
          </w:cols>
          <w:pgMar w:left="700" w:top="1052" w:right="109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(Dollars in millions)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Allowance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6412230" cy="939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Total provision</w:t>
      </w:r>
    </w:p>
    <w:p>
      <w:pPr>
        <w:spacing w:after="0"/>
        <w:rPr>
          <w:sz w:val="20"/>
          <w:szCs w:val="20"/>
          <w:color w:val="auto"/>
        </w:rPr>
      </w:pPr>
      <w:r>
        <w:rPr>
          <w:rFonts w:ascii="Arial" w:cs="Arial" w:eastAsia="Arial" w:hAnsi="Arial"/>
          <w:sz w:val="13"/>
          <w:szCs w:val="13"/>
          <w:color w:val="auto"/>
        </w:rPr>
        <w:t>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6412230" cy="939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Gross charge-offs</w:t>
      </w:r>
    </w:p>
    <w:p>
      <w:pPr>
        <w:ind w:right="1560" w:firstLine="75"/>
        <w:spacing w:after="0" w:line="199" w:lineRule="auto"/>
        <w:rPr>
          <w:sz w:val="20"/>
          <w:szCs w:val="20"/>
          <w:color w:val="auto"/>
        </w:rPr>
      </w:pPr>
      <w:r>
        <w:rPr>
          <w:rFonts w:ascii="Arial" w:cs="Arial" w:eastAsia="Arial" w:hAnsi="Arial"/>
          <w:sz w:val="13"/>
          <w:szCs w:val="13"/>
          <w:color w:val="auto"/>
        </w:rPr>
        <w:t>Expected future recoveries on current period gross charge-offs Net charge-offs</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-186690</wp:posOffset>
            </wp:positionV>
            <wp:extent cx="6412230"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41223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13"/>
          <w:szCs w:val="13"/>
          <w:color w:val="auto"/>
        </w:rPr>
        <w:t>Allowance at end of period (GAAP)</w:t>
      </w:r>
    </w:p>
    <w:p>
      <w:pPr>
        <w:spacing w:after="0" w:line="218" w:lineRule="auto"/>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412230" cy="1028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ind w:left="120" w:right="440" w:hanging="111"/>
        <w:spacing w:after="0" w:line="190" w:lineRule="auto"/>
        <w:rPr>
          <w:sz w:val="20"/>
          <w:szCs w:val="20"/>
          <w:color w:val="auto"/>
        </w:rPr>
      </w:pPr>
      <w:r>
        <w:rPr>
          <w:rFonts w:ascii="Arial" w:cs="Arial" w:eastAsia="Arial" w:hAnsi="Arial"/>
          <w:sz w:val="13"/>
          <w:szCs w:val="13"/>
          <w:color w:val="auto"/>
        </w:rPr>
        <w:t>Allowance at end of period excluding expected future recoveries on previously fully charged-off loans (Non-GAAP Financial Measure)</w:t>
      </w:r>
      <w:r>
        <w:rPr>
          <w:rFonts w:ascii="Arial" w:cs="Arial" w:eastAsia="Arial" w:hAnsi="Arial"/>
          <w:sz w:val="18"/>
          <w:szCs w:val="18"/>
          <w:color w:val="auto"/>
          <w:vertAlign w:val="superscript"/>
        </w:rPr>
        <w:t>(4)</w:t>
      </w:r>
    </w:p>
    <w:p>
      <w:pPr>
        <w:spacing w:after="0" w:line="189" w:lineRule="auto"/>
        <w:rPr>
          <w:sz w:val="20"/>
          <w:szCs w:val="20"/>
          <w:color w:val="auto"/>
        </w:rPr>
      </w:pPr>
      <w:r>
        <w:rPr>
          <w:rFonts w:ascii="Arial" w:cs="Arial" w:eastAsia="Arial" w:hAnsi="Arial"/>
          <w:sz w:val="13"/>
          <w:szCs w:val="13"/>
          <w:color w:val="auto"/>
        </w:rPr>
        <w:t xml:space="preserve">Net charge-offs as a percentage of average loans in repayment (annualized) </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41223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87" w:lineRule="auto"/>
        <w:rPr>
          <w:sz w:val="20"/>
          <w:szCs w:val="20"/>
          <w:color w:val="auto"/>
        </w:rPr>
      </w:pPr>
      <w:r>
        <w:rPr>
          <w:rFonts w:ascii="Arial" w:cs="Arial" w:eastAsia="Arial" w:hAnsi="Arial"/>
          <w:sz w:val="13"/>
          <w:szCs w:val="13"/>
          <w:color w:val="auto"/>
        </w:rPr>
        <w:t>Allowance coverage of charge-offs (annualized)</w:t>
      </w:r>
      <w:r>
        <w:rPr>
          <w:rFonts w:ascii="Arial" w:cs="Arial" w:eastAsia="Arial" w:hAnsi="Arial"/>
          <w:sz w:val="18"/>
          <w:szCs w:val="18"/>
          <w:color w:val="auto"/>
          <w:vertAlign w:val="superscript"/>
        </w:rPr>
        <w:t>(4)(5)</w:t>
      </w:r>
    </w:p>
    <w:p>
      <w:pPr>
        <w:spacing w:after="0" w:line="188" w:lineRule="auto"/>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8"/>
          <w:szCs w:val="18"/>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6412230" cy="1028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88" w:lineRule="auto"/>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(4)(5)</w:t>
      </w:r>
    </w:p>
    <w:p>
      <w:pPr>
        <w:spacing w:after="0" w:line="188" w:lineRule="auto"/>
        <w:rPr>
          <w:sz w:val="20"/>
          <w:szCs w:val="20"/>
          <w:color w:val="auto"/>
        </w:rPr>
      </w:pPr>
      <w:r>
        <w:rPr>
          <w:rFonts w:ascii="Arial" w:cs="Arial" w:eastAsia="Arial" w:hAnsi="Arial"/>
          <w:sz w:val="13"/>
          <w:szCs w:val="13"/>
          <w:color w:val="auto"/>
        </w:rPr>
        <w:t>Ending total loans</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412230" cy="1028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219" w:lineRule="auto"/>
        <w:rPr>
          <w:sz w:val="20"/>
          <w:szCs w:val="20"/>
          <w:color w:val="auto"/>
        </w:rPr>
      </w:pPr>
      <w:r>
        <w:rPr>
          <w:rFonts w:ascii="Arial" w:cs="Arial" w:eastAsia="Arial" w:hAnsi="Arial"/>
          <w:sz w:val="13"/>
          <w:szCs w:val="13"/>
          <w:color w:val="auto"/>
        </w:rPr>
        <w:t>Average loans in repayment</w:t>
      </w:r>
      <w:r>
        <w:rPr>
          <w:rFonts w:ascii="Arial" w:cs="Arial" w:eastAsia="Arial" w:hAnsi="Arial"/>
          <w:sz w:val="18"/>
          <w:szCs w:val="18"/>
          <w:color w:val="auto"/>
          <w:vertAlign w:val="superscript"/>
        </w:rPr>
        <w:t>(5)</w:t>
      </w:r>
    </w:p>
    <w:p>
      <w:pPr>
        <w:spacing w:after="0" w:line="191" w:lineRule="auto"/>
        <w:rPr>
          <w:sz w:val="20"/>
          <w:szCs w:val="20"/>
          <w:color w:val="auto"/>
        </w:rPr>
      </w:pPr>
      <w:r>
        <w:rPr>
          <w:rFonts w:ascii="Arial" w:cs="Arial" w:eastAsia="Arial" w:hAnsi="Arial"/>
          <w:sz w:val="13"/>
          <w:szCs w:val="13"/>
          <w:color w:val="auto"/>
        </w:rPr>
        <w:t>Ending loans in repayment</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412230" cy="1028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(Dollars in millions)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Allowance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6412230" cy="939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Total provision</w:t>
      </w:r>
    </w:p>
    <w:p>
      <w:pPr>
        <w:spacing w:after="0"/>
        <w:rPr>
          <w:sz w:val="20"/>
          <w:szCs w:val="20"/>
          <w:color w:val="auto"/>
        </w:rPr>
      </w:pPr>
      <w:r>
        <w:rPr>
          <w:rFonts w:ascii="Arial" w:cs="Arial" w:eastAsia="Arial" w:hAnsi="Arial"/>
          <w:sz w:val="13"/>
          <w:szCs w:val="13"/>
          <w:color w:val="auto"/>
        </w:rPr>
        <w:t>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6412230" cy="946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412230" cy="946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Gross charge-offs</w:t>
      </w:r>
    </w:p>
    <w:p>
      <w:pPr>
        <w:ind w:right="1560" w:firstLine="75"/>
        <w:spacing w:after="0" w:line="199" w:lineRule="auto"/>
        <w:rPr>
          <w:sz w:val="20"/>
          <w:szCs w:val="20"/>
          <w:color w:val="auto"/>
        </w:rPr>
      </w:pPr>
      <w:r>
        <w:rPr>
          <w:rFonts w:ascii="Arial" w:cs="Arial" w:eastAsia="Arial" w:hAnsi="Arial"/>
          <w:sz w:val="13"/>
          <w:szCs w:val="13"/>
          <w:color w:val="auto"/>
        </w:rPr>
        <w:t>Expected future recoveries on current period gross charge-offs Net charge-offs</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-186690</wp:posOffset>
            </wp:positionV>
            <wp:extent cx="6412230" cy="1028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89" w:lineRule="auto"/>
        <w:rPr>
          <w:sz w:val="20"/>
          <w:szCs w:val="20"/>
          <w:color w:val="auto"/>
        </w:rPr>
      </w:pPr>
      <w:r>
        <w:rPr>
          <w:rFonts w:ascii="Arial" w:cs="Arial" w:eastAsia="Arial" w:hAnsi="Arial"/>
          <w:sz w:val="13"/>
          <w:szCs w:val="13"/>
          <w:color w:val="auto"/>
        </w:rPr>
        <w:t>Write off in connection with classification of loans as held for sale</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412230" cy="1028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219" w:lineRule="auto"/>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(3)</w:t>
      </w:r>
    </w:p>
    <w:p>
      <w:pPr>
        <w:spacing w:after="0" w:line="197" w:lineRule="auto"/>
        <w:rPr>
          <w:sz w:val="20"/>
          <w:szCs w:val="20"/>
          <w:color w:val="auto"/>
        </w:rPr>
      </w:pPr>
      <w:r>
        <w:rPr>
          <w:rFonts w:ascii="Arial" w:cs="Arial" w:eastAsia="Arial" w:hAnsi="Arial"/>
          <w:sz w:val="13"/>
          <w:szCs w:val="13"/>
          <w:color w:val="auto"/>
        </w:rPr>
        <w:t>Allowance at end of period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-76200</wp:posOffset>
            </wp:positionV>
            <wp:extent cx="6412230" cy="939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spacing w:after="0" w:line="218" w:lineRule="auto"/>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(3)</w:t>
      </w:r>
    </w:p>
    <w:p>
      <w:pPr>
        <w:ind w:left="120" w:right="440" w:hanging="111"/>
        <w:spacing w:after="0" w:line="190" w:lineRule="auto"/>
        <w:rPr>
          <w:sz w:val="20"/>
          <w:szCs w:val="20"/>
          <w:color w:val="auto"/>
        </w:rPr>
      </w:pPr>
      <w:r>
        <w:rPr>
          <w:rFonts w:ascii="Arial" w:cs="Arial" w:eastAsia="Arial" w:hAnsi="Arial"/>
          <w:sz w:val="13"/>
          <w:szCs w:val="13"/>
          <w:color w:val="auto"/>
        </w:rPr>
        <w:t>Allowance at end of period excluding expected future recoveries on previously fully charged-off loans (Non-GAAP Financial Measure)</w:t>
      </w:r>
      <w:r>
        <w:rPr>
          <w:rFonts w:ascii="Arial" w:cs="Arial" w:eastAsia="Arial" w:hAnsi="Arial"/>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-178435</wp:posOffset>
            </wp:positionV>
            <wp:extent cx="6412230" cy="1968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12230" cy="196850"/>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13"/>
          <w:szCs w:val="13"/>
          <w:color w:val="auto"/>
        </w:rPr>
        <w:t xml:space="preserve">Net charge-offs as a percentage of average loans in repayment (annualized) </w:t>
      </w:r>
      <w:r>
        <w:rPr>
          <w:rFonts w:ascii="Arial" w:cs="Arial" w:eastAsia="Arial" w:hAnsi="Arial"/>
          <w:sz w:val="18"/>
          <w:szCs w:val="18"/>
          <w:color w:val="auto"/>
          <w:vertAlign w:val="superscript"/>
        </w:rPr>
        <w:t>(5)</w:t>
      </w:r>
    </w:p>
    <w:p>
      <w:pPr>
        <w:spacing w:after="0" w:line="188" w:lineRule="auto"/>
        <w:rPr>
          <w:sz w:val="20"/>
          <w:szCs w:val="20"/>
          <w:color w:val="auto"/>
        </w:rPr>
      </w:pPr>
      <w:r>
        <w:rPr>
          <w:rFonts w:ascii="Arial" w:cs="Arial" w:eastAsia="Arial" w:hAnsi="Arial"/>
          <w:sz w:val="11"/>
          <w:szCs w:val="11"/>
          <w:color w:val="auto"/>
        </w:rPr>
        <w:t>Allowance coverage of charge-offs (annualized)</w:t>
      </w:r>
      <w:r>
        <w:rPr>
          <w:rFonts w:ascii="Arial" w:cs="Arial" w:eastAsia="Arial" w:hAnsi="Arial"/>
          <w:sz w:val="15"/>
          <w:szCs w:val="15"/>
          <w:color w:val="auto"/>
          <w:vertAlign w:val="superscript"/>
        </w:rPr>
        <w:t>(4)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6412230" cy="1028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219" w:lineRule="auto"/>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8"/>
          <w:szCs w:val="18"/>
          <w:color w:val="auto"/>
          <w:vertAlign w:val="superscript"/>
        </w:rPr>
        <w:t>(4) (5)</w:t>
      </w:r>
    </w:p>
    <w:p>
      <w:pPr>
        <w:spacing w:after="0" w:line="188" w:lineRule="auto"/>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412230" cy="1028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88" w:lineRule="auto"/>
        <w:rPr>
          <w:sz w:val="20"/>
          <w:szCs w:val="20"/>
          <w:color w:val="auto"/>
        </w:rPr>
      </w:pPr>
      <w:r>
        <w:rPr>
          <w:rFonts w:ascii="Arial" w:cs="Arial" w:eastAsia="Arial" w:hAnsi="Arial"/>
          <w:sz w:val="11"/>
          <w:szCs w:val="11"/>
          <w:color w:val="auto"/>
        </w:rPr>
        <w:t>Ending total loans</w:t>
      </w:r>
      <w:r>
        <w:rPr>
          <w:rFonts w:ascii="Arial" w:cs="Arial" w:eastAsia="Arial" w:hAnsi="Arial"/>
          <w:sz w:val="15"/>
          <w:szCs w:val="15"/>
          <w:color w:val="auto"/>
          <w:vertAlign w:val="superscript"/>
        </w:rPr>
        <w:t>(5)</w:t>
      </w:r>
    </w:p>
    <w:p>
      <w:pPr>
        <w:spacing w:after="0" w:line="219" w:lineRule="auto"/>
        <w:rPr>
          <w:sz w:val="20"/>
          <w:szCs w:val="20"/>
          <w:color w:val="auto"/>
        </w:rPr>
      </w:pPr>
      <w:r>
        <w:rPr>
          <w:rFonts w:ascii="Arial" w:cs="Arial" w:eastAsia="Arial" w:hAnsi="Arial"/>
          <w:sz w:val="13"/>
          <w:szCs w:val="13"/>
          <w:color w:val="auto"/>
        </w:rPr>
        <w:t>Average loans in repayment</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6412230" cy="1028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spacing w:after="0" w:line="191" w:lineRule="auto"/>
        <w:rPr>
          <w:sz w:val="20"/>
          <w:szCs w:val="20"/>
          <w:color w:val="auto"/>
        </w:rPr>
      </w:pPr>
      <w:r>
        <w:rPr>
          <w:rFonts w:ascii="Arial" w:cs="Arial" w:eastAsia="Arial" w:hAnsi="Arial"/>
          <w:sz w:val="13"/>
          <w:szCs w:val="13"/>
          <w:color w:val="auto"/>
        </w:rPr>
        <w:t>Ending loans in repayment</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723265</wp:posOffset>
            </wp:positionV>
            <wp:extent cx="703770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00"/>
        <w:spacing w:after="0"/>
        <w:rPr>
          <w:sz w:val="20"/>
          <w:szCs w:val="20"/>
          <w:color w:val="auto"/>
        </w:rPr>
      </w:pPr>
      <w:r>
        <w:rPr>
          <w:rFonts w:ascii="Arial" w:cs="Arial" w:eastAsia="Arial" w:hAnsi="Arial"/>
          <w:sz w:val="13"/>
          <w:szCs w:val="13"/>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53746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37460" cy="137160"/>
                    </a:xfrm>
                    <a:prstGeom prst="rect">
                      <a:avLst/>
                    </a:prstGeom>
                    <a:noFill/>
                  </pic:spPr>
                </pic:pic>
              </a:graphicData>
            </a:graphic>
          </wp:anchor>
        </w:drawing>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auto"/>
        </w:rPr>
        <w:t>September 30, 2025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jc w:val="center"/>
              <w:ind w:right="360"/>
              <w:spacing w:after="0" w:line="111" w:lineRule="exact"/>
              <w:rPr>
                <w:sz w:val="20"/>
                <w:szCs w:val="20"/>
                <w:color w:val="auto"/>
              </w:rPr>
            </w:pPr>
            <w:r>
              <w:rPr>
                <w:rFonts w:ascii="Arial" w:cs="Arial" w:eastAsia="Arial" w:hAnsi="Arial"/>
                <w:sz w:val="12"/>
                <w:szCs w:val="12"/>
                <w:b w:val="1"/>
                <w:bCs w:val="1"/>
                <w:color w:val="auto"/>
              </w:rPr>
              <w:t>Private</w:t>
            </w: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FFELP</w:t>
            </w:r>
          </w:p>
        </w:tc>
        <w:tc>
          <w:tcPr>
            <w:tcW w:w="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8"/>
              </w:rPr>
              <w:t>Education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Loans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Loans</w:t>
            </w:r>
          </w:p>
        </w:tc>
        <w:tc>
          <w:tcPr>
            <w:tcW w:w="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348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182</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top w:val="single" w:sz="8" w:color="auto"/>
            </w:tcBorders>
          </w:tcPr>
          <w:p>
            <w:pPr>
              <w:jc w:val="right"/>
              <w:ind w:right="77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(9)</w:t>
            </w: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(9)</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406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186</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579</w:t>
            </w:r>
          </w:p>
        </w:tc>
        <w:tc>
          <w:tcPr>
            <w:tcW w:w="160" w:type="dxa"/>
            <w:vAlign w:val="bottom"/>
          </w:tcPr>
          <w:p>
            <w:pPr>
              <w:spacing w:after="0"/>
              <w:rPr>
                <w:sz w:val="22"/>
                <w:szCs w:val="22"/>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186</w:t>
            </w:r>
          </w:p>
        </w:tc>
        <w:tc>
          <w:tcPr>
            <w:tcW w:w="240" w:type="dxa"/>
            <w:vAlign w:val="bottom"/>
          </w:tcPr>
          <w:p>
            <w:pPr>
              <w:spacing w:after="0"/>
              <w:rPr>
                <w:sz w:val="22"/>
                <w:szCs w:val="22"/>
                <w:color w:val="auto"/>
              </w:rPr>
            </w:pPr>
          </w:p>
        </w:tc>
        <w:tc>
          <w:tcPr>
            <w:tcW w:w="940" w:type="dxa"/>
            <w:vAlign w:val="bottom"/>
            <w:gridSpan w:val="2"/>
          </w:tcPr>
          <w:p>
            <w:pPr>
              <w:jc w:val="right"/>
              <w:ind w:right="777"/>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.15%</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15,862</w:t>
            </w:r>
          </w:p>
        </w:tc>
        <w:tc>
          <w:tcPr>
            <w:tcW w:w="160" w:type="dxa"/>
            <w:vAlign w:val="bottom"/>
          </w:tcPr>
          <w:p>
            <w:pPr>
              <w:spacing w:after="0"/>
              <w:rPr>
                <w:sz w:val="14"/>
                <w:szCs w:val="14"/>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29,138</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15,259</w:t>
            </w:r>
          </w:p>
        </w:tc>
        <w:tc>
          <w:tcPr>
            <w:tcW w:w="160" w:type="dxa"/>
            <w:vAlign w:val="bottom"/>
          </w:tcPr>
          <w:p>
            <w:pPr>
              <w:spacing w:after="0"/>
              <w:rPr>
                <w:sz w:val="14"/>
                <w:szCs w:val="14"/>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24,527</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15,221</w:t>
            </w:r>
          </w:p>
        </w:tc>
        <w:tc>
          <w:tcPr>
            <w:tcW w:w="160" w:type="dxa"/>
            <w:vAlign w:val="bottom"/>
          </w:tcPr>
          <w:p>
            <w:pPr>
              <w:spacing w:after="0"/>
              <w:rPr>
                <w:sz w:val="15"/>
                <w:szCs w:val="15"/>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24,136</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6"/>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D9D9D9"/>
          </w:tcPr>
          <w:p>
            <w:pPr>
              <w:spacing w:after="0"/>
              <w:rPr>
                <w:sz w:val="18"/>
                <w:szCs w:val="18"/>
                <w:color w:val="auto"/>
              </w:rPr>
            </w:pPr>
          </w:p>
        </w:tc>
        <w:tc>
          <w:tcPr>
            <w:tcW w:w="90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2300" w:type="dxa"/>
            <w:vAlign w:val="bottom"/>
            <w:gridSpan w:val="6"/>
            <w:shd w:val="clear" w:color="auto" w:fill="D9D9D9"/>
          </w:tcPr>
          <w:p>
            <w:pPr>
              <w:jc w:val="right"/>
              <w:ind w:right="817"/>
              <w:spacing w:after="0"/>
              <w:rPr>
                <w:sz w:val="20"/>
                <w:szCs w:val="20"/>
                <w:color w:val="auto"/>
              </w:rPr>
            </w:pPr>
            <w:r>
              <w:rPr>
                <w:rFonts w:ascii="Arial" w:cs="Arial" w:eastAsia="Arial" w:hAnsi="Arial"/>
                <w:sz w:val="13"/>
                <w:szCs w:val="13"/>
                <w:b w:val="1"/>
                <w:bCs w:val="1"/>
                <w:color w:val="auto"/>
                <w:w w:val="99"/>
              </w:rPr>
              <w:t>NINE MONTHS ENDED</w:t>
            </w:r>
          </w:p>
        </w:tc>
        <w:tc>
          <w:tcPr>
            <w:tcW w:w="40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September 30, 2026</w:t>
            </w:r>
          </w:p>
        </w:tc>
        <w:tc>
          <w:tcPr>
            <w:tcW w:w="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360"/>
              <w:spacing w:after="0" w:line="111" w:lineRule="exact"/>
              <w:rPr>
                <w:sz w:val="20"/>
                <w:szCs w:val="20"/>
                <w:color w:val="auto"/>
              </w:rPr>
            </w:pPr>
            <w:r>
              <w:rPr>
                <w:rFonts w:ascii="Arial" w:cs="Arial" w:eastAsia="Arial" w:hAnsi="Arial"/>
                <w:sz w:val="12"/>
                <w:szCs w:val="12"/>
                <w:b w:val="1"/>
                <w:bCs w:val="1"/>
                <w:color w:val="auto"/>
              </w:rPr>
              <w:t>Private</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FFELP</w:t>
            </w: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8"/>
              </w:rPr>
              <w:t>Education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Loans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Loans</w:t>
            </w:r>
          </w:p>
        </w:tc>
        <w:tc>
          <w:tcPr>
            <w:tcW w:w="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364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173</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top w:val="single" w:sz="8" w:color="auto"/>
            </w:tcBorders>
          </w:tcPr>
          <w:p>
            <w:pPr>
              <w:jc w:val="right"/>
              <w:ind w:right="77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(38)</w:t>
            </w: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(38)</w:t>
            </w: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299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165</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456</w:t>
            </w:r>
          </w:p>
        </w:tc>
        <w:tc>
          <w:tcPr>
            <w:tcW w:w="160" w:type="dxa"/>
            <w:vAlign w:val="bottom"/>
          </w:tcPr>
          <w:p>
            <w:pPr>
              <w:spacing w:after="0"/>
              <w:rPr>
                <w:sz w:val="22"/>
                <w:szCs w:val="22"/>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165</w:t>
            </w:r>
          </w:p>
        </w:tc>
        <w:tc>
          <w:tcPr>
            <w:tcW w:w="240" w:type="dxa"/>
            <w:vAlign w:val="bottom"/>
          </w:tcPr>
          <w:p>
            <w:pPr>
              <w:spacing w:after="0"/>
              <w:rPr>
                <w:sz w:val="22"/>
                <w:szCs w:val="22"/>
                <w:color w:val="auto"/>
              </w:rPr>
            </w:pPr>
          </w:p>
        </w:tc>
        <w:tc>
          <w:tcPr>
            <w:tcW w:w="940" w:type="dxa"/>
            <w:vAlign w:val="bottom"/>
            <w:gridSpan w:val="2"/>
          </w:tcPr>
          <w:p>
            <w:pPr>
              <w:jc w:val="right"/>
              <w:ind w:right="777"/>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1.65%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.23%</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12,979</w:t>
            </w:r>
          </w:p>
        </w:tc>
        <w:tc>
          <w:tcPr>
            <w:tcW w:w="160" w:type="dxa"/>
            <w:vAlign w:val="bottom"/>
          </w:tcPr>
          <w:p>
            <w:pPr>
              <w:spacing w:after="0"/>
              <w:rPr>
                <w:sz w:val="14"/>
                <w:szCs w:val="14"/>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26,063</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12,450</w:t>
            </w:r>
          </w:p>
        </w:tc>
        <w:tc>
          <w:tcPr>
            <w:tcW w:w="160" w:type="dxa"/>
            <w:vAlign w:val="bottom"/>
          </w:tcPr>
          <w:p>
            <w:pPr>
              <w:spacing w:after="0"/>
              <w:rPr>
                <w:sz w:val="14"/>
                <w:szCs w:val="14"/>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22,571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12,519</w:t>
            </w:r>
          </w:p>
        </w:tc>
        <w:tc>
          <w:tcPr>
            <w:tcW w:w="160" w:type="dxa"/>
            <w:vAlign w:val="bottom"/>
          </w:tcPr>
          <w:p>
            <w:pPr>
              <w:spacing w:after="0"/>
              <w:rPr>
                <w:sz w:val="15"/>
                <w:szCs w:val="15"/>
                <w:color w:val="auto"/>
              </w:rPr>
            </w:pPr>
          </w:p>
        </w:tc>
        <w:tc>
          <w:tcPr>
            <w:tcW w:w="2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21,872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ectPr>
          <w:pgSz w:w="11900" w:h="16838" w:orient="portrait"/>
          <w:cols w:equalWidth="0" w:num="2">
            <w:col w:w="5380" w:space="720"/>
            <w:col w:w="4000"/>
          </w:cols>
          <w:pgMar w:left="700" w:top="1067" w:right="109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
        <w:spacing w:after="0"/>
        <w:rPr>
          <w:sz w:val="20"/>
          <w:szCs w:val="20"/>
          <w:color w:val="auto"/>
        </w:rPr>
      </w:pPr>
      <w:r>
        <w:rPr>
          <w:rFonts w:ascii="Arial" w:cs="Arial" w:eastAsia="Arial" w:hAnsi="Arial"/>
          <w:sz w:val="14"/>
          <w:szCs w:val="14"/>
          <w:b w:val="1"/>
          <w:bCs w:val="1"/>
          <w:u w:val="single" w:color="auto"/>
          <w:color w:val="auto"/>
        </w:rPr>
        <w:t>(Dollars in millions)</w:t>
      </w:r>
    </w:p>
    <w:p>
      <w:pPr>
        <w:spacing w:after="0" w:line="9" w:lineRule="exact"/>
        <w:rPr>
          <w:sz w:val="20"/>
          <w:szCs w:val="20"/>
          <w:color w:val="auto"/>
        </w:rPr>
      </w:pPr>
    </w:p>
    <w:p>
      <w:pPr>
        <w:ind w:left="5"/>
        <w:spacing w:after="0"/>
        <w:rPr>
          <w:sz w:val="20"/>
          <w:szCs w:val="20"/>
          <w:color w:val="auto"/>
        </w:rPr>
      </w:pPr>
      <w:r>
        <w:rPr>
          <w:rFonts w:ascii="Arial" w:cs="Arial" w:eastAsia="Arial" w:hAnsi="Arial"/>
          <w:sz w:val="13"/>
          <w:szCs w:val="13"/>
          <w:color w:val="auto"/>
        </w:rPr>
        <w:t>Allowance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6412230" cy="939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ind w:left="5"/>
        <w:spacing w:after="0"/>
        <w:rPr>
          <w:sz w:val="20"/>
          <w:szCs w:val="20"/>
          <w:color w:val="auto"/>
        </w:rPr>
      </w:pPr>
      <w:r>
        <w:rPr>
          <w:rFonts w:ascii="Arial" w:cs="Arial" w:eastAsia="Arial" w:hAnsi="Arial"/>
          <w:sz w:val="13"/>
          <w:szCs w:val="13"/>
          <w:color w:val="auto"/>
        </w:rPr>
        <w:t>Total provision</w:t>
      </w:r>
    </w:p>
    <w:p>
      <w:pPr>
        <w:ind w:left="5"/>
        <w:spacing w:after="0"/>
        <w:rPr>
          <w:sz w:val="20"/>
          <w:szCs w:val="20"/>
          <w:color w:val="auto"/>
        </w:rPr>
      </w:pPr>
      <w:r>
        <w:rPr>
          <w:rFonts w:ascii="Arial" w:cs="Arial" w:eastAsia="Arial" w:hAnsi="Arial"/>
          <w:sz w:val="13"/>
          <w:szCs w:val="13"/>
          <w:color w:val="auto"/>
        </w:rPr>
        <w:t>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6412230" cy="939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ind w:left="85"/>
        <w:spacing w:after="0"/>
        <w:rPr>
          <w:sz w:val="20"/>
          <w:szCs w:val="20"/>
          <w:color w:val="auto"/>
        </w:rPr>
      </w:pPr>
      <w:r>
        <w:rPr>
          <w:rFonts w:ascii="Arial" w:cs="Arial" w:eastAsia="Arial" w:hAnsi="Arial"/>
          <w:sz w:val="13"/>
          <w:szCs w:val="13"/>
          <w:color w:val="auto"/>
        </w:rPr>
        <w:t>Gross charge-offs</w:t>
      </w:r>
    </w:p>
    <w:p>
      <w:pPr>
        <w:ind w:left="5" w:right="1560" w:firstLine="75"/>
        <w:spacing w:after="0" w:line="199" w:lineRule="auto"/>
        <w:rPr>
          <w:sz w:val="20"/>
          <w:szCs w:val="20"/>
          <w:color w:val="auto"/>
        </w:rPr>
      </w:pPr>
      <w:r>
        <w:rPr>
          <w:rFonts w:ascii="Arial" w:cs="Arial" w:eastAsia="Arial" w:hAnsi="Arial"/>
          <w:sz w:val="13"/>
          <w:szCs w:val="13"/>
          <w:color w:val="auto"/>
        </w:rPr>
        <w:t>Expected future recoveries on current period gross charge-offs Net charge-offs</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6412230" cy="1028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ind w:left="5"/>
        <w:spacing w:after="0" w:line="220" w:lineRule="auto"/>
        <w:rPr>
          <w:sz w:val="20"/>
          <w:szCs w:val="20"/>
          <w:color w:val="auto"/>
        </w:rPr>
      </w:pPr>
      <w:r>
        <w:rPr>
          <w:rFonts w:ascii="Arial" w:cs="Arial" w:eastAsia="Arial" w:hAnsi="Arial"/>
          <w:sz w:val="13"/>
          <w:szCs w:val="13"/>
          <w:color w:val="auto"/>
        </w:rPr>
        <w:t>Decrease in expected future recoveries on previously fully charged-off loans</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6412230" cy="1028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ind w:left="5"/>
        <w:spacing w:after="0" w:line="197" w:lineRule="auto"/>
        <w:rPr>
          <w:sz w:val="20"/>
          <w:szCs w:val="20"/>
          <w:color w:val="auto"/>
        </w:rPr>
      </w:pPr>
      <w:r>
        <w:rPr>
          <w:rFonts w:ascii="Arial" w:cs="Arial" w:eastAsia="Arial" w:hAnsi="Arial"/>
          <w:sz w:val="13"/>
          <w:szCs w:val="13"/>
          <w:color w:val="auto"/>
        </w:rPr>
        <w:t>Allowance at end of period (GAAP)</w:t>
      </w:r>
    </w:p>
    <w:p>
      <w:pPr>
        <w:ind w:left="5"/>
        <w:spacing w:after="0" w:line="218" w:lineRule="auto"/>
        <w:rPr>
          <w:sz w:val="20"/>
          <w:szCs w:val="20"/>
          <w:color w:val="auto"/>
        </w:rPr>
      </w:pPr>
      <w:r>
        <w:rPr>
          <w:rFonts w:ascii="Arial" w:cs="Arial" w:eastAsia="Arial" w:hAnsi="Arial"/>
          <w:sz w:val="13"/>
          <w:szCs w:val="13"/>
          <w:color w:val="auto"/>
        </w:rPr>
        <w:t>Plus: expected future recoveries on previously fully charged-off loans</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6412230" cy="1028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ind w:left="125" w:right="440" w:hanging="111"/>
        <w:spacing w:after="0" w:line="190" w:lineRule="auto"/>
        <w:rPr>
          <w:sz w:val="20"/>
          <w:szCs w:val="20"/>
          <w:color w:val="auto"/>
        </w:rPr>
      </w:pPr>
      <w:r>
        <w:rPr>
          <w:rFonts w:ascii="Arial" w:cs="Arial" w:eastAsia="Arial" w:hAnsi="Arial"/>
          <w:sz w:val="13"/>
          <w:szCs w:val="13"/>
          <w:color w:val="auto"/>
        </w:rPr>
        <w:t>Allowance at end of period excluding expected future recoveries on previously fully charged-off loans (Non-GAAP Financial Measure)</w:t>
      </w:r>
      <w:r>
        <w:rPr>
          <w:rFonts w:ascii="Arial" w:cs="Arial" w:eastAsia="Arial" w:hAnsi="Arial"/>
          <w:sz w:val="18"/>
          <w:szCs w:val="18"/>
          <w:color w:val="auto"/>
          <w:vertAlign w:val="superscript"/>
        </w:rPr>
        <w:t>(4)</w:t>
      </w:r>
    </w:p>
    <w:p>
      <w:pPr>
        <w:ind w:left="5"/>
        <w:spacing w:after="0" w:line="220" w:lineRule="auto"/>
        <w:rPr>
          <w:sz w:val="20"/>
          <w:szCs w:val="20"/>
          <w:color w:val="auto"/>
        </w:rPr>
      </w:pPr>
      <w:r>
        <w:rPr>
          <w:rFonts w:ascii="Arial" w:cs="Arial" w:eastAsia="Arial" w:hAnsi="Arial"/>
          <w:sz w:val="13"/>
          <w:szCs w:val="13"/>
          <w:color w:val="auto"/>
        </w:rPr>
        <w:t xml:space="preserve">Net charge-offs as a percentage of average loans in repayment (annualized) </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6412230" cy="1028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ind w:left="5"/>
        <w:spacing w:after="0" w:line="188" w:lineRule="auto"/>
        <w:rPr>
          <w:sz w:val="20"/>
          <w:szCs w:val="20"/>
          <w:color w:val="auto"/>
        </w:rPr>
      </w:pPr>
      <w:r>
        <w:rPr>
          <w:rFonts w:ascii="Arial" w:cs="Arial" w:eastAsia="Arial" w:hAnsi="Arial"/>
          <w:sz w:val="11"/>
          <w:szCs w:val="11"/>
          <w:color w:val="auto"/>
        </w:rPr>
        <w:t>Allowance coverage of charge-offs (annualized)</w:t>
      </w:r>
      <w:r>
        <w:rPr>
          <w:rFonts w:ascii="Arial" w:cs="Arial" w:eastAsia="Arial" w:hAnsi="Arial"/>
          <w:sz w:val="15"/>
          <w:szCs w:val="15"/>
          <w:color w:val="auto"/>
          <w:vertAlign w:val="superscript"/>
        </w:rPr>
        <w:t>(4) (5)</w:t>
      </w:r>
    </w:p>
    <w:p>
      <w:pPr>
        <w:ind w:left="5"/>
        <w:spacing w:after="0" w:line="219" w:lineRule="auto"/>
        <w:rPr>
          <w:sz w:val="20"/>
          <w:szCs w:val="20"/>
          <w:color w:val="auto"/>
        </w:rPr>
      </w:pPr>
      <w:r>
        <w:rPr>
          <w:rFonts w:ascii="Arial" w:cs="Arial" w:eastAsia="Arial" w:hAnsi="Arial"/>
          <w:sz w:val="13"/>
          <w:szCs w:val="13"/>
          <w:color w:val="auto"/>
        </w:rPr>
        <w:t>Allowance as a percentage of the ending total loan balance</w:t>
      </w:r>
      <w:r>
        <w:rPr>
          <w:rFonts w:ascii="Arial" w:cs="Arial" w:eastAsia="Arial" w:hAnsi="Arial"/>
          <w:sz w:val="18"/>
          <w:szCs w:val="18"/>
          <w:color w:val="auto"/>
          <w:vertAlign w:val="superscript"/>
        </w:rPr>
        <w:t>(4)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6412230" cy="1028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ind w:left="5"/>
        <w:spacing w:after="0" w:line="188" w:lineRule="auto"/>
        <w:rPr>
          <w:sz w:val="20"/>
          <w:szCs w:val="20"/>
          <w:color w:val="auto"/>
        </w:rPr>
      </w:pPr>
      <w:r>
        <w:rPr>
          <w:rFonts w:ascii="Arial" w:cs="Arial" w:eastAsia="Arial" w:hAnsi="Arial"/>
          <w:sz w:val="13"/>
          <w:szCs w:val="13"/>
          <w:color w:val="auto"/>
        </w:rPr>
        <w:t>Allowance as a percentage of the ending loans in repayment</w:t>
      </w:r>
      <w:r>
        <w:rPr>
          <w:rFonts w:ascii="Arial" w:cs="Arial" w:eastAsia="Arial" w:hAnsi="Arial"/>
          <w:sz w:val="18"/>
          <w:szCs w:val="18"/>
          <w:color w:val="auto"/>
          <w:vertAlign w:val="superscript"/>
        </w:rPr>
        <w:t>(4) (5)</w:t>
      </w:r>
    </w:p>
    <w:p>
      <w:pPr>
        <w:ind w:left="5"/>
        <w:spacing w:after="0" w:line="188" w:lineRule="auto"/>
        <w:rPr>
          <w:sz w:val="20"/>
          <w:szCs w:val="20"/>
          <w:color w:val="auto"/>
        </w:rPr>
      </w:pPr>
      <w:r>
        <w:rPr>
          <w:rFonts w:ascii="Arial" w:cs="Arial" w:eastAsia="Arial" w:hAnsi="Arial"/>
          <w:sz w:val="11"/>
          <w:szCs w:val="11"/>
          <w:color w:val="auto"/>
        </w:rPr>
        <w:t>Ending total loans</w:t>
      </w:r>
      <w:r>
        <w:rPr>
          <w:rFonts w:ascii="Arial" w:cs="Arial" w:eastAsia="Arial" w:hAnsi="Arial"/>
          <w:sz w:val="15"/>
          <w:szCs w:val="1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641223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12230" cy="102870"/>
                    </a:xfrm>
                    <a:prstGeom prst="rect">
                      <a:avLst/>
                    </a:prstGeom>
                    <a:noFill/>
                  </pic:spPr>
                </pic:pic>
              </a:graphicData>
            </a:graphic>
          </wp:anchor>
        </w:drawing>
      </w:r>
    </w:p>
    <w:p>
      <w:pPr>
        <w:ind w:left="5"/>
        <w:spacing w:after="0" w:line="219" w:lineRule="auto"/>
        <w:rPr>
          <w:sz w:val="20"/>
          <w:szCs w:val="20"/>
          <w:color w:val="auto"/>
        </w:rPr>
      </w:pPr>
      <w:r>
        <w:rPr>
          <w:rFonts w:ascii="Arial" w:cs="Arial" w:eastAsia="Arial" w:hAnsi="Arial"/>
          <w:sz w:val="13"/>
          <w:szCs w:val="13"/>
          <w:color w:val="auto"/>
        </w:rPr>
        <w:t>Average loans in repayment</w:t>
      </w:r>
      <w:r>
        <w:rPr>
          <w:rFonts w:ascii="Arial" w:cs="Arial" w:eastAsia="Arial" w:hAnsi="Arial"/>
          <w:sz w:val="18"/>
          <w:szCs w:val="18"/>
          <w:color w:val="auto"/>
          <w:vertAlign w:val="superscript"/>
        </w:rPr>
        <w:t>(5)</w:t>
      </w:r>
    </w:p>
    <w:p>
      <w:pPr>
        <w:ind w:left="5"/>
        <w:spacing w:after="0" w:line="191" w:lineRule="auto"/>
        <w:rPr>
          <w:sz w:val="20"/>
          <w:szCs w:val="20"/>
          <w:color w:val="auto"/>
        </w:rPr>
      </w:pPr>
      <w:r>
        <w:rPr>
          <w:rFonts w:ascii="Arial" w:cs="Arial" w:eastAsia="Arial" w:hAnsi="Arial"/>
          <w:sz w:val="13"/>
          <w:szCs w:val="13"/>
          <w:color w:val="auto"/>
        </w:rPr>
        <w:t>Ending loans in repayment</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6412230" cy="102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12230" cy="10287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84455</wp:posOffset>
            </wp:positionV>
            <wp:extent cx="9086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53746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37460" cy="137160"/>
                    </a:xfrm>
                    <a:prstGeom prst="rect">
                      <a:avLst/>
                    </a:prstGeom>
                    <a:noFill/>
                  </pic:spPr>
                </pic:pic>
              </a:graphicData>
            </a:graphic>
          </wp:anchor>
        </w:drawing>
      </w:r>
    </w:p>
    <w:p>
      <w:pPr>
        <w:spacing w:after="0" w:line="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September 30, 2025</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center"/>
              <w:ind w:right="380"/>
              <w:spacing w:after="0" w:line="111" w:lineRule="exact"/>
              <w:rPr>
                <w:sz w:val="20"/>
                <w:szCs w:val="20"/>
                <w:color w:val="auto"/>
              </w:rPr>
            </w:pPr>
            <w:r>
              <w:rPr>
                <w:rFonts w:ascii="Arial" w:cs="Arial" w:eastAsia="Arial" w:hAnsi="Arial"/>
                <w:sz w:val="12"/>
                <w:szCs w:val="12"/>
                <w:b w:val="1"/>
                <w:bCs w:val="1"/>
                <w:color w:val="auto"/>
              </w:rPr>
              <w:t>Private</w:t>
            </w: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vMerge w:val="restart"/>
          </w:tcPr>
          <w:p>
            <w:pPr>
              <w:jc w:val="right"/>
              <w:ind w:right="540"/>
              <w:spacing w:after="0"/>
              <w:rPr>
                <w:sz w:val="20"/>
                <w:szCs w:val="20"/>
                <w:color w:val="auto"/>
              </w:rPr>
            </w:pPr>
            <w:r>
              <w:rPr>
                <w:rFonts w:ascii="Arial" w:cs="Arial" w:eastAsia="Arial" w:hAnsi="Arial"/>
                <w:sz w:val="13"/>
                <w:szCs w:val="13"/>
                <w:b w:val="1"/>
                <w:bCs w:val="1"/>
                <w:color w:val="auto"/>
              </w:rPr>
              <w:t>FFELP</w:t>
            </w: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8"/>
              </w:rPr>
              <w:t>Education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Loans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Loans</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441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jc w:val="right"/>
              <w:ind w:right="77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(287)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(248)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(23)</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406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579</w:t>
            </w:r>
          </w:p>
        </w:tc>
        <w:tc>
          <w:tcPr>
            <w:tcW w:w="180" w:type="dxa"/>
            <w:vAlign w:val="bottom"/>
          </w:tcPr>
          <w:p>
            <w:pPr>
              <w:spacing w:after="0"/>
              <w:rPr>
                <w:sz w:val="22"/>
                <w:szCs w:val="22"/>
                <w:color w:val="auto"/>
              </w:rPr>
            </w:pPr>
          </w:p>
        </w:tc>
        <w:tc>
          <w:tcPr>
            <w:tcW w:w="2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186</w:t>
            </w:r>
          </w:p>
        </w:tc>
        <w:tc>
          <w:tcPr>
            <w:tcW w:w="200" w:type="dxa"/>
            <w:vAlign w:val="bottom"/>
          </w:tcPr>
          <w:p>
            <w:pPr>
              <w:spacing w:after="0"/>
              <w:rPr>
                <w:sz w:val="22"/>
                <w:szCs w:val="22"/>
                <w:color w:val="auto"/>
              </w:rPr>
            </w:pPr>
          </w:p>
        </w:tc>
        <w:tc>
          <w:tcPr>
            <w:tcW w:w="980" w:type="dxa"/>
            <w:vAlign w:val="bottom"/>
            <w:gridSpan w:val="2"/>
          </w:tcPr>
          <w:p>
            <w:pPr>
              <w:jc w:val="right"/>
              <w:ind w:right="777"/>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765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2.16%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color w:val="auto"/>
              </w:rPr>
              <w:t>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(Non-GAAP)</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15,862</w:t>
            </w:r>
          </w:p>
        </w:tc>
        <w:tc>
          <w:tcPr>
            <w:tcW w:w="180" w:type="dxa"/>
            <w:vAlign w:val="bottom"/>
          </w:tcPr>
          <w:p>
            <w:pPr>
              <w:spacing w:after="0"/>
              <w:rPr>
                <w:sz w:val="14"/>
                <w:szCs w:val="14"/>
                <w:color w:val="auto"/>
              </w:rPr>
            </w:pPr>
          </w:p>
        </w:tc>
        <w:tc>
          <w:tcPr>
            <w:tcW w:w="2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29,138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15,368</w:t>
            </w:r>
          </w:p>
        </w:tc>
        <w:tc>
          <w:tcPr>
            <w:tcW w:w="180" w:type="dxa"/>
            <w:vAlign w:val="bottom"/>
          </w:tcPr>
          <w:p>
            <w:pPr>
              <w:spacing w:after="0"/>
              <w:rPr>
                <w:sz w:val="14"/>
                <w:szCs w:val="14"/>
                <w:color w:val="auto"/>
              </w:rPr>
            </w:pPr>
          </w:p>
        </w:tc>
        <w:tc>
          <w:tcPr>
            <w:tcW w:w="2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25,036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gridSpan w:val="2"/>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15,221</w:t>
            </w:r>
          </w:p>
        </w:tc>
        <w:tc>
          <w:tcPr>
            <w:tcW w:w="180" w:type="dxa"/>
            <w:vAlign w:val="bottom"/>
          </w:tcPr>
          <w:p>
            <w:pPr>
              <w:spacing w:after="0"/>
              <w:rPr>
                <w:sz w:val="15"/>
                <w:szCs w:val="15"/>
                <w:color w:val="auto"/>
              </w:rPr>
            </w:pPr>
          </w:p>
        </w:tc>
        <w:tc>
          <w:tcPr>
            <w:tcW w:w="26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24,136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385" w:space="720"/>
            <w:col w:w="4000"/>
          </w:cols>
          <w:pgMar w:left="695" w:top="1067" w:right="1099" w:bottom="1440" w:gutter="0" w:footer="0" w:header="0"/>
        </w:sectPr>
      </w:pPr>
    </w:p>
    <w:p>
      <w:pPr>
        <w:spacing w:after="0" w:line="64" w:lineRule="exact"/>
        <w:rPr>
          <w:sz w:val="20"/>
          <w:szCs w:val="20"/>
          <w:color w:val="auto"/>
        </w:rPr>
      </w:pPr>
    </w:p>
    <w:p>
      <w:pPr>
        <w:ind w:left="225" w:right="380" w:hanging="225"/>
        <w:spacing w:after="0" w:line="211" w:lineRule="auto"/>
        <w:tabs>
          <w:tab w:leader="none" w:pos="213"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Charge-offs are reported net of expected recoveries. For Private Education Loans, we charge off the estimated loss of a defaulted loan balance by charging off the entire defaulted loan balance and estimating recoveries on a pool basis. These estimated recoveries are referred to as “expected future recoveries on previously fully charged-off loans.” For FFELP Loans, the recovery is received at the time of charge-off.</w:t>
      </w:r>
    </w:p>
    <w:p>
      <w:pPr>
        <w:spacing w:after="0" w:line="132" w:lineRule="exact"/>
        <w:rPr>
          <w:rFonts w:ascii="Arial" w:cs="Arial" w:eastAsia="Arial" w:hAnsi="Arial"/>
          <w:sz w:val="17"/>
          <w:szCs w:val="17"/>
          <w:color w:val="auto"/>
          <w:vertAlign w:val="superscript"/>
        </w:rPr>
      </w:pPr>
    </w:p>
    <w:p>
      <w:pPr>
        <w:ind w:left="225" w:right="40" w:hanging="225"/>
        <w:spacing w:after="0" w:line="211" w:lineRule="auto"/>
        <w:tabs>
          <w:tab w:leader="none" w:pos="213"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Three and nine months ended September 30, 2026 include $121 million of write-offs related to $1.4 billion of Legacy Private Education Loans that were classified as held for sale as of September 30, 2026. When loans are first classified as held for sale, if the fair value is lower than the carrying value then the expected losses related to credit are first recorded as provision for loan losses and the allowance for loan losses associated with those items is written off, establishing a new cost basis.</w:t>
      </w:r>
    </w:p>
    <w:p>
      <w:pPr>
        <w:spacing w:after="0" w:line="91" w:lineRule="exact"/>
        <w:rPr>
          <w:rFonts w:ascii="Arial" w:cs="Arial" w:eastAsia="Arial" w:hAnsi="Arial"/>
          <w:sz w:val="17"/>
          <w:szCs w:val="17"/>
          <w:color w:val="auto"/>
          <w:vertAlign w:val="superscript"/>
        </w:rPr>
      </w:pPr>
    </w:p>
    <w:p>
      <w:pPr>
        <w:ind w:left="225" w:right="60" w:hanging="225"/>
        <w:spacing w:after="0" w:line="214" w:lineRule="auto"/>
        <w:tabs>
          <w:tab w:leader="none" w:pos="364"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At the end of each month, for Private Education Loans that are 212 or more days past due, we charge off the estimated loss of a defaulted loan balance by charging off the entire loan balance and estimating recoveries on a pool basis. These estimated recoveries are referred to as “expected future recoveries on previously fully charged-off loans.” If actual periodic recoveries are less than expected, the difference is immediately reflected as a reduction to expected future recoveries on previously fully charged-off loans. If actual periodic recoveries are greater than expected, they will be reflected as a recovery through the allowance for Private Education Loan losses once the cumulative recovery amount exceeds the cumulative amount originally expected to be recovered. The following table summarizes the activity in the expected future recoveries on previously fully charged-off loans:</w:t>
      </w:r>
    </w:p>
    <w:p>
      <w:pPr>
        <w:spacing w:after="0" w:line="108" w:lineRule="exact"/>
        <w:rPr>
          <w:sz w:val="20"/>
          <w:szCs w:val="20"/>
          <w:color w:val="auto"/>
        </w:rPr>
      </w:pPr>
    </w:p>
    <w:tbl>
      <w:tblPr>
        <w:tblLayout w:type="fixed"/>
        <w:tblInd w:w="505" w:type="dxa"/>
        <w:tblCellMar>
          <w:top w:w="0" w:type="dxa"/>
          <w:left w:w="0" w:type="dxa"/>
          <w:bottom w:w="0" w:type="dxa"/>
          <w:right w:w="0" w:type="dxa"/>
        </w:tblCellMar>
      </w:tblPr>
      <w:tr>
        <w:trPr>
          <w:trHeight w:val="149"/>
        </w:trPr>
        <w:tc>
          <w:tcPr>
            <w:tcW w:w="1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340" w:type="dxa"/>
            <w:vAlign w:val="bottom"/>
            <w:gridSpan w:val="4"/>
            <w:shd w:val="clear" w:color="auto" w:fill="D9D9D9"/>
          </w:tcPr>
          <w:p>
            <w:pPr>
              <w:jc w:val="right"/>
              <w:ind w:right="120"/>
              <w:spacing w:after="0"/>
              <w:rPr>
                <w:sz w:val="20"/>
                <w:szCs w:val="20"/>
                <w:color w:val="auto"/>
              </w:rPr>
            </w:pPr>
            <w:r>
              <w:rPr>
                <w:rFonts w:ascii="Arial" w:cs="Arial" w:eastAsia="Arial" w:hAnsi="Arial"/>
                <w:sz w:val="13"/>
                <w:szCs w:val="13"/>
                <w:b w:val="1"/>
                <w:bCs w:val="1"/>
                <w:color w:val="auto"/>
                <w:w w:val="98"/>
              </w:rPr>
              <w:t>QUARTERS ENDED</w:t>
            </w:r>
          </w:p>
        </w:tc>
        <w:tc>
          <w:tcPr>
            <w:tcW w:w="18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shd w:val="clear" w:color="auto" w:fill="D9D9D9"/>
          </w:tcPr>
          <w:p>
            <w:pPr>
              <w:spacing w:after="0"/>
              <w:rPr>
                <w:sz w:val="12"/>
                <w:szCs w:val="12"/>
                <w:color w:val="auto"/>
              </w:rPr>
            </w:pPr>
          </w:p>
        </w:tc>
        <w:tc>
          <w:tcPr>
            <w:tcW w:w="1580" w:type="dxa"/>
            <w:vAlign w:val="bottom"/>
            <w:gridSpan w:val="3"/>
            <w:shd w:val="clear" w:color="auto" w:fill="D9D9D9"/>
          </w:tcPr>
          <w:p>
            <w:pPr>
              <w:ind w:left="140"/>
              <w:spacing w:after="0"/>
              <w:rPr>
                <w:sz w:val="20"/>
                <w:szCs w:val="20"/>
                <w:color w:val="auto"/>
              </w:rPr>
            </w:pPr>
            <w:r>
              <w:rPr>
                <w:rFonts w:ascii="Arial" w:cs="Arial" w:eastAsia="Arial" w:hAnsi="Arial"/>
                <w:sz w:val="13"/>
                <w:szCs w:val="13"/>
                <w:b w:val="1"/>
                <w:bCs w:val="1"/>
                <w:color w:val="auto"/>
              </w:rPr>
              <w:t>NINE MONTHS ENDED</w:t>
            </w:r>
          </w:p>
        </w:tc>
        <w:tc>
          <w:tcPr>
            <w:tcW w:w="28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1140" w:type="dxa"/>
            <w:vAlign w:val="bottom"/>
            <w:gridSpan w:val="3"/>
          </w:tcPr>
          <w:p>
            <w:pPr>
              <w:ind w:left="20"/>
              <w:spacing w:after="0" w:line="117" w:lineRule="exact"/>
              <w:rPr>
                <w:sz w:val="20"/>
                <w:szCs w:val="20"/>
                <w:color w:val="auto"/>
              </w:rPr>
            </w:pPr>
            <w:r>
              <w:rPr>
                <w:rFonts w:ascii="Arial" w:cs="Arial" w:eastAsia="Arial" w:hAnsi="Arial"/>
                <w:sz w:val="13"/>
                <w:szCs w:val="13"/>
                <w:b w:val="1"/>
                <w:bCs w:val="1"/>
                <w:color w:val="auto"/>
              </w:rPr>
              <w:t>September 30,</w:t>
            </w:r>
          </w:p>
        </w:tc>
        <w:tc>
          <w:tcPr>
            <w:tcW w:w="1020" w:type="dxa"/>
            <w:vAlign w:val="bottom"/>
            <w:gridSpan w:val="3"/>
          </w:tcPr>
          <w:p>
            <w:pPr>
              <w:spacing w:after="0" w:line="117"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53"/>
        </w:trPr>
        <w:tc>
          <w:tcPr>
            <w:tcW w:w="1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(Dollars in millions)</w:t>
            </w:r>
          </w:p>
        </w:tc>
        <w:tc>
          <w:tcPr>
            <w:tcW w:w="2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4"/>
              </w:rPr>
              <w:t>June 30, 2026</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2026</w:t>
            </w:r>
          </w:p>
        </w:tc>
        <w:tc>
          <w:tcPr>
            <w:tcW w:w="220" w:type="dxa"/>
            <w:vAlign w:val="bottom"/>
          </w:tcPr>
          <w:p>
            <w:pPr>
              <w:spacing w:after="0"/>
              <w:rPr>
                <w:sz w:val="13"/>
                <w:szCs w:val="13"/>
                <w:color w:val="auto"/>
              </w:rPr>
            </w:pP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8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color w:val="auto"/>
              </w:rPr>
              <w:t>Beginning of period expected future recoveries on</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previously fully charged-off loans</w:t>
            </w: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w:t>
            </w:r>
          </w:p>
        </w:tc>
        <w:tc>
          <w:tcPr>
            <w:tcW w:w="8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3"/>
                <w:szCs w:val="13"/>
                <w:color w:val="auto"/>
              </w:rPr>
              <w:t>Expected future recoveries of current period defaults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Recoveries (cash collected)</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(29)</w:t>
            </w:r>
          </w:p>
        </w:tc>
        <w:tc>
          <w:tcPr>
            <w:tcW w:w="64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8"/>
        </w:trPr>
        <w:tc>
          <w:tcPr>
            <w:tcW w:w="3480" w:type="dxa"/>
            <w:vAlign w:val="bottom"/>
            <w:gridSpan w:val="2"/>
          </w:tcPr>
          <w:p>
            <w:pPr>
              <w:spacing w:after="0"/>
              <w:rPr>
                <w:sz w:val="20"/>
                <w:szCs w:val="20"/>
                <w:color w:val="auto"/>
              </w:rPr>
            </w:pPr>
            <w:r>
              <w:rPr>
                <w:rFonts w:ascii="Arial" w:cs="Arial" w:eastAsia="Arial" w:hAnsi="Arial"/>
                <w:sz w:val="13"/>
                <w:szCs w:val="13"/>
                <w:color w:val="auto"/>
              </w:rPr>
              <w:t>Charge-offs (as a result of lower recovery expectations)</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(15)</w:t>
            </w:r>
          </w:p>
        </w:tc>
        <w:tc>
          <w:tcPr>
            <w:tcW w:w="64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29"/>
        </w:trPr>
        <w:tc>
          <w:tcPr>
            <w:tcW w:w="3480" w:type="dxa"/>
            <w:vAlign w:val="bottom"/>
            <w:gridSpan w:val="2"/>
            <w:shd w:val="clear" w:color="auto" w:fill="CFF0FC"/>
          </w:tcPr>
          <w:p>
            <w:pPr>
              <w:spacing w:after="0" w:line="129" w:lineRule="exact"/>
              <w:rPr>
                <w:sz w:val="20"/>
                <w:szCs w:val="20"/>
                <w:color w:val="auto"/>
              </w:rPr>
            </w:pPr>
            <w:r>
              <w:rPr>
                <w:rFonts w:ascii="Arial" w:cs="Arial" w:eastAsia="Arial" w:hAnsi="Arial"/>
                <w:sz w:val="13"/>
                <w:szCs w:val="13"/>
                <w:color w:val="auto"/>
              </w:rPr>
              <w:t>End of period expected future recoveries on previously</w:t>
            </w:r>
          </w:p>
        </w:tc>
        <w:tc>
          <w:tcPr>
            <w:tcW w:w="20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157</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163</w:t>
            </w:r>
          </w:p>
        </w:tc>
        <w:tc>
          <w:tcPr>
            <w:tcW w:w="220" w:type="dxa"/>
            <w:vAlign w:val="bottom"/>
            <w:shd w:val="clear" w:color="auto" w:fill="CFF0FC"/>
          </w:tcPr>
          <w:p>
            <w:pPr>
              <w:spacing w:after="0"/>
              <w:rPr>
                <w:sz w:val="11"/>
                <w:szCs w:val="11"/>
                <w:color w:val="auto"/>
              </w:rPr>
            </w:pPr>
          </w:p>
        </w:tc>
        <w:tc>
          <w:tcPr>
            <w:tcW w:w="18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173</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157</w:t>
            </w:r>
          </w:p>
        </w:tc>
        <w:tc>
          <w:tcPr>
            <w:tcW w:w="220" w:type="dxa"/>
            <w:vAlign w:val="bottom"/>
            <w:shd w:val="clear" w:color="auto" w:fill="CFF0FC"/>
          </w:tcPr>
          <w:p>
            <w:pPr>
              <w:spacing w:after="0"/>
              <w:rPr>
                <w:sz w:val="11"/>
                <w:szCs w:val="11"/>
                <w:color w:val="auto"/>
              </w:rPr>
            </w:pPr>
          </w:p>
        </w:tc>
        <w:tc>
          <w:tcPr>
            <w:tcW w:w="64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80" w:type="dxa"/>
            <w:vAlign w:val="bottom"/>
            <w:tcBorders>
              <w:bottom w:val="single" w:sz="8" w:color="CFF0FC"/>
            </w:tcBorders>
            <w:gridSpan w:val="2"/>
            <w:shd w:val="clear" w:color="auto" w:fill="CFF0FC"/>
          </w:tcPr>
          <w:p>
            <w:pPr>
              <w:spacing w:after="0" w:line="114" w:lineRule="exact"/>
              <w:rPr>
                <w:sz w:val="20"/>
                <w:szCs w:val="20"/>
                <w:color w:val="auto"/>
              </w:rPr>
            </w:pPr>
            <w:r>
              <w:rPr>
                <w:rFonts w:ascii="Arial" w:cs="Arial" w:eastAsia="Arial" w:hAnsi="Arial"/>
                <w:sz w:val="13"/>
                <w:szCs w:val="13"/>
                <w:color w:val="auto"/>
              </w:rPr>
              <w:t>fully charged-off loans</w:t>
            </w: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9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80" w:type="dxa"/>
            <w:vAlign w:val="bottom"/>
            <w:gridSpan w:val="2"/>
          </w:tcPr>
          <w:p>
            <w:pPr>
              <w:spacing w:after="0"/>
              <w:rPr>
                <w:sz w:val="20"/>
                <w:szCs w:val="20"/>
                <w:color w:val="auto"/>
              </w:rPr>
            </w:pPr>
            <w:r>
              <w:rPr>
                <w:rFonts w:ascii="Arial" w:cs="Arial" w:eastAsia="Arial" w:hAnsi="Arial"/>
                <w:sz w:val="13"/>
                <w:szCs w:val="13"/>
                <w:color w:val="auto"/>
              </w:rPr>
              <w:t>Change in balance during period</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(3)</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3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(13)</w:t>
            </w:r>
          </w:p>
        </w:tc>
        <w:tc>
          <w:tcPr>
            <w:tcW w:w="64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-137160</wp:posOffset>
            </wp:positionV>
            <wp:extent cx="514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3110230</wp:posOffset>
            </wp:positionH>
            <wp:positionV relativeFrom="paragraph">
              <wp:posOffset>-120015</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-137160</wp:posOffset>
            </wp:positionV>
            <wp:extent cx="51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-120015</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-137160</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-120015</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-137160</wp:posOffset>
            </wp:positionV>
            <wp:extent cx="514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-120015</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-137160</wp:posOffset>
            </wp:positionV>
            <wp:extent cx="596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-120015</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21" w:lineRule="exact"/>
        <w:rPr>
          <w:sz w:val="20"/>
          <w:szCs w:val="20"/>
          <w:color w:val="auto"/>
        </w:rPr>
      </w:pPr>
    </w:p>
    <w:p>
      <w:pPr>
        <w:ind w:left="225" w:hanging="225"/>
        <w:spacing w:after="0"/>
        <w:tabs>
          <w:tab w:leader="none" w:pos="225"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For Private Education Loans, the item is a non-GAAP financial measure. For a description and reconciliation, see “Non-GAAP Financial Measures.”</w:t>
      </w:r>
    </w:p>
    <w:p>
      <w:pPr>
        <w:spacing w:after="0" w:line="131" w:lineRule="exact"/>
        <w:rPr>
          <w:rFonts w:ascii="Arial" w:cs="Arial" w:eastAsia="Arial" w:hAnsi="Arial"/>
          <w:sz w:val="17"/>
          <w:szCs w:val="17"/>
          <w:color w:val="auto"/>
          <w:vertAlign w:val="superscript"/>
        </w:rPr>
      </w:pPr>
    </w:p>
    <w:p>
      <w:pPr>
        <w:ind w:left="225" w:right="180" w:hanging="225"/>
        <w:spacing w:after="0" w:line="211" w:lineRule="auto"/>
        <w:tabs>
          <w:tab w:leader="none" w:pos="236"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Three and nine months ended September 30, 2026 exclude $2.4 billion of Private Education Loans that were classified as held for sale as of September 30, 2026 and $235 million of In-School Education Loans carried at fair value, and their corresponding charge-offs. Second-quarter 2026 excludes $528 million of Legacy Private Education Loans, and the corresponding charge-offs, that were classified as held for sale as of June 30, 2026.</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479425</wp:posOffset>
            </wp:positionV>
            <wp:extent cx="703770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1067" w:right="1099" w:bottom="1440" w:gutter="0" w:footer="0" w:header="0"/>
          <w:type w:val="continuous"/>
        </w:sectPr>
      </w:pPr>
    </w:p>
    <w:bookmarkStart w:id="19" w:name="page20"/>
    <w:bookmarkEnd w:id="19"/>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448310</wp:posOffset>
            </wp:positionH>
            <wp:positionV relativeFrom="page">
              <wp:posOffset>637540</wp:posOffset>
            </wp:positionV>
            <wp:extent cx="6412230" cy="2057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12230" cy="205740"/>
                    </a:xfrm>
                    <a:prstGeom prst="rect">
                      <a:avLst/>
                    </a:prstGeom>
                    <a:noFill/>
                  </pic:spPr>
                </pic:pic>
              </a:graphicData>
            </a:graphic>
          </wp:anchor>
        </w:drawing>
        <w:t>LIQUIDITY AND CAPITAL RESOURCES</w:t>
      </w:r>
    </w:p>
    <w:p>
      <w:pPr>
        <w:spacing w:after="0" w:line="25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We expect to fund our ongoing liquidity needs, including the repayment of $0.7 billion of senior unsecured notes that mature in the short term (i.e., over the next 12 months) and the remaining $4.6 billion of senior unsecured notes that mature in the long term (from 2027 to 2043 with 78% maturing by 2032), through a number of sources. These sources include our cash on hand, unencumbered FFELP Loan and Refinance Education Loan portfolios (see “Sources of Primary Liquidity” below), the predictable operating cash flows provided by operating activities, the repayment of principal on unencumbered education loan assets, and the distribution of overcollateralization from our securitization trusts. We may also, depending on market conditions and availability, draw down on our secured FFELP Loan and Private Education Loan asset-backed commercial paper (ABCP) facilities, issue term asset-backed securities (ABS), enter into additional Private Education Loan and FFELP Loan ABS repurchase facilities, or issue additional unsecured debt.</w:t>
      </w:r>
    </w:p>
    <w:p>
      <w:pPr>
        <w:spacing w:after="0" w:line="156"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We originate Consumer Loans (a portion of which is obtained through a forward purchase agreement). We also have purchased and may purchase, in future periods, Private Education Loan portfolios from third parties. Those originations and purchases are part of our ongoing liquidity needs. We repurchased 1.1 million shares of common stock for $10 million in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6412230" cy="2057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12230" cy="205740"/>
                    </a:xfrm>
                    <a:prstGeom prst="rect">
                      <a:avLst/>
                    </a:prstGeom>
                    <a:noFill/>
                  </pic:spPr>
                </pic:pic>
              </a:graphicData>
            </a:graphic>
          </wp:anchor>
        </w:drawing>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SOURCES OF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Primary Liquidity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 2026</w:t>
            </w: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June 30, 2026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7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Ending Balances:</w:t>
            </w: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Unrestricted cash</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701</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16"/>
                <w:szCs w:val="16"/>
                <w:color w:val="auto"/>
              </w:rPr>
            </w:pPr>
          </w:p>
        </w:tc>
        <w:tc>
          <w:tcPr>
            <w:tcW w:w="22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Unencumbered Refinance Education Loans</w:t>
            </w: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180" w:type="dxa"/>
            <w:vAlign w:val="bottom"/>
            <w:gridSpan w:val="3"/>
          </w:tcPr>
          <w:p>
            <w:pPr>
              <w:spacing w:after="0"/>
              <w:rPr>
                <w:sz w:val="20"/>
                <w:szCs w:val="20"/>
                <w:color w:val="auto"/>
              </w:rPr>
            </w:pPr>
            <w:r>
              <w:rPr>
                <w:rFonts w:ascii="Arial" w:cs="Arial" w:eastAsia="Arial" w:hAnsi="Arial"/>
                <w:sz w:val="16"/>
                <w:szCs w:val="16"/>
                <w:color w:val="auto"/>
              </w:rPr>
              <w:t>Unencumbered In-School Education Loans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Unencumbered FFELP Loans</w:t>
            </w:r>
          </w:p>
        </w:tc>
        <w:tc>
          <w:tcPr>
            <w:tcW w:w="4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78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28"/>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932</w:t>
            </w:r>
          </w:p>
        </w:tc>
        <w:tc>
          <w:tcPr>
            <w:tcW w:w="320" w:type="dxa"/>
            <w:vAlign w:val="bottom"/>
            <w:gridSpan w:val="3"/>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1,131</w:t>
            </w:r>
          </w:p>
        </w:tc>
        <w:tc>
          <w:tcPr>
            <w:tcW w:w="120" w:type="dxa"/>
            <w:vAlign w:val="bottom"/>
          </w:tcPr>
          <w:p>
            <w:pPr>
              <w:spacing w:after="0"/>
              <w:rPr>
                <w:sz w:val="15"/>
                <w:szCs w:val="15"/>
                <w:color w:val="auto"/>
              </w:rPr>
            </w:pPr>
          </w:p>
        </w:tc>
        <w:tc>
          <w:tcPr>
            <w:tcW w:w="220" w:type="dxa"/>
            <w:vAlign w:val="bottom"/>
            <w:gridSpan w:val="2"/>
          </w:tcPr>
          <w:p>
            <w:pPr>
              <w:jc w:val="center"/>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1,167</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4"/>
          </w:tcPr>
          <w:p>
            <w:pPr>
              <w:spacing w:after="0"/>
              <w:rPr>
                <w:sz w:val="15"/>
                <w:szCs w:val="15"/>
                <w:color w:val="auto"/>
              </w:rPr>
            </w:pPr>
          </w:p>
        </w:tc>
        <w:tc>
          <w:tcPr>
            <w:tcW w:w="1360" w:type="dxa"/>
            <w:vAlign w:val="bottom"/>
            <w:gridSpan w:val="3"/>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shd w:val="clear" w:color="auto" w:fill="D9D9D9"/>
          </w:tcPr>
          <w:p>
            <w:pPr>
              <w:spacing w:after="0"/>
              <w:rPr>
                <w:sz w:val="14"/>
                <w:szCs w:val="14"/>
                <w:color w:val="auto"/>
              </w:rPr>
            </w:pPr>
          </w:p>
        </w:tc>
        <w:tc>
          <w:tcPr>
            <w:tcW w:w="860" w:type="dxa"/>
            <w:vAlign w:val="bottom"/>
            <w:shd w:val="clear" w:color="auto" w:fill="D9D9D9"/>
          </w:tcPr>
          <w:p>
            <w:pPr>
              <w:spacing w:after="0"/>
              <w:rPr>
                <w:sz w:val="14"/>
                <w:szCs w:val="14"/>
                <w:color w:val="auto"/>
              </w:rPr>
            </w:pPr>
          </w:p>
        </w:tc>
        <w:tc>
          <w:tcPr>
            <w:tcW w:w="1620" w:type="dxa"/>
            <w:vAlign w:val="bottom"/>
            <w:gridSpan w:val="6"/>
            <w:shd w:val="clear" w:color="auto" w:fill="D9D9D9"/>
          </w:tcPr>
          <w:p>
            <w:pPr>
              <w:ind w:left="160"/>
              <w:spacing w:after="0"/>
              <w:rPr>
                <w:sz w:val="20"/>
                <w:szCs w:val="20"/>
                <w:color w:val="auto"/>
              </w:rPr>
            </w:pPr>
            <w:r>
              <w:rPr>
                <w:rFonts w:ascii="Arial" w:cs="Arial" w:eastAsia="Arial" w:hAnsi="Arial"/>
                <w:sz w:val="14"/>
                <w:szCs w:val="14"/>
                <w:b w:val="1"/>
                <w:bCs w:val="1"/>
                <w:color w:val="auto"/>
              </w:rPr>
              <w:t>QUARTERS ENDED</w:t>
            </w:r>
          </w:p>
        </w:tc>
        <w:tc>
          <w:tcPr>
            <w:tcW w:w="10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940" w:type="dxa"/>
            <w:vAlign w:val="bottom"/>
            <w:shd w:val="clear" w:color="auto" w:fill="D9D9D9"/>
          </w:tcPr>
          <w:p>
            <w:pPr>
              <w:spacing w:after="0"/>
              <w:rPr>
                <w:sz w:val="14"/>
                <w:szCs w:val="14"/>
                <w:color w:val="auto"/>
              </w:rPr>
            </w:pPr>
          </w:p>
        </w:tc>
        <w:tc>
          <w:tcPr>
            <w:tcW w:w="180" w:type="dxa"/>
            <w:vAlign w:val="bottom"/>
            <w:shd w:val="clear" w:color="auto" w:fill="D9D9D9"/>
          </w:tcPr>
          <w:p>
            <w:pPr>
              <w:spacing w:after="0"/>
              <w:rPr>
                <w:sz w:val="14"/>
                <w:szCs w:val="14"/>
                <w:color w:val="auto"/>
              </w:rPr>
            </w:pPr>
          </w:p>
        </w:tc>
        <w:tc>
          <w:tcPr>
            <w:tcW w:w="4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760" w:type="dxa"/>
            <w:vAlign w:val="bottom"/>
            <w:gridSpan w:val="7"/>
            <w:shd w:val="clear" w:color="auto" w:fill="D9D9D9"/>
          </w:tcPr>
          <w:p>
            <w:pPr>
              <w:jc w:val="center"/>
              <w:ind w:right="200"/>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60" w:type="dxa"/>
            <w:vAlign w:val="bottom"/>
            <w:gridSpan w:val="2"/>
          </w:tcPr>
          <w:p>
            <w:pPr>
              <w:jc w:val="right"/>
              <w:ind w:right="101"/>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right"/>
              <w:ind w:right="26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1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June 30, 2026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7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Average Balances:</w:t>
            </w: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Unrestricted cash</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621</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686</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620</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780" w:type="dxa"/>
            <w:vAlign w:val="bottom"/>
            <w:gridSpan w:val="2"/>
            <w:shd w:val="clear" w:color="auto" w:fill="CFF0FC"/>
          </w:tcPr>
          <w:p>
            <w:pPr>
              <w:spacing w:after="0" w:line="175" w:lineRule="exact"/>
              <w:rPr>
                <w:sz w:val="20"/>
                <w:szCs w:val="20"/>
                <w:color w:val="auto"/>
              </w:rPr>
            </w:pPr>
            <w:r>
              <w:rPr>
                <w:rFonts w:ascii="Arial" w:cs="Arial" w:eastAsia="Arial" w:hAnsi="Arial"/>
                <w:sz w:val="16"/>
                <w:szCs w:val="16"/>
                <w:color w:val="auto"/>
              </w:rPr>
              <w:t>Unencumbered Refinance</w:t>
            </w:r>
          </w:p>
        </w:tc>
        <w:tc>
          <w:tcPr>
            <w:tcW w:w="4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Education Loans</w:t>
            </w: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665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607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w:t>
            </w:r>
          </w:p>
        </w:tc>
        <w:tc>
          <w:tcPr>
            <w:tcW w:w="100" w:type="dxa"/>
            <w:vAlign w:val="bottom"/>
            <w:shd w:val="clear" w:color="auto" w:fill="CFF0FC"/>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2780" w:type="dxa"/>
            <w:vAlign w:val="bottom"/>
            <w:gridSpan w:val="2"/>
          </w:tcPr>
          <w:p>
            <w:pPr>
              <w:spacing w:after="0" w:line="175" w:lineRule="exact"/>
              <w:rPr>
                <w:sz w:val="20"/>
                <w:szCs w:val="20"/>
                <w:color w:val="auto"/>
              </w:rPr>
            </w:pPr>
            <w:r>
              <w:rPr>
                <w:rFonts w:ascii="Arial" w:cs="Arial" w:eastAsia="Arial" w:hAnsi="Arial"/>
                <w:sz w:val="16"/>
                <w:szCs w:val="16"/>
                <w:color w:val="auto"/>
              </w:rPr>
              <w:t>Unencumbered In-School</w:t>
            </w: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Education Loans</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Unencumbered FFELP Loans</w:t>
            </w:r>
          </w:p>
        </w:tc>
        <w:tc>
          <w:tcPr>
            <w:tcW w:w="4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78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1,152</w:t>
            </w:r>
          </w:p>
        </w:tc>
        <w:tc>
          <w:tcPr>
            <w:tcW w:w="3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1,428</w:t>
            </w:r>
          </w:p>
        </w:tc>
        <w:tc>
          <w:tcPr>
            <w:tcW w:w="140" w:type="dxa"/>
            <w:vAlign w:val="bottom"/>
          </w:tcPr>
          <w:p>
            <w:pPr>
              <w:spacing w:after="0"/>
              <w:rPr>
                <w:sz w:val="15"/>
                <w:szCs w:val="15"/>
                <w:color w:val="auto"/>
              </w:rPr>
            </w:pPr>
          </w:p>
        </w:tc>
        <w:tc>
          <w:tcPr>
            <w:tcW w:w="1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0"/>
              <w:spacing w:after="0" w:line="183" w:lineRule="exact"/>
              <w:rPr>
                <w:sz w:val="20"/>
                <w:szCs w:val="20"/>
                <w:color w:val="auto"/>
              </w:rPr>
            </w:pPr>
            <w:r>
              <w:rPr>
                <w:rFonts w:ascii="Arial" w:cs="Arial" w:eastAsia="Arial" w:hAnsi="Arial"/>
                <w:sz w:val="16"/>
                <w:szCs w:val="16"/>
                <w:color w:val="auto"/>
              </w:rPr>
              <w:t>1,262</w:t>
            </w:r>
          </w:p>
        </w:tc>
        <w:tc>
          <w:tcPr>
            <w:tcW w:w="100" w:type="dxa"/>
            <w:vAlign w:val="bottom"/>
          </w:tcPr>
          <w:p>
            <w:pPr>
              <w:spacing w:after="0"/>
              <w:rPr>
                <w:sz w:val="15"/>
                <w:szCs w:val="15"/>
                <w:color w:val="auto"/>
              </w:rPr>
            </w:pP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1,296</w:t>
            </w:r>
          </w:p>
        </w:tc>
        <w:tc>
          <w:tcPr>
            <w:tcW w:w="320" w:type="dxa"/>
            <w:vAlign w:val="bottom"/>
            <w:gridSpan w:val="3"/>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1,307</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-1593850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5335905</wp:posOffset>
            </wp:positionH>
            <wp:positionV relativeFrom="paragraph">
              <wp:posOffset>-1593850</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-1593850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-153670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3518535</wp:posOffset>
            </wp:positionH>
            <wp:positionV relativeFrom="paragraph">
              <wp:posOffset>-153670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4461510</wp:posOffset>
            </wp:positionH>
            <wp:positionV relativeFrom="paragraph">
              <wp:posOffset>-153670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5404485</wp:posOffset>
            </wp:positionH>
            <wp:positionV relativeFrom="paragraph">
              <wp:posOffset>-153670</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-153670</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479425</wp:posOffset>
            </wp:positionV>
            <wp:extent cx="703770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0"/>
          </w:cols>
          <w:pgMar w:left="700" w:top="1052" w:right="1099" w:bottom="1440" w:gutter="0" w:footer="0" w:header="0"/>
        </w:sectPr>
      </w:pPr>
    </w:p>
    <w:bookmarkStart w:id="20" w:name="page21"/>
    <w:bookmarkEnd w:id="20"/>
    <w:p>
      <w:pPr>
        <w:ind w:left="5"/>
        <w:spacing w:after="0"/>
        <w:rPr>
          <w:sz w:val="20"/>
          <w:szCs w:val="20"/>
          <w:color w:val="auto"/>
        </w:rPr>
      </w:pPr>
      <w:r>
        <w:rPr>
          <w:rFonts w:ascii="Arial" w:cs="Arial" w:eastAsia="Arial" w:hAnsi="Arial"/>
          <w:sz w:val="18"/>
          <w:szCs w:val="18"/>
          <w:b w:val="1"/>
          <w:bCs w:val="1"/>
          <w:color w:val="auto"/>
        </w:rPr>
        <w:t>Sources of Additional Liquidity</w:t>
      </w:r>
    </w:p>
    <w:p>
      <w:pPr>
        <w:spacing w:after="0" w:line="203" w:lineRule="exact"/>
        <w:rPr>
          <w:sz w:val="20"/>
          <w:szCs w:val="20"/>
          <w:color w:val="auto"/>
        </w:rPr>
      </w:pPr>
    </w:p>
    <w:p>
      <w:pPr>
        <w:ind w:left="5" w:right="120"/>
        <w:spacing w:after="0" w:line="259" w:lineRule="auto"/>
        <w:rPr>
          <w:sz w:val="20"/>
          <w:szCs w:val="20"/>
          <w:color w:val="auto"/>
        </w:rPr>
      </w:pPr>
      <w:r>
        <w:rPr>
          <w:rFonts w:ascii="Arial" w:cs="Arial" w:eastAsia="Arial" w:hAnsi="Arial"/>
          <w:sz w:val="16"/>
          <w:szCs w:val="16"/>
          <w:color w:val="auto"/>
        </w:rPr>
        <w:t>Liquidity may also be available under our secured credit facilities. Maximum borrowing capacity under the FFELP Loan and Private Education Loan ABCP facilities will vary and be subject to each agreement’s borrowing conditions, including, among others, facility size, current usage and availability of qualifying collateral from unencumbered loans. The following tables detail the additional borrowing capacity of these facilities with maturity dates ranging from November 2026 to April 2028.</w:t>
      </w:r>
    </w:p>
    <w:p>
      <w:pPr>
        <w:spacing w:after="0" w:line="169" w:lineRule="exact"/>
        <w:rPr>
          <w:sz w:val="20"/>
          <w:szCs w:val="20"/>
          <w:color w:val="auto"/>
        </w:rPr>
      </w:pPr>
    </w:p>
    <w:tbl>
      <w:tblPr>
        <w:tblLayout w:type="fixed"/>
        <w:tblInd w:w="5" w:type="dxa"/>
        <w:tblCellMar>
          <w:top w:w="0" w:type="dxa"/>
          <w:left w:w="0" w:type="dxa"/>
          <w:bottom w:w="0" w:type="dxa"/>
          <w:right w:w="0" w:type="dxa"/>
        </w:tblCellMar>
      </w:tblPr>
      <w:tr>
        <w:trPr>
          <w:trHeight w:val="171"/>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 2026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2026</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2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Ending Balances:</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Private Education Loan ABCP facilities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ind w:right="36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890</w:t>
            </w:r>
          </w:p>
        </w:tc>
        <w:tc>
          <w:tcPr>
            <w:tcW w:w="20" w:type="dxa"/>
            <w:vAlign w:val="bottom"/>
          </w:tcPr>
          <w:p>
            <w:pPr>
              <w:spacing w:after="0"/>
              <w:rPr>
                <w:sz w:val="16"/>
                <w:szCs w:val="16"/>
                <w:color w:val="auto"/>
              </w:rPr>
            </w:pPr>
          </w:p>
        </w:tc>
        <w:tc>
          <w:tcPr>
            <w:tcW w:w="44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1,841</w:t>
            </w:r>
          </w:p>
        </w:tc>
        <w:tc>
          <w:tcPr>
            <w:tcW w:w="140" w:type="dxa"/>
            <w:vAlign w:val="bottom"/>
          </w:tcPr>
          <w:p>
            <w:pPr>
              <w:spacing w:after="0"/>
              <w:rPr>
                <w:sz w:val="16"/>
                <w:szCs w:val="16"/>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1,882</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FFELP Loan ABCP facilities</w:t>
            </w: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26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ind w:right="368"/>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1,003</w:t>
            </w:r>
          </w:p>
        </w:tc>
        <w:tc>
          <w:tcPr>
            <w:tcW w:w="20" w:type="dxa"/>
            <w:vAlign w:val="bottom"/>
          </w:tcPr>
          <w:p>
            <w:pPr>
              <w:spacing w:after="0"/>
              <w:rPr>
                <w:sz w:val="15"/>
                <w:szCs w:val="15"/>
                <w:color w:val="auto"/>
              </w:rPr>
            </w:pPr>
          </w:p>
        </w:tc>
        <w:tc>
          <w:tcPr>
            <w:tcW w:w="440" w:type="dxa"/>
            <w:vAlign w:val="bottom"/>
            <w:gridSpan w:val="2"/>
          </w:tcPr>
          <w:p>
            <w:pPr>
              <w:jc w:val="right"/>
              <w:ind w:right="128"/>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1,841</w:t>
            </w:r>
          </w:p>
        </w:tc>
        <w:tc>
          <w:tcPr>
            <w:tcW w:w="140" w:type="dxa"/>
            <w:vAlign w:val="bottom"/>
          </w:tcPr>
          <w:p>
            <w:pPr>
              <w:spacing w:after="0"/>
              <w:rPr>
                <w:sz w:val="15"/>
                <w:szCs w:val="15"/>
                <w:color w:val="auto"/>
              </w:rPr>
            </w:pPr>
          </w:p>
        </w:tc>
        <w:tc>
          <w:tcPr>
            <w:tcW w:w="220" w:type="dxa"/>
            <w:vAlign w:val="bottom"/>
            <w:gridSpan w:val="3"/>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w w:val="99"/>
              </w:rPr>
              <w:t>2,060</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5"/>
          </w:tcPr>
          <w:p>
            <w:pPr>
              <w:spacing w:after="0"/>
              <w:rPr>
                <w:sz w:val="24"/>
                <w:szCs w:val="24"/>
                <w:color w:val="auto"/>
              </w:rPr>
            </w:pPr>
          </w:p>
        </w:tc>
        <w:tc>
          <w:tcPr>
            <w:tcW w:w="2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940" w:type="dxa"/>
            <w:vAlign w:val="bottom"/>
            <w:shd w:val="clear" w:color="auto" w:fill="D9D9D9"/>
          </w:tcPr>
          <w:p>
            <w:pPr>
              <w:spacing w:after="0"/>
              <w:rPr>
                <w:sz w:val="18"/>
                <w:szCs w:val="18"/>
                <w:color w:val="auto"/>
              </w:rPr>
            </w:pPr>
          </w:p>
        </w:tc>
        <w:tc>
          <w:tcPr>
            <w:tcW w:w="1540" w:type="dxa"/>
            <w:vAlign w:val="bottom"/>
            <w:gridSpan w:val="6"/>
            <w:shd w:val="clear" w:color="auto" w:fill="D9D9D9"/>
          </w:tcPr>
          <w:p>
            <w:pPr>
              <w:ind w:left="100"/>
              <w:spacing w:after="0"/>
              <w:rPr>
                <w:sz w:val="20"/>
                <w:szCs w:val="20"/>
                <w:color w:val="auto"/>
              </w:rPr>
            </w:pPr>
            <w:r>
              <w:rPr>
                <w:rFonts w:ascii="Arial" w:cs="Arial" w:eastAsia="Arial" w:hAnsi="Arial"/>
                <w:sz w:val="14"/>
                <w:szCs w:val="14"/>
                <w:b w:val="1"/>
                <w:bCs w:val="1"/>
                <w:color w:val="auto"/>
              </w:rPr>
              <w:t>QUARTERS ENDED</w:t>
            </w:r>
          </w:p>
        </w:tc>
        <w:tc>
          <w:tcPr>
            <w:tcW w:w="80" w:type="dxa"/>
            <w:vAlign w:val="bottom"/>
            <w:shd w:val="clear" w:color="auto" w:fill="D9D9D9"/>
          </w:tcPr>
          <w:p>
            <w:pPr>
              <w:spacing w:after="0"/>
              <w:rPr>
                <w:sz w:val="18"/>
                <w:szCs w:val="18"/>
                <w:color w:val="auto"/>
              </w:rPr>
            </w:pPr>
          </w:p>
        </w:tc>
        <w:tc>
          <w:tcPr>
            <w:tcW w:w="700" w:type="dxa"/>
            <w:vAlign w:val="bottom"/>
            <w:shd w:val="clear" w:color="auto" w:fill="D9D9D9"/>
          </w:tcPr>
          <w:p>
            <w:pPr>
              <w:spacing w:after="0"/>
              <w:rPr>
                <w:sz w:val="18"/>
                <w:szCs w:val="18"/>
                <w:color w:val="auto"/>
              </w:rPr>
            </w:pPr>
          </w:p>
        </w:tc>
        <w:tc>
          <w:tcPr>
            <w:tcW w:w="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280" w:type="dxa"/>
            <w:vAlign w:val="bottom"/>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8"/>
            <w:shd w:val="clear" w:color="auto" w:fill="D9D9D9"/>
          </w:tcPr>
          <w:p>
            <w:pPr>
              <w:jc w:val="right"/>
              <w:ind w:right="8"/>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r>
      <w:tr>
        <w:trPr>
          <w:trHeight w:val="153"/>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0" w:type="dxa"/>
            <w:vAlign w:val="bottom"/>
            <w:gridSpan w:val="2"/>
          </w:tcPr>
          <w:p>
            <w:pPr>
              <w:jc w:val="right"/>
              <w:ind w:right="61"/>
              <w:spacing w:after="0" w:line="15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center"/>
              <w:ind w:right="1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(Dollars in millions)</w:t>
            </w:r>
          </w:p>
        </w:tc>
        <w:tc>
          <w:tcPr>
            <w:tcW w:w="1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 2026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2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Average Balances:</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Private Education Loan ABCP facilities</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1,607</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1,678</w:t>
            </w:r>
          </w:p>
        </w:tc>
        <w:tc>
          <w:tcPr>
            <w:tcW w:w="140" w:type="dxa"/>
            <w:vAlign w:val="bottom"/>
          </w:tcPr>
          <w:p>
            <w:pPr>
              <w:spacing w:after="0"/>
              <w:rPr>
                <w:sz w:val="16"/>
                <w:szCs w:val="16"/>
                <w:color w:val="auto"/>
              </w:rPr>
            </w:pPr>
          </w:p>
        </w:tc>
        <w:tc>
          <w:tcPr>
            <w:tcW w:w="780" w:type="dxa"/>
            <w:vAlign w:val="bottom"/>
            <w:gridSpan w:val="2"/>
          </w:tcPr>
          <w:p>
            <w:pPr>
              <w:jc w:val="right"/>
              <w:ind w:right="54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w w:val="99"/>
              </w:rPr>
              <w:t>1,695</w:t>
            </w:r>
          </w:p>
        </w:tc>
        <w:tc>
          <w:tcPr>
            <w:tcW w:w="80" w:type="dxa"/>
            <w:vAlign w:val="bottom"/>
          </w:tcPr>
          <w:p>
            <w:pPr>
              <w:spacing w:after="0"/>
              <w:rPr>
                <w:sz w:val="16"/>
                <w:szCs w:val="16"/>
                <w:color w:val="auto"/>
              </w:rPr>
            </w:pPr>
          </w:p>
        </w:tc>
        <w:tc>
          <w:tcPr>
            <w:tcW w:w="860" w:type="dxa"/>
            <w:vAlign w:val="bottom"/>
            <w:gridSpan w:val="2"/>
          </w:tcPr>
          <w:p>
            <w:pPr>
              <w:jc w:val="right"/>
              <w:ind w:right="568"/>
              <w:spacing w:after="0"/>
              <w:rPr>
                <w:sz w:val="20"/>
                <w:szCs w:val="20"/>
                <w:color w:val="auto"/>
              </w:rPr>
            </w:pPr>
            <w:r>
              <w:rPr>
                <w:rFonts w:ascii="Arial" w:cs="Arial" w:eastAsia="Arial" w:hAnsi="Arial"/>
                <w:sz w:val="16"/>
                <w:szCs w:val="16"/>
                <w:color w:val="auto"/>
              </w:rPr>
              <w:t>$</w:t>
            </w:r>
          </w:p>
        </w:tc>
        <w:tc>
          <w:tcPr>
            <w:tcW w:w="440" w:type="dxa"/>
            <w:vAlign w:val="bottom"/>
            <w:gridSpan w:val="4"/>
          </w:tcPr>
          <w:p>
            <w:pPr>
              <w:jc w:val="right"/>
              <w:spacing w:after="0"/>
              <w:rPr>
                <w:sz w:val="20"/>
                <w:szCs w:val="20"/>
                <w:color w:val="auto"/>
              </w:rPr>
            </w:pPr>
            <w:r>
              <w:rPr>
                <w:rFonts w:ascii="Arial" w:cs="Arial" w:eastAsia="Arial" w:hAnsi="Arial"/>
                <w:sz w:val="16"/>
                <w:szCs w:val="16"/>
                <w:color w:val="auto"/>
                <w:w w:val="99"/>
              </w:rPr>
              <w:t>1,648</w:t>
            </w:r>
          </w:p>
        </w:tc>
        <w:tc>
          <w:tcPr>
            <w:tcW w:w="120" w:type="dxa"/>
            <w:vAlign w:val="bottom"/>
          </w:tcPr>
          <w:p>
            <w:pPr>
              <w:spacing w:after="0"/>
              <w:rPr>
                <w:sz w:val="16"/>
                <w:szCs w:val="16"/>
                <w:color w:val="auto"/>
              </w:rPr>
            </w:pPr>
          </w:p>
        </w:tc>
        <w:tc>
          <w:tcPr>
            <w:tcW w:w="820" w:type="dxa"/>
            <w:vAlign w:val="bottom"/>
            <w:gridSpan w:val="2"/>
          </w:tcPr>
          <w:p>
            <w:pPr>
              <w:jc w:val="right"/>
              <w:ind w:right="56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1,586</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FFELP Loan ABCP facilities</w:t>
            </w:r>
          </w:p>
        </w:tc>
        <w:tc>
          <w:tcPr>
            <w:tcW w:w="2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26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260" w:type="dxa"/>
            <w:vAlign w:val="bottom"/>
          </w:tcPr>
          <w:p>
            <w:pPr>
              <w:jc w:val="right"/>
              <w:ind w:right="82"/>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1,697</w:t>
            </w:r>
          </w:p>
        </w:tc>
        <w:tc>
          <w:tcPr>
            <w:tcW w:w="3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1,812</w:t>
            </w:r>
          </w:p>
        </w:tc>
        <w:tc>
          <w:tcPr>
            <w:tcW w:w="140" w:type="dxa"/>
            <w:vAlign w:val="bottom"/>
          </w:tcPr>
          <w:p>
            <w:pPr>
              <w:spacing w:after="0"/>
              <w:rPr>
                <w:sz w:val="15"/>
                <w:szCs w:val="15"/>
                <w:color w:val="auto"/>
              </w:rPr>
            </w:pPr>
          </w:p>
        </w:tc>
        <w:tc>
          <w:tcPr>
            <w:tcW w:w="780" w:type="dxa"/>
            <w:vAlign w:val="bottom"/>
            <w:gridSpan w:val="2"/>
          </w:tcPr>
          <w:p>
            <w:pPr>
              <w:jc w:val="right"/>
              <w:ind w:right="548"/>
              <w:spacing w:after="0" w:line="183"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440" w:type="dxa"/>
            <w:vAlign w:val="bottom"/>
            <w:gridSpan w:val="2"/>
          </w:tcPr>
          <w:p>
            <w:pPr>
              <w:jc w:val="right"/>
              <w:spacing w:after="0" w:line="183" w:lineRule="exact"/>
              <w:rPr>
                <w:sz w:val="20"/>
                <w:szCs w:val="20"/>
                <w:color w:val="auto"/>
              </w:rPr>
            </w:pPr>
            <w:r>
              <w:rPr>
                <w:rFonts w:ascii="Arial" w:cs="Arial" w:eastAsia="Arial" w:hAnsi="Arial"/>
                <w:sz w:val="16"/>
                <w:szCs w:val="16"/>
                <w:color w:val="auto"/>
                <w:w w:val="99"/>
              </w:rPr>
              <w:t>1,879</w:t>
            </w:r>
          </w:p>
        </w:tc>
        <w:tc>
          <w:tcPr>
            <w:tcW w:w="80" w:type="dxa"/>
            <w:vAlign w:val="bottom"/>
          </w:tcPr>
          <w:p>
            <w:pPr>
              <w:spacing w:after="0"/>
              <w:rPr>
                <w:sz w:val="15"/>
                <w:szCs w:val="15"/>
                <w:color w:val="auto"/>
              </w:rPr>
            </w:pPr>
          </w:p>
        </w:tc>
        <w:tc>
          <w:tcPr>
            <w:tcW w:w="860" w:type="dxa"/>
            <w:vAlign w:val="bottom"/>
            <w:gridSpan w:val="2"/>
          </w:tcPr>
          <w:p>
            <w:pPr>
              <w:jc w:val="right"/>
              <w:ind w:right="568"/>
              <w:spacing w:after="0" w:line="183" w:lineRule="exact"/>
              <w:rPr>
                <w:sz w:val="20"/>
                <w:szCs w:val="20"/>
                <w:color w:val="auto"/>
              </w:rPr>
            </w:pPr>
            <w:r>
              <w:rPr>
                <w:rFonts w:ascii="Arial" w:cs="Arial" w:eastAsia="Arial" w:hAnsi="Arial"/>
                <w:sz w:val="16"/>
                <w:szCs w:val="16"/>
                <w:color w:val="auto"/>
              </w:rPr>
              <w:t>$</w:t>
            </w:r>
          </w:p>
        </w:tc>
        <w:tc>
          <w:tcPr>
            <w:tcW w:w="440" w:type="dxa"/>
            <w:vAlign w:val="bottom"/>
            <w:gridSpan w:val="4"/>
          </w:tcPr>
          <w:p>
            <w:pPr>
              <w:jc w:val="right"/>
              <w:spacing w:after="0" w:line="183" w:lineRule="exact"/>
              <w:rPr>
                <w:sz w:val="20"/>
                <w:szCs w:val="20"/>
                <w:color w:val="auto"/>
              </w:rPr>
            </w:pPr>
            <w:r>
              <w:rPr>
                <w:rFonts w:ascii="Arial" w:cs="Arial" w:eastAsia="Arial" w:hAnsi="Arial"/>
                <w:sz w:val="16"/>
                <w:szCs w:val="16"/>
                <w:color w:val="auto"/>
                <w:w w:val="99"/>
              </w:rPr>
              <w:t>1,777</w:t>
            </w:r>
          </w:p>
        </w:tc>
        <w:tc>
          <w:tcPr>
            <w:tcW w:w="120" w:type="dxa"/>
            <w:vAlign w:val="bottom"/>
          </w:tcPr>
          <w:p>
            <w:pPr>
              <w:spacing w:after="0"/>
              <w:rPr>
                <w:sz w:val="15"/>
                <w:szCs w:val="15"/>
                <w:color w:val="auto"/>
              </w:rPr>
            </w:pPr>
          </w:p>
        </w:tc>
        <w:tc>
          <w:tcPr>
            <w:tcW w:w="820" w:type="dxa"/>
            <w:vAlign w:val="bottom"/>
            <w:gridSpan w:val="2"/>
          </w:tcPr>
          <w:p>
            <w:pPr>
              <w:jc w:val="right"/>
              <w:ind w:right="568"/>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w w:val="99"/>
              </w:rPr>
              <w:t>1,836</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-1216660</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-1216660</wp:posOffset>
            </wp:positionV>
            <wp:extent cx="596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-1216660</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2844165</wp:posOffset>
            </wp:positionH>
            <wp:positionV relativeFrom="paragraph">
              <wp:posOffset>-153670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-153670</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4610100</wp:posOffset>
            </wp:positionH>
            <wp:positionV relativeFrom="paragraph">
              <wp:posOffset>-153670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-153670</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-153670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6" w:lineRule="exact"/>
        <w:rPr>
          <w:sz w:val="20"/>
          <w:szCs w:val="20"/>
          <w:color w:val="auto"/>
        </w:rPr>
      </w:pPr>
    </w:p>
    <w:p>
      <w:pPr>
        <w:ind w:left="5"/>
        <w:spacing w:after="0" w:line="254" w:lineRule="auto"/>
        <w:rPr>
          <w:sz w:val="20"/>
          <w:szCs w:val="20"/>
          <w:color w:val="auto"/>
        </w:rPr>
      </w:pPr>
      <w:r>
        <w:rPr>
          <w:rFonts w:ascii="Arial" w:cs="Arial" w:eastAsia="Arial" w:hAnsi="Arial"/>
          <w:sz w:val="16"/>
          <w:szCs w:val="16"/>
          <w:color w:val="auto"/>
        </w:rPr>
        <w:t>At September 30, 2026, we had a total of $2.5 billion of unencumbered tangible assets inclusive of those listed in the table above as sources of primary liquidity. Total unencumbered education loans comprised $912 million of our unencumbered tangible assets of which $867 million and $45 million related to Private Education Loans and FFELP Loans, respectively. In addition, as of September 30, 2026, we had $5.0 billion of encumbered net assets (i.e., overcollateralization) in our various financing facilities (consolidated variable interest entities). We enter into repurchase facilities at times to borrow against the encumbered net assets of these financing vehicles. As of September 30, 2026, $0.5 billion of repurchase facility borrowings were outstanding.</w:t>
      </w:r>
    </w:p>
    <w:p>
      <w:pPr>
        <w:spacing w:after="0" w:line="87"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following table reconciles encumbered and unencumbered assets and their net impact on total Tangible Equity.</w:t>
      </w:r>
    </w:p>
    <w:p>
      <w:pPr>
        <w:spacing w:after="0" w:line="131" w:lineRule="exact"/>
        <w:rPr>
          <w:sz w:val="20"/>
          <w:szCs w:val="20"/>
          <w:color w:val="auto"/>
        </w:rPr>
      </w:pPr>
    </w:p>
    <w:tbl>
      <w:tblPr>
        <w:tblLayout w:type="fixed"/>
        <w:tblInd w:w="5"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500" w:type="dxa"/>
            <w:vAlign w:val="bottom"/>
            <w:gridSpan w:val="4"/>
          </w:tcPr>
          <w:p>
            <w:pPr>
              <w:ind w:left="13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billions)</w:t>
            </w:r>
          </w:p>
        </w:tc>
        <w:tc>
          <w:tcPr>
            <w:tcW w:w="3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June 30, 2026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68"/>
        </w:trPr>
        <w:tc>
          <w:tcPr>
            <w:tcW w:w="5000" w:type="dxa"/>
            <w:vAlign w:val="bottom"/>
            <w:gridSpan w:val="2"/>
            <w:shd w:val="clear" w:color="auto" w:fill="CFF0FC"/>
          </w:tcPr>
          <w:p>
            <w:pPr>
              <w:spacing w:after="0" w:line="168" w:lineRule="exact"/>
              <w:rPr>
                <w:sz w:val="20"/>
                <w:szCs w:val="20"/>
                <w:color w:val="auto"/>
              </w:rPr>
            </w:pPr>
            <w:r>
              <w:rPr>
                <w:rFonts w:ascii="Arial" w:cs="Arial" w:eastAsia="Arial" w:hAnsi="Arial"/>
                <w:sz w:val="16"/>
                <w:szCs w:val="16"/>
                <w:color w:val="auto"/>
              </w:rPr>
              <w:t>Net assets of consolidated variable interest entities</w:t>
            </w:r>
          </w:p>
        </w:tc>
        <w:tc>
          <w:tcPr>
            <w:tcW w:w="1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3"/>
        </w:trPr>
        <w:tc>
          <w:tcPr>
            <w:tcW w:w="50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(encumbered assets) — Private Education Loans</w:t>
            </w:r>
          </w:p>
        </w:tc>
        <w:tc>
          <w:tcPr>
            <w:tcW w:w="1560" w:type="dxa"/>
            <w:vAlign w:val="bottom"/>
            <w:gridSpan w:val="2"/>
            <w:shd w:val="clear" w:color="auto" w:fill="CFF0FC"/>
          </w:tcPr>
          <w:p>
            <w:pPr>
              <w:ind w:left="13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7"/>
                <w:szCs w:val="17"/>
                <w:color w:val="auto"/>
              </w:rPr>
            </w:pPr>
          </w:p>
        </w:tc>
      </w:tr>
      <w:tr>
        <w:trPr>
          <w:trHeight w:val="175"/>
        </w:trPr>
        <w:tc>
          <w:tcPr>
            <w:tcW w:w="5000" w:type="dxa"/>
            <w:vAlign w:val="bottom"/>
            <w:gridSpan w:val="2"/>
          </w:tcPr>
          <w:p>
            <w:pPr>
              <w:spacing w:after="0" w:line="175" w:lineRule="exact"/>
              <w:rPr>
                <w:sz w:val="20"/>
                <w:szCs w:val="20"/>
                <w:color w:val="auto"/>
              </w:rPr>
            </w:pPr>
            <w:r>
              <w:rPr>
                <w:rFonts w:ascii="Arial" w:cs="Arial" w:eastAsia="Arial" w:hAnsi="Arial"/>
                <w:sz w:val="16"/>
                <w:szCs w:val="16"/>
                <w:color w:val="auto"/>
              </w:rPr>
              <w:t>Net assets of consolidated variable interest entities</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000" w:type="dxa"/>
            <w:vAlign w:val="bottom"/>
            <w:gridSpan w:val="2"/>
          </w:tcPr>
          <w:p>
            <w:pPr>
              <w:ind w:left="140"/>
              <w:spacing w:after="0"/>
              <w:rPr>
                <w:sz w:val="20"/>
                <w:szCs w:val="20"/>
                <w:color w:val="auto"/>
              </w:rPr>
            </w:pPr>
            <w:r>
              <w:rPr>
                <w:rFonts w:ascii="Arial" w:cs="Arial" w:eastAsia="Arial" w:hAnsi="Arial"/>
                <w:sz w:val="16"/>
                <w:szCs w:val="16"/>
                <w:color w:val="auto"/>
              </w:rPr>
              <w:t>(encumbered assets) — FFELP Loans</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r>
      <w:tr>
        <w:trPr>
          <w:trHeight w:val="203"/>
        </w:trPr>
        <w:tc>
          <w:tcPr>
            <w:tcW w:w="5000" w:type="dxa"/>
            <w:vAlign w:val="bottom"/>
            <w:gridSpan w:val="2"/>
            <w:shd w:val="clear" w:color="auto" w:fill="CFF0FC"/>
          </w:tcPr>
          <w:p>
            <w:pPr>
              <w:spacing w:after="0" w:line="203" w:lineRule="exact"/>
              <w:rPr>
                <w:sz w:val="20"/>
                <w:szCs w:val="20"/>
                <w:color w:val="auto"/>
              </w:rPr>
            </w:pPr>
            <w:r>
              <w:rPr>
                <w:rFonts w:ascii="Arial" w:cs="Arial" w:eastAsia="Arial" w:hAnsi="Arial"/>
                <w:sz w:val="16"/>
                <w:szCs w:val="16"/>
                <w:color w:val="auto"/>
              </w:rPr>
              <w:t>Tangible unencumbered assets</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7"/>
                <w:szCs w:val="17"/>
                <w:color w:val="auto"/>
              </w:rPr>
            </w:pPr>
          </w:p>
        </w:tc>
      </w:tr>
      <w:tr>
        <w:trPr>
          <w:trHeight w:val="189"/>
        </w:trPr>
        <w:tc>
          <w:tcPr>
            <w:tcW w:w="5000" w:type="dxa"/>
            <w:vAlign w:val="bottom"/>
            <w:gridSpan w:val="2"/>
          </w:tcPr>
          <w:p>
            <w:pPr>
              <w:spacing w:after="0"/>
              <w:rPr>
                <w:sz w:val="20"/>
                <w:szCs w:val="20"/>
                <w:color w:val="auto"/>
              </w:rPr>
            </w:pPr>
            <w:r>
              <w:rPr>
                <w:rFonts w:ascii="Arial" w:cs="Arial" w:eastAsia="Arial" w:hAnsi="Arial"/>
                <w:sz w:val="16"/>
                <w:szCs w:val="16"/>
                <w:color w:val="auto"/>
              </w:rPr>
              <w:t>Senior unsecured debt</w:t>
            </w: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r>
      <w:tr>
        <w:trPr>
          <w:trHeight w:val="203"/>
        </w:trPr>
        <w:tc>
          <w:tcPr>
            <w:tcW w:w="5000" w:type="dxa"/>
            <w:vAlign w:val="bottom"/>
            <w:gridSpan w:val="2"/>
            <w:shd w:val="clear" w:color="auto" w:fill="CFF0FC"/>
          </w:tcPr>
          <w:p>
            <w:pPr>
              <w:spacing w:after="0" w:line="203" w:lineRule="exact"/>
              <w:rPr>
                <w:sz w:val="20"/>
                <w:szCs w:val="20"/>
                <w:color w:val="auto"/>
              </w:rPr>
            </w:pPr>
            <w:r>
              <w:rPr>
                <w:rFonts w:ascii="Arial" w:cs="Arial" w:eastAsia="Arial" w:hAnsi="Arial"/>
                <w:sz w:val="16"/>
                <w:szCs w:val="16"/>
                <w:color w:val="auto"/>
              </w:rPr>
              <w:t>Mark-to-market on unsecured hedged debt</w:t>
            </w:r>
            <w:r>
              <w:rPr>
                <w:rFonts w:ascii="Arial" w:cs="Arial" w:eastAsia="Arial" w:hAnsi="Arial"/>
                <w:sz w:val="21"/>
                <w:szCs w:val="21"/>
                <w:color w:val="auto"/>
                <w:vertAlign w:val="superscript"/>
              </w:rPr>
              <w:t>(2)</w:t>
            </w:r>
          </w:p>
        </w:tc>
        <w:tc>
          <w:tcPr>
            <w:tcW w:w="1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5000" w:type="dxa"/>
            <w:vAlign w:val="bottom"/>
            <w:gridSpan w:val="2"/>
          </w:tcPr>
          <w:p>
            <w:pPr>
              <w:spacing w:after="0"/>
              <w:rPr>
                <w:sz w:val="20"/>
                <w:szCs w:val="20"/>
                <w:color w:val="auto"/>
              </w:rPr>
            </w:pPr>
            <w:r>
              <w:rPr>
                <w:rFonts w:ascii="Arial" w:cs="Arial" w:eastAsia="Arial" w:hAnsi="Arial"/>
                <w:sz w:val="16"/>
                <w:szCs w:val="16"/>
                <w:color w:val="auto"/>
              </w:rPr>
              <w:t>Other liabilities, net</w:t>
            </w: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r>
      <w:tr>
        <w:trPr>
          <w:trHeight w:val="20"/>
        </w:trPr>
        <w:tc>
          <w:tcPr>
            <w:tcW w:w="1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000" w:type="dxa"/>
            <w:vAlign w:val="bottom"/>
            <w:gridSpan w:val="2"/>
            <w:shd w:val="clear" w:color="auto" w:fill="CFF0FC"/>
          </w:tcPr>
          <w:p>
            <w:pPr>
              <w:ind w:left="100"/>
              <w:spacing w:after="0" w:line="183" w:lineRule="exact"/>
              <w:rPr>
                <w:sz w:val="20"/>
                <w:szCs w:val="20"/>
                <w:color w:val="auto"/>
              </w:rPr>
            </w:pPr>
            <w:r>
              <w:rPr>
                <w:rFonts w:ascii="Arial" w:cs="Arial" w:eastAsia="Arial" w:hAnsi="Arial"/>
                <w:sz w:val="16"/>
                <w:szCs w:val="16"/>
                <w:color w:val="auto"/>
              </w:rPr>
              <w:t xml:space="preserve">Total Tangible Equity </w:t>
            </w:r>
            <w:r>
              <w:rPr>
                <w:rFonts w:ascii="Arial" w:cs="Arial" w:eastAsia="Arial" w:hAnsi="Arial"/>
                <w:sz w:val="21"/>
                <w:szCs w:val="21"/>
                <w:color w:val="auto"/>
                <w:vertAlign w:val="superscript"/>
              </w:rPr>
              <w:t>(3)</w:t>
            </w:r>
          </w:p>
        </w:tc>
        <w:tc>
          <w:tcPr>
            <w:tcW w:w="1560" w:type="dxa"/>
            <w:vAlign w:val="bottom"/>
            <w:gridSpan w:val="2"/>
            <w:shd w:val="clear" w:color="auto" w:fill="CFF0FC"/>
          </w:tcPr>
          <w:p>
            <w:pPr>
              <w:ind w:left="134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1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7"/>
                <w:szCs w:val="17"/>
                <w:color w:val="auto"/>
              </w:rPr>
            </w:pPr>
          </w:p>
        </w:tc>
      </w:tr>
      <w:tr>
        <w:trPr>
          <w:trHeight w:val="20"/>
        </w:trPr>
        <w:tc>
          <w:tcPr>
            <w:tcW w:w="1300" w:type="dxa"/>
            <w:vAlign w:val="bottom"/>
            <w:tcBorders>
              <w:top w:val="single" w:sz="8" w:color="CFF0FC"/>
            </w:tcBorders>
            <w:shd w:val="clear" w:color="auto" w:fill="CFF0FC"/>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-24765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-7620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-24765</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-7620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111125</wp:posOffset>
            </wp:positionV>
            <wp:extent cx="9855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186" w:lineRule="exact"/>
        <w:rPr>
          <w:sz w:val="20"/>
          <w:szCs w:val="20"/>
          <w:color w:val="auto"/>
        </w:rPr>
      </w:pPr>
    </w:p>
    <w:p>
      <w:pPr>
        <w:ind w:left="365" w:hanging="365"/>
        <w:spacing w:after="0"/>
        <w:tabs>
          <w:tab w:leader="none" w:pos="365"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Excludes goodwill and acquired intangible assets.</w:t>
      </w:r>
    </w:p>
    <w:p>
      <w:pPr>
        <w:spacing w:after="0" w:line="39" w:lineRule="exact"/>
        <w:rPr>
          <w:rFonts w:ascii="Arial" w:cs="Arial" w:eastAsia="Arial" w:hAnsi="Arial"/>
          <w:sz w:val="19"/>
          <w:szCs w:val="19"/>
          <w:color w:val="auto"/>
          <w:vertAlign w:val="superscript"/>
        </w:rPr>
      </w:pPr>
    </w:p>
    <w:p>
      <w:pPr>
        <w:ind w:left="225" w:right="320" w:hanging="225"/>
        <w:spacing w:after="0" w:line="213" w:lineRule="auto"/>
        <w:tabs>
          <w:tab w:leader="none" w:pos="365"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At September 30, 2026, June 30, 2026, and September 30, 2025, there were $(174) million, $(78) million and $(53) million, respectively, of net gains (losses) on derivatives hedging this debt in unencumbered assets, which partially offset these gains (losses).</w:t>
      </w:r>
    </w:p>
    <w:p>
      <w:pPr>
        <w:spacing w:after="0" w:line="1" w:lineRule="exact"/>
        <w:rPr>
          <w:rFonts w:ascii="Arial" w:cs="Arial" w:eastAsia="Arial" w:hAnsi="Arial"/>
          <w:sz w:val="19"/>
          <w:szCs w:val="19"/>
          <w:color w:val="auto"/>
          <w:vertAlign w:val="superscript"/>
        </w:rPr>
      </w:pPr>
    </w:p>
    <w:p>
      <w:pPr>
        <w:ind w:left="205" w:hanging="205"/>
        <w:spacing w:after="0" w:line="237" w:lineRule="auto"/>
        <w:tabs>
          <w:tab w:leader="none" w:pos="205"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Item is a non-GAAP financial measure. For a description and reconciliation, see “Non-GAAP Financial Measures.”</w:t>
      </w:r>
    </w:p>
    <w:p>
      <w:pPr>
        <w:spacing w:after="0" w:line="183" w:lineRule="exact"/>
        <w:rPr>
          <w:sz w:val="20"/>
          <w:szCs w:val="20"/>
          <w:color w:val="auto"/>
        </w:rPr>
      </w:pPr>
    </w:p>
    <w:p>
      <w:pPr>
        <w:ind w:left="9925"/>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479425</wp:posOffset>
            </wp:positionV>
            <wp:extent cx="703770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985" w:right="1099" w:bottom="1440" w:gutter="0" w:footer="0" w:header="0"/>
        </w:sectPr>
      </w:pPr>
    </w:p>
    <w:bookmarkStart w:id="21" w:name="page22"/>
    <w:bookmarkEnd w:id="21"/>
    <w:p>
      <w:pPr>
        <w:ind w:left="1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448310</wp:posOffset>
            </wp:positionH>
            <wp:positionV relativeFrom="page">
              <wp:posOffset>637540</wp:posOffset>
            </wp:positionV>
            <wp:extent cx="6412230" cy="1974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412230" cy="197485"/>
                    </a:xfrm>
                    <a:prstGeom prst="rect">
                      <a:avLst/>
                    </a:prstGeom>
                    <a:noFill/>
                  </pic:spPr>
                </pic:pic>
              </a:graphicData>
            </a:graphic>
          </wp:anchor>
        </w:drawing>
        <w:t>NON-GAAP FINANCIAL MEASURES</w:t>
      </w:r>
    </w:p>
    <w:p>
      <w:pPr>
        <w:spacing w:after="0" w:line="28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addition to financial results reported on a GAAP basis, Navient also provides certain performance measures which are non-GAAP financial measures. We present the following non-GAAP financial measures: (1) Core Earnings, (2) Tangible Equity (as well as the Adjusted Tangible Equity Ratio) and (3) Allowance for Loan Losses Excluding Expected Future Recoveries on Previously Fully Charged-off Loans. Definitions for the non-GAAP financial measures and reconciliations are provided below, except that reconciliations of forward-looking non-GAAP financial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gains/losses resulting from our use of derivative instruments to hedge our economic risks.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Core Earnings</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prepare financial statements and present financial results in accordance with GAAP. However, we also evaluate our business segments and present financial results on a basis that differs from GAAP. We refer to this different basis of presentation as Core Earnings. We provide this Core Earnings basis of presentation on a consolidated basis and for each business segment because this is what we review internally when making management decisions regarding our performance and how we allocate resources. We also refer to this information in our presentations with credit rating agencies, lenders and investors. Because our Core Earnings basis of presentation corresponds to our segment financial presentations, we are required by GAAP to provide certain Core Earnings disclosures in the notes to our consolidated financial statements for our business segments.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Core Earnings are not a substitute for reported results under GAAP. We use Core Earnings to manage our business segments because Core Earnings reflect adjustments to GAAP financial results for two items, discussed below, that can create significant volatility mostly due to timing factors generally beyond the control of management. Accordingly, we believe that Core Earnings provide management with a useful basis from which to better evaluate results from ongoing operations against the business plan or against results from prior periods. Consequently, we disclose this information because we believe it provides investors with additional information regarding the operational and performance indicators that are most closely assessed by management. When compared to GAAP results, the two items we remove to result in our Core Earnings presentations are:</w:t>
      </w:r>
    </w:p>
    <w:p>
      <w:pPr>
        <w:spacing w:after="0" w:line="73" w:lineRule="exact"/>
        <w:rPr>
          <w:sz w:val="20"/>
          <w:szCs w:val="20"/>
          <w:color w:val="auto"/>
        </w:rPr>
      </w:pPr>
    </w:p>
    <w:p>
      <w:pPr>
        <w:ind w:left="1080" w:right="160" w:hanging="567"/>
        <w:spacing w:after="0" w:line="286" w:lineRule="auto"/>
        <w:tabs>
          <w:tab w:leader="none" w:pos="8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Mark-to-market gains/losses resulting from our use of derivative instruments to hedge our economic risks that do not qualify for hedge accounting treatment or do qualify for hedge accounting treatment but result in ineffectiveness; and</w:t>
      </w:r>
    </w:p>
    <w:p>
      <w:pPr>
        <w:spacing w:after="0" w:line="47" w:lineRule="exact"/>
        <w:rPr>
          <w:rFonts w:ascii="Arial" w:cs="Arial" w:eastAsia="Arial" w:hAnsi="Arial"/>
          <w:sz w:val="16"/>
          <w:szCs w:val="16"/>
          <w:color w:val="auto"/>
        </w:rPr>
      </w:pPr>
    </w:p>
    <w:p>
      <w:pPr>
        <w:ind w:left="880" w:hanging="367"/>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accounting for goodwill and acquired intangible assets.</w:t>
      </w:r>
    </w:p>
    <w:p>
      <w:pPr>
        <w:spacing w:after="0" w:line="221"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While GAAP provides a uniform, comprehensive basis of accounting, for the reasons described above, our Core Earnings basis of presentation does not. Core Earnings are subject to certain general and specific limitations that investors should carefully consider. For example, there is no comprehensive, authoritative guidance for management reporting. Our Core Earnings are not defined terms within GAAP and may not be comparable to similarly titled measures reported by other companies. Accordingly, our Core Earnings presentation does not represent a comprehensive basis of accounting. Investors, therefore, may not be able to compare our performance with that of other financial services companies based upon Core Earnings. Core Earnings results are only meant to supplement GAAP results by providing additional information regarding the operational and performance indicators that are most closely used by management, our Board of Directors, credit rating agencies, lenders and investors to assess performance.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469265</wp:posOffset>
            </wp:positionV>
            <wp:extent cx="703770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0"/>
          </w:cols>
          <w:pgMar w:left="700" w:top="1025" w:right="1099" w:bottom="1440" w:gutter="0" w:footer="0" w:header="0"/>
        </w:sectPr>
      </w:pPr>
    </w:p>
    <w:bookmarkStart w:id="22" w:name="page23"/>
    <w:bookmarkEnd w:id="22"/>
    <w:p>
      <w:pPr>
        <w:jc w:val="both"/>
        <w:ind w:left="5" w:right="440"/>
        <w:spacing w:after="0" w:line="266" w:lineRule="auto"/>
        <w:rPr>
          <w:sz w:val="20"/>
          <w:szCs w:val="20"/>
          <w:color w:val="auto"/>
        </w:rPr>
      </w:pPr>
      <w:r>
        <w:rPr>
          <w:rFonts w:ascii="Arial" w:cs="Arial" w:eastAsia="Arial" w:hAnsi="Arial"/>
          <w:sz w:val="16"/>
          <w:szCs w:val="16"/>
          <w:color w:val="auto"/>
        </w:rPr>
        <w:t>The following tables show our consolidated GAAP results, Core Earnings results (including for each reportable segment) along with the adjustments made to the income/expense items to reconcile the consolidated GAAP results to the Core Earnings results as required by GAAP.</w:t>
      </w:r>
    </w:p>
    <w:p>
      <w:pPr>
        <w:spacing w:after="0" w:line="180" w:lineRule="exact"/>
        <w:rPr>
          <w:sz w:val="20"/>
          <w:szCs w:val="20"/>
          <w:color w:val="auto"/>
        </w:rPr>
      </w:pPr>
    </w:p>
    <w:tbl>
      <w:tblPr>
        <w:tblLayout w:type="fixed"/>
        <w:tblInd w:w="5"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220" w:type="dxa"/>
            <w:vAlign w:val="bottom"/>
            <w:tcBorders>
              <w:right w:val="single" w:sz="8" w:color="D9D9D9"/>
            </w:tcBorders>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560" w:type="dxa"/>
            <w:vAlign w:val="bottom"/>
            <w:shd w:val="clear" w:color="auto" w:fill="D9D9D9"/>
          </w:tcPr>
          <w:p>
            <w:pPr>
              <w:spacing w:after="0"/>
              <w:rPr>
                <w:sz w:val="10"/>
                <w:szCs w:val="10"/>
                <w:color w:val="auto"/>
              </w:rPr>
            </w:pPr>
          </w:p>
        </w:tc>
        <w:tc>
          <w:tcPr>
            <w:tcW w:w="22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84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600" w:type="dxa"/>
            <w:vAlign w:val="bottom"/>
            <w:gridSpan w:val="11"/>
            <w:shd w:val="clear" w:color="auto" w:fill="D9D9D9"/>
          </w:tcPr>
          <w:p>
            <w:pPr>
              <w:jc w:val="right"/>
              <w:ind w:right="460"/>
              <w:spacing w:after="0"/>
              <w:rPr>
                <w:sz w:val="20"/>
                <w:szCs w:val="20"/>
                <w:color w:val="auto"/>
              </w:rPr>
            </w:pPr>
            <w:r>
              <w:rPr>
                <w:rFonts w:ascii="Arial" w:cs="Arial" w:eastAsia="Arial" w:hAnsi="Arial"/>
                <w:sz w:val="11"/>
                <w:szCs w:val="11"/>
                <w:b w:val="1"/>
                <w:bCs w:val="1"/>
                <w:color w:val="auto"/>
                <w:w w:val="99"/>
              </w:rPr>
              <w:t>QUARTER ENDED SEPTEMBER 30, 2026</w:t>
            </w:r>
          </w:p>
        </w:tc>
        <w:tc>
          <w:tcPr>
            <w:tcW w:w="120" w:type="dxa"/>
            <w:vAlign w:val="bottom"/>
            <w:tcBorders>
              <w:left w:val="single" w:sz="8" w:color="D9D9D9"/>
            </w:tcBorders>
            <w:shd w:val="clear" w:color="auto" w:fill="D9D9D9"/>
          </w:tcPr>
          <w:p>
            <w:pPr>
              <w:spacing w:after="0"/>
              <w:rPr>
                <w:sz w:val="10"/>
                <w:szCs w:val="10"/>
                <w:color w:val="auto"/>
              </w:rPr>
            </w:pPr>
          </w:p>
        </w:tc>
        <w:tc>
          <w:tcPr>
            <w:tcW w:w="800" w:type="dxa"/>
            <w:vAlign w:val="bottom"/>
            <w:tcBorders>
              <w:right w:val="single" w:sz="8" w:color="D9D9D9"/>
            </w:tcBorders>
            <w:shd w:val="clear" w:color="auto" w:fill="D9D9D9"/>
          </w:tcPr>
          <w:p>
            <w:pPr>
              <w:spacing w:after="0"/>
              <w:rPr>
                <w:sz w:val="10"/>
                <w:szCs w:val="10"/>
                <w:color w:val="auto"/>
              </w:rPr>
            </w:pPr>
          </w:p>
        </w:tc>
        <w:tc>
          <w:tcPr>
            <w:tcW w:w="16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30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00" w:type="dxa"/>
            <w:vAlign w:val="bottom"/>
            <w:tcBorders>
              <w:right w:val="single" w:sz="8" w:color="D9D9D9"/>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Adjustments</w:t>
            </w: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128"/>
              <w:spacing w:after="0"/>
              <w:rPr>
                <w:sz w:val="20"/>
                <w:szCs w:val="20"/>
                <w:color w:val="auto"/>
              </w:rPr>
            </w:pPr>
            <w:r>
              <w:rPr>
                <w:rFonts w:ascii="Arial" w:cs="Arial" w:eastAsia="Arial" w:hAnsi="Arial"/>
                <w:sz w:val="11"/>
                <w:szCs w:val="11"/>
                <w:b w:val="1"/>
                <w:bCs w:val="1"/>
                <w:color w:val="auto"/>
              </w:rPr>
              <w:t>Total</w:t>
            </w:r>
          </w:p>
        </w:tc>
        <w:tc>
          <w:tcPr>
            <w:tcW w:w="180" w:type="dxa"/>
            <w:vAlign w:val="bottom"/>
            <w:tcBorders>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spacing w:after="0" w:line="122" w:lineRule="exact"/>
              <w:rPr>
                <w:sz w:val="20"/>
                <w:szCs w:val="20"/>
                <w:color w:val="auto"/>
              </w:rPr>
            </w:pPr>
            <w:r>
              <w:rPr>
                <w:rFonts w:ascii="Arial" w:cs="Arial" w:eastAsia="Arial" w:hAnsi="Arial"/>
                <w:sz w:val="11"/>
                <w:szCs w:val="11"/>
                <w:b w:val="1"/>
                <w:bCs w:val="1"/>
                <w:color w:val="auto"/>
              </w:rPr>
              <w:t>Reportable Segments</w:t>
            </w: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79"/>
              <w:spacing w:after="0" w:line="102" w:lineRule="exact"/>
              <w:rPr>
                <w:sz w:val="20"/>
                <w:szCs w:val="20"/>
                <w:color w:val="auto"/>
              </w:rPr>
            </w:pPr>
            <w:r>
              <w:rPr>
                <w:rFonts w:ascii="Arial" w:cs="Arial" w:eastAsia="Arial" w:hAnsi="Arial"/>
                <w:sz w:val="11"/>
                <w:szCs w:val="11"/>
                <w:b w:val="1"/>
                <w:bCs w:val="1"/>
                <w:color w:val="auto"/>
                <w:w w:val="96"/>
              </w:rPr>
              <w:t>Federal</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420"/>
              <w:spacing w:after="0" w:line="108" w:lineRule="exact"/>
              <w:rPr>
                <w:sz w:val="20"/>
                <w:szCs w:val="20"/>
                <w:color w:val="auto"/>
              </w:rPr>
            </w:pPr>
            <w:r>
              <w:rPr>
                <w:rFonts w:ascii="Arial" w:cs="Arial" w:eastAsia="Arial" w:hAnsi="Arial"/>
                <w:sz w:val="11"/>
                <w:szCs w:val="11"/>
                <w:b w:val="1"/>
                <w:bCs w:val="1"/>
                <w:color w:val="auto"/>
              </w:rPr>
              <w:t>Total</w:t>
            </w:r>
          </w:p>
        </w:tc>
        <w:tc>
          <w:tcPr>
            <w:tcW w:w="620" w:type="dxa"/>
            <w:vAlign w:val="bottom"/>
            <w:gridSpan w:val="2"/>
          </w:tcPr>
          <w:p>
            <w:pPr>
              <w:ind w:left="60"/>
              <w:spacing w:after="0" w:line="108" w:lineRule="exact"/>
              <w:rPr>
                <w:sz w:val="20"/>
                <w:szCs w:val="20"/>
                <w:color w:val="auto"/>
              </w:rPr>
            </w:pPr>
            <w:r>
              <w:rPr>
                <w:rFonts w:ascii="Arial" w:cs="Arial" w:eastAsia="Arial" w:hAnsi="Arial"/>
                <w:sz w:val="11"/>
                <w:szCs w:val="11"/>
                <w:b w:val="1"/>
                <w:bCs w:val="1"/>
                <w:color w:val="auto"/>
              </w:rPr>
              <w:t>Reclassi-</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2"/>
          </w:tcPr>
          <w:p>
            <w:pPr>
              <w:jc w:val="right"/>
              <w:ind w:right="340"/>
              <w:spacing w:after="0" w:line="108" w:lineRule="exact"/>
              <w:rPr>
                <w:sz w:val="20"/>
                <w:szCs w:val="20"/>
                <w:color w:val="auto"/>
              </w:rPr>
            </w:pPr>
            <w:r>
              <w:rPr>
                <w:rFonts w:ascii="Arial" w:cs="Arial" w:eastAsia="Arial" w:hAnsi="Arial"/>
                <w:sz w:val="11"/>
                <w:szCs w:val="11"/>
                <w:b w:val="1"/>
                <w:bCs w:val="1"/>
                <w:color w:val="auto"/>
              </w:rPr>
              <w:t>Additions/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right"/>
              <w:ind w:right="440"/>
              <w:spacing w:after="0" w:line="108"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48"/>
              <w:spacing w:after="0" w:line="108" w:lineRule="exact"/>
              <w:rPr>
                <w:sz w:val="20"/>
                <w:szCs w:val="20"/>
                <w:color w:val="auto"/>
              </w:rPr>
            </w:pPr>
            <w:r>
              <w:rPr>
                <w:rFonts w:ascii="Arial" w:cs="Arial" w:eastAsia="Arial" w:hAnsi="Arial"/>
                <w:sz w:val="11"/>
                <w:szCs w:val="11"/>
                <w:b w:val="1"/>
                <w:bCs w:val="1"/>
                <w:color w:val="auto"/>
              </w:rPr>
              <w:t>Core</w:t>
            </w:r>
          </w:p>
        </w:tc>
        <w:tc>
          <w:tcPr>
            <w:tcW w:w="180" w:type="dxa"/>
            <w:vAlign w:val="bottom"/>
            <w:tcBorders>
              <w:right w:val="single" w:sz="8" w:color="auto"/>
            </w:tcBorders>
          </w:tcPr>
          <w:p>
            <w:pPr>
              <w:spacing w:after="0"/>
              <w:rPr>
                <w:sz w:val="9"/>
                <w:szCs w:val="9"/>
                <w:color w:val="auto"/>
              </w:rPr>
            </w:pPr>
          </w:p>
        </w:tc>
        <w:tc>
          <w:tcPr>
            <w:tcW w:w="840" w:type="dxa"/>
            <w:vAlign w:val="bottom"/>
            <w:gridSpan w:val="4"/>
          </w:tcPr>
          <w:p>
            <w:pPr>
              <w:jc w:val="right"/>
              <w:ind w:right="240"/>
              <w:spacing w:after="0" w:line="108" w:lineRule="exact"/>
              <w:rPr>
                <w:sz w:val="20"/>
                <w:szCs w:val="20"/>
                <w:color w:val="auto"/>
              </w:rPr>
            </w:pPr>
            <w:r>
              <w:rPr>
                <w:rFonts w:ascii="Arial" w:cs="Arial" w:eastAsia="Arial" w:hAnsi="Arial"/>
                <w:sz w:val="11"/>
                <w:szCs w:val="11"/>
                <w:b w:val="1"/>
                <w:bCs w:val="1"/>
                <w:color w:val="auto"/>
              </w:rPr>
              <w:t>Consumer</w:t>
            </w:r>
          </w:p>
        </w:tc>
        <w:tc>
          <w:tcPr>
            <w:tcW w:w="120" w:type="dxa"/>
            <w:vAlign w:val="bottom"/>
          </w:tcPr>
          <w:p>
            <w:pPr>
              <w:spacing w:after="0"/>
              <w:rPr>
                <w:sz w:val="9"/>
                <w:szCs w:val="9"/>
                <w:color w:val="auto"/>
              </w:rPr>
            </w:pPr>
          </w:p>
        </w:tc>
        <w:tc>
          <w:tcPr>
            <w:tcW w:w="800" w:type="dxa"/>
            <w:vAlign w:val="bottom"/>
          </w:tcPr>
          <w:p>
            <w:pPr>
              <w:jc w:val="center"/>
              <w:ind w:right="99"/>
              <w:spacing w:after="0" w:line="108" w:lineRule="exact"/>
              <w:rPr>
                <w:sz w:val="20"/>
                <w:szCs w:val="20"/>
                <w:color w:val="auto"/>
              </w:rPr>
            </w:pPr>
            <w:r>
              <w:rPr>
                <w:rFonts w:ascii="Arial" w:cs="Arial" w:eastAsia="Arial" w:hAnsi="Arial"/>
                <w:sz w:val="11"/>
                <w:szCs w:val="11"/>
                <w:b w:val="1"/>
                <w:bCs w:val="1"/>
                <w:color w:val="auto"/>
                <w:w w:val="97"/>
              </w:rPr>
              <w:t>Education</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rPr>
              <w:t>Business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20" w:type="dxa"/>
            <w:vAlign w:val="bottom"/>
            <w:gridSpan w:val="6"/>
          </w:tcPr>
          <w:p>
            <w:pPr>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GAAP</w:t>
            </w:r>
          </w:p>
        </w:tc>
        <w:tc>
          <w:tcPr>
            <w:tcW w:w="60" w:type="dxa"/>
            <w:vAlign w:val="bottom"/>
          </w:tcPr>
          <w:p>
            <w:pPr>
              <w:spacing w:after="0"/>
              <w:rPr>
                <w:sz w:val="12"/>
                <w:szCs w:val="12"/>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fications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6"/>
              </w:rPr>
              <w:t>(Subtractions)</w:t>
            </w:r>
          </w:p>
        </w:tc>
        <w:tc>
          <w:tcPr>
            <w:tcW w:w="8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1"/>
                <w:szCs w:val="11"/>
                <w:b w:val="1"/>
                <w:bCs w:val="1"/>
                <w:color w:val="auto"/>
                <w:w w:val="98"/>
              </w:rPr>
              <w:t xml:space="preserve">Adjustments </w:t>
            </w:r>
            <w:r>
              <w:rPr>
                <w:rFonts w:ascii="Arial" w:cs="Arial" w:eastAsia="Arial" w:hAnsi="Arial"/>
                <w:sz w:val="14"/>
                <w:szCs w:val="14"/>
                <w:b w:val="1"/>
                <w:bCs w:val="1"/>
                <w:color w:val="auto"/>
                <w:w w:val="98"/>
                <w:vertAlign w:val="superscript"/>
              </w:rPr>
              <w:t>(1)</w:t>
            </w:r>
          </w:p>
        </w:tc>
        <w:tc>
          <w:tcPr>
            <w:tcW w:w="100" w:type="dxa"/>
            <w:vAlign w:val="bottom"/>
          </w:tcPr>
          <w:p>
            <w:pPr>
              <w:spacing w:after="0"/>
              <w:rPr>
                <w:sz w:val="12"/>
                <w:szCs w:val="12"/>
                <w:color w:val="auto"/>
              </w:rPr>
            </w:pPr>
          </w:p>
        </w:tc>
        <w:tc>
          <w:tcPr>
            <w:tcW w:w="600" w:type="dxa"/>
            <w:vAlign w:val="bottom"/>
            <w:gridSpan w:val="3"/>
          </w:tcPr>
          <w:p>
            <w:pPr>
              <w:jc w:val="right"/>
              <w:ind w:right="28"/>
              <w:spacing w:after="0"/>
              <w:rPr>
                <w:sz w:val="20"/>
                <w:szCs w:val="20"/>
                <w:color w:val="auto"/>
              </w:rPr>
            </w:pPr>
            <w:r>
              <w:rPr>
                <w:rFonts w:ascii="Arial" w:cs="Arial" w:eastAsia="Arial" w:hAnsi="Arial"/>
                <w:sz w:val="11"/>
                <w:szCs w:val="11"/>
                <w:b w:val="1"/>
                <w:bCs w:val="1"/>
                <w:color w:val="auto"/>
              </w:rPr>
              <w:t>Earnings</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w w:val="98"/>
              </w:rPr>
              <w:t>Lending</w:t>
            </w:r>
          </w:p>
        </w:tc>
        <w:tc>
          <w:tcPr>
            <w:tcW w:w="120" w:type="dxa"/>
            <w:vAlign w:val="bottom"/>
          </w:tcPr>
          <w:p>
            <w:pPr>
              <w:spacing w:after="0"/>
              <w:rPr>
                <w:sz w:val="12"/>
                <w:szCs w:val="12"/>
                <w:color w:val="auto"/>
              </w:rPr>
            </w:pPr>
          </w:p>
        </w:tc>
        <w:tc>
          <w:tcPr>
            <w:tcW w:w="800" w:type="dxa"/>
            <w:vAlign w:val="bottom"/>
          </w:tcPr>
          <w:p>
            <w:pPr>
              <w:jc w:val="center"/>
              <w:ind w:right="59"/>
              <w:spacing w:after="0"/>
              <w:rPr>
                <w:sz w:val="20"/>
                <w:szCs w:val="20"/>
                <w:color w:val="auto"/>
              </w:rPr>
            </w:pPr>
            <w:r>
              <w:rPr>
                <w:rFonts w:ascii="Arial" w:cs="Arial" w:eastAsia="Arial" w:hAnsi="Arial"/>
                <w:sz w:val="11"/>
                <w:szCs w:val="11"/>
                <w:b w:val="1"/>
                <w:bCs w:val="1"/>
                <w:color w:val="auto"/>
                <w:w w:val="98"/>
              </w:rPr>
              <w:t>Loans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Processing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81"/>
              </w:rPr>
              <w:t>Other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top w:val="single" w:sz="8" w:color="auto"/>
              <w:right w:val="single" w:sz="8" w:color="CFF0FC"/>
            </w:tcBorders>
          </w:tcPr>
          <w:p>
            <w:pPr>
              <w:spacing w:after="0"/>
              <w:rPr>
                <w:sz w:val="11"/>
                <w:szCs w:val="11"/>
                <w:color w:val="auto"/>
              </w:rPr>
            </w:pPr>
          </w:p>
        </w:tc>
        <w:tc>
          <w:tcPr>
            <w:tcW w:w="9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w w:val="95"/>
              </w:rPr>
              <w:t>Interest income:</w:t>
            </w:r>
          </w:p>
        </w:tc>
        <w:tc>
          <w:tcPr>
            <w:tcW w:w="740" w:type="dxa"/>
            <w:vAlign w:val="bottom"/>
            <w:gridSpan w:val="3"/>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tcBorders>
              <w:top w:val="single" w:sz="8" w:color="auto"/>
              <w:left w:val="single" w:sz="8" w:color="CFF0FC"/>
            </w:tcBorders>
            <w:shd w:val="clear" w:color="auto" w:fill="CFF0FC"/>
          </w:tcPr>
          <w:p>
            <w:pPr>
              <w:spacing w:after="0"/>
              <w:rPr>
                <w:sz w:val="11"/>
                <w:szCs w:val="11"/>
                <w:color w:val="auto"/>
              </w:rPr>
            </w:pPr>
          </w:p>
        </w:tc>
        <w:tc>
          <w:tcPr>
            <w:tcW w:w="800" w:type="dxa"/>
            <w:vAlign w:val="bottom"/>
            <w:tcBorders>
              <w:top w:val="single" w:sz="8" w:color="auto"/>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right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Education loans</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651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270</w:t>
            </w:r>
          </w:p>
        </w:tc>
        <w:tc>
          <w:tcPr>
            <w:tcW w:w="14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381</w:t>
            </w:r>
          </w:p>
        </w:tc>
        <w:tc>
          <w:tcPr>
            <w:tcW w:w="500" w:type="dxa"/>
            <w:vAlign w:val="bottom"/>
            <w:gridSpan w:val="3"/>
          </w:tcPr>
          <w:p>
            <w:pPr>
              <w:jc w:val="right"/>
              <w:ind w:right="226"/>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ind w:left="220"/>
              <w:spacing w:after="0" w:line="135" w:lineRule="exact"/>
              <w:rPr>
                <w:sz w:val="20"/>
                <w:szCs w:val="20"/>
                <w:color w:val="auto"/>
              </w:rPr>
            </w:pPr>
            <w:r>
              <w:rPr>
                <w:rFonts w:ascii="Arial" w:cs="Arial" w:eastAsia="Arial" w:hAnsi="Arial"/>
                <w:sz w:val="13"/>
                <w:szCs w:val="13"/>
                <w:color w:val="auto"/>
                <w:w w:val="91"/>
              </w:rPr>
              <w:t>—</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Personal Loans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w:t>
            </w: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50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Cash and investments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interest income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669</w:t>
            </w: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276</w:t>
            </w:r>
          </w:p>
        </w:tc>
        <w:tc>
          <w:tcPr>
            <w:tcW w:w="1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389</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ind w:left="22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Total interest expense</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554</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rPr>
              <w:t>189</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342</w:t>
            </w: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Borders>
              <w:right w:val="single" w:sz="8" w:color="CFF0FC"/>
            </w:tcBorders>
          </w:tcPr>
          <w:p>
            <w:pPr>
              <w:spacing w:after="0"/>
              <w:rPr>
                <w:sz w:val="9"/>
                <w:szCs w:val="9"/>
                <w:color w:val="auto"/>
              </w:rPr>
            </w:pPr>
          </w:p>
        </w:tc>
        <w:tc>
          <w:tcPr>
            <w:tcW w:w="164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Net interest income</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(loss)</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22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w:t>
            </w:r>
          </w:p>
        </w:tc>
        <w:tc>
          <w:tcPr>
            <w:tcW w:w="200" w:type="dxa"/>
            <w:vAlign w:val="bottom"/>
            <w:gridSpan w:val="2"/>
            <w:shd w:val="clear" w:color="auto" w:fill="CFF0FC"/>
          </w:tcPr>
          <w:p>
            <w:pPr>
              <w:jc w:val="right"/>
              <w:ind w:right="7"/>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111</w:t>
            </w:r>
          </w:p>
        </w:tc>
        <w:tc>
          <w:tcPr>
            <w:tcW w:w="18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87</w:t>
            </w:r>
          </w:p>
        </w:tc>
        <w:tc>
          <w:tcPr>
            <w:tcW w:w="14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Less: provisions for loan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227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227</w:t>
            </w: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214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vMerge w:val="restart"/>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spacing w:after="0" w:line="139" w:lineRule="exact"/>
              <w:rPr>
                <w:sz w:val="20"/>
                <w:szCs w:val="20"/>
                <w:color w:val="auto"/>
              </w:rPr>
            </w:pPr>
            <w:r>
              <w:rPr>
                <w:rFonts w:ascii="Arial" w:cs="Arial" w:eastAsia="Arial" w:hAnsi="Arial"/>
                <w:sz w:val="13"/>
                <w:szCs w:val="13"/>
                <w:color w:val="auto"/>
              </w:rPr>
              <w:t>losses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Borders>
              <w:right w:val="single" w:sz="8" w:color="CFF0FC"/>
            </w:tcBorders>
          </w:tcPr>
          <w:p>
            <w:pPr>
              <w:spacing w:after="0"/>
              <w:rPr>
                <w:sz w:val="9"/>
                <w:szCs w:val="9"/>
                <w:color w:val="auto"/>
              </w:rPr>
            </w:pPr>
          </w:p>
        </w:tc>
        <w:tc>
          <w:tcPr>
            <w:tcW w:w="164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Net interest income</w:t>
            </w: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80" w:type="dxa"/>
            <w:vAlign w:val="bottom"/>
            <w:tcBorders>
              <w:right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80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right w:val="single" w:sz="8" w:color="CFF0FC"/>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(loss) after provisions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for loan losses</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(112)</w:t>
            </w: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(127)</w:t>
            </w:r>
          </w:p>
        </w:tc>
        <w:tc>
          <w:tcPr>
            <w:tcW w:w="12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Other income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Servicing revenue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w:t>
            </w: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8</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50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Asset recovery and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business processing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ind w:left="100"/>
              <w:spacing w:after="0"/>
              <w:rPr>
                <w:sz w:val="20"/>
                <w:szCs w:val="20"/>
                <w:color w:val="auto"/>
              </w:rPr>
            </w:pPr>
            <w:r>
              <w:rPr>
                <w:rFonts w:ascii="Arial" w:cs="Arial" w:eastAsia="Arial" w:hAnsi="Arial"/>
                <w:sz w:val="13"/>
                <w:szCs w:val="13"/>
                <w:color w:val="auto"/>
              </w:rPr>
              <w:t>revenue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revenue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w:t>
            </w: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Gains on sales of loans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162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Net fair value changes of</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640" w:type="dxa"/>
            <w:vAlign w:val="bottom"/>
            <w:tcBorders>
              <w:bottom w:val="single" w:sz="8" w:color="CFF0FC"/>
            </w:tcBorders>
            <w:gridSpan w:val="5"/>
            <w:shd w:val="clear" w:color="auto" w:fill="CFF0FC"/>
          </w:tcPr>
          <w:p>
            <w:pPr>
              <w:spacing w:after="0" w:line="139" w:lineRule="exact"/>
              <w:rPr>
                <w:sz w:val="20"/>
                <w:szCs w:val="20"/>
                <w:color w:val="auto"/>
              </w:rPr>
            </w:pPr>
            <w:r>
              <w:rPr>
                <w:rFonts w:ascii="Arial" w:cs="Arial" w:eastAsia="Arial" w:hAnsi="Arial"/>
                <w:sz w:val="13"/>
                <w:szCs w:val="13"/>
                <w:color w:val="auto"/>
              </w:rPr>
              <w:t>loans</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gridSpan w:val="2"/>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left w:val="single" w:sz="8" w:color="CFF0FC"/>
              <w:bottom w:val="single" w:sz="8" w:color="auto"/>
            </w:tcBorders>
            <w:shd w:val="clear" w:color="auto" w:fill="CFF0FC"/>
          </w:tcPr>
          <w:p>
            <w:pPr>
              <w:spacing w:after="0"/>
              <w:rPr>
                <w:sz w:val="12"/>
                <w:szCs w:val="12"/>
                <w:color w:val="auto"/>
              </w:rPr>
            </w:pPr>
          </w:p>
        </w:tc>
        <w:tc>
          <w:tcPr>
            <w:tcW w:w="80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right w:val="single" w:sz="8" w:color="CFF0FC"/>
            </w:tcBorders>
            <w:shd w:val="clear" w:color="auto" w:fill="CFF0FC"/>
          </w:tcPr>
          <w:p>
            <w:pPr>
              <w:spacing w:after="0"/>
              <w:rPr>
                <w:sz w:val="12"/>
                <w:szCs w:val="12"/>
                <w:color w:val="auto"/>
              </w:rPr>
            </w:pPr>
          </w:p>
        </w:tc>
        <w:tc>
          <w:tcPr>
            <w:tcW w:w="4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29" w:lineRule="exact"/>
              <w:rPr>
                <w:sz w:val="20"/>
                <w:szCs w:val="20"/>
                <w:color w:val="auto"/>
              </w:rPr>
            </w:pPr>
            <w:r>
              <w:rPr>
                <w:rFonts w:ascii="Arial" w:cs="Arial" w:eastAsia="Arial" w:hAnsi="Arial"/>
                <w:sz w:val="13"/>
                <w:szCs w:val="13"/>
                <w:color w:val="auto"/>
              </w:rPr>
              <w:t>Total other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202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ind w:left="42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197</w:t>
            </w: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187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22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Expenses: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Direct operating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ind w:left="100"/>
              <w:spacing w:after="0"/>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Unallocated shared</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640" w:type="dxa"/>
            <w:vAlign w:val="bottom"/>
            <w:tcBorders>
              <w:bottom w:val="single" w:sz="8" w:color="CFF0FC"/>
            </w:tcBorders>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services expenses</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gridSpan w:val="2"/>
            <w:vMerge w:val="continue"/>
            <w:shd w:val="clear" w:color="auto" w:fill="CFF0FC"/>
          </w:tcPr>
          <w:p>
            <w:pPr>
              <w:spacing w:after="0"/>
              <w:rPr>
                <w:sz w:val="12"/>
                <w:szCs w:val="12"/>
                <w:color w:val="auto"/>
              </w:rPr>
            </w:pPr>
          </w:p>
        </w:tc>
        <w:tc>
          <w:tcPr>
            <w:tcW w:w="14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left w:val="single" w:sz="8" w:color="CFF0FC"/>
              <w:bottom w:val="single" w:sz="8" w:color="auto"/>
            </w:tcBorders>
            <w:shd w:val="clear" w:color="auto" w:fill="CFF0FC"/>
          </w:tcPr>
          <w:p>
            <w:pPr>
              <w:spacing w:after="0"/>
              <w:rPr>
                <w:sz w:val="12"/>
                <w:szCs w:val="12"/>
                <w:color w:val="auto"/>
              </w:rPr>
            </w:pPr>
          </w:p>
        </w:tc>
        <w:tc>
          <w:tcPr>
            <w:tcW w:w="80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right w:val="single" w:sz="8" w:color="CFF0FC"/>
            </w:tcBorders>
            <w:shd w:val="clear" w:color="auto" w:fill="CFF0FC"/>
          </w:tcPr>
          <w:p>
            <w:pPr>
              <w:spacing w:after="0"/>
              <w:rPr>
                <w:sz w:val="12"/>
                <w:szCs w:val="12"/>
                <w:color w:val="auto"/>
              </w:rPr>
            </w:pPr>
          </w:p>
        </w:tc>
        <w:tc>
          <w:tcPr>
            <w:tcW w:w="4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29" w:lineRule="exact"/>
              <w:rPr>
                <w:sz w:val="20"/>
                <w:szCs w:val="20"/>
                <w:color w:val="auto"/>
              </w:rPr>
            </w:pPr>
            <w:r>
              <w:rPr>
                <w:rFonts w:ascii="Arial" w:cs="Arial" w:eastAsia="Arial" w:hAnsi="Arial"/>
                <w:sz w:val="13"/>
                <w:szCs w:val="13"/>
                <w:color w:val="auto"/>
              </w:rPr>
              <w:t>Operating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75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ind w:left="42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75</w:t>
            </w: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57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22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Goodwill and acquired</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intangible asset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impairment and</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amortization</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Restructuring/other</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reorganization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2</w:t>
            </w: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vMerge w:val="restart"/>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ind w:left="100"/>
              <w:spacing w:after="0" w:line="139"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expenses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77</w:t>
            </w:r>
          </w:p>
        </w:tc>
        <w:tc>
          <w:tcPr>
            <w:tcW w:w="2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ind w:left="420"/>
              <w:spacing w:after="0" w:line="129" w:lineRule="exact"/>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77</w:t>
            </w: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57</w:t>
            </w:r>
          </w:p>
        </w:tc>
        <w:tc>
          <w:tcPr>
            <w:tcW w:w="1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13</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ind w:left="22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4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Income (loss) before</w:t>
            </w: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income tax expense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color w:val="auto"/>
              </w:rPr>
              <w:t>(benefit)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right w:val="single" w:sz="8" w:color="CFF0FC"/>
            </w:tcBorders>
          </w:tcPr>
          <w:p>
            <w:pPr>
              <w:spacing w:after="0"/>
              <w:rPr>
                <w:sz w:val="9"/>
                <w:szCs w:val="9"/>
                <w:color w:val="auto"/>
              </w:rPr>
            </w:pPr>
          </w:p>
        </w:tc>
        <w:tc>
          <w:tcPr>
            <w:tcW w:w="1640" w:type="dxa"/>
            <w:vAlign w:val="bottom"/>
            <w:gridSpan w:val="5"/>
            <w:shd w:val="clear" w:color="auto" w:fill="CFF0FC"/>
          </w:tcPr>
          <w:p>
            <w:pPr>
              <w:spacing w:after="0" w:line="108" w:lineRule="exact"/>
              <w:rPr>
                <w:sz w:val="20"/>
                <w:szCs w:val="20"/>
                <w:color w:val="auto"/>
              </w:rPr>
            </w:pPr>
            <w:r>
              <w:rPr>
                <w:rFonts w:ascii="Arial" w:cs="Arial" w:eastAsia="Arial" w:hAnsi="Arial"/>
                <w:sz w:val="12"/>
                <w:szCs w:val="12"/>
                <w:color w:val="auto"/>
              </w:rPr>
              <w:t>Income tax expense</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(2)</w:t>
            </w:r>
          </w:p>
        </w:tc>
        <w:tc>
          <w:tcPr>
            <w:tcW w:w="6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vMerge w:val="restart"/>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5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640" w:type="dxa"/>
            <w:vAlign w:val="bottom"/>
            <w:gridSpan w:val="5"/>
            <w:shd w:val="clear" w:color="auto" w:fill="CFF0FC"/>
          </w:tcPr>
          <w:p>
            <w:pPr>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gridSpan w:val="2"/>
            <w:vMerge w:val="continue"/>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800" w:type="dxa"/>
            <w:vAlign w:val="bottom"/>
            <w:tcBorders>
              <w:right w:val="single" w:sz="8" w:color="CFF0FC"/>
            </w:tcBorders>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5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right w:val="single" w:sz="8" w:color="CFF0FC"/>
            </w:tcBorders>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720" w:type="dxa"/>
            <w:vAlign w:val="bottom"/>
            <w:gridSpan w:val="6"/>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15</w:t>
            </w: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ind w:left="420"/>
              <w:spacing w:after="0" w:line="115"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3</w:t>
            </w:r>
          </w:p>
        </w:tc>
        <w:tc>
          <w:tcPr>
            <w:tcW w:w="180" w:type="dxa"/>
            <w:vAlign w:val="bottom"/>
            <w:tcBorders>
              <w:right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jc w:val="right"/>
              <w:ind w:right="20"/>
              <w:spacing w:after="0" w:line="11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22</w:t>
            </w:r>
          </w:p>
        </w:tc>
        <w:tc>
          <w:tcPr>
            <w:tcW w:w="160" w:type="dxa"/>
            <w:vAlign w:val="bottom"/>
          </w:tcPr>
          <w:p>
            <w:pPr>
              <w:spacing w:after="0"/>
              <w:rPr>
                <w:sz w:val="11"/>
                <w:szCs w:val="11"/>
                <w:color w:val="auto"/>
              </w:rPr>
            </w:pPr>
          </w:p>
        </w:tc>
        <w:tc>
          <w:tcPr>
            <w:tcW w:w="340" w:type="dxa"/>
            <w:vAlign w:val="bottom"/>
            <w:tcBorders>
              <w:bottom w:val="single" w:sz="8" w:color="auto"/>
            </w:tcBorders>
            <w:gridSpan w:val="2"/>
          </w:tcPr>
          <w:p>
            <w:pPr>
              <w:jc w:val="right"/>
              <w:ind w:right="226"/>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ind w:left="220"/>
              <w:spacing w:after="0" w:line="11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00" w:type="dxa"/>
            <w:vAlign w:val="bottom"/>
            <w:gridSpan w:val="2"/>
          </w:tcPr>
          <w:p>
            <w:pPr>
              <w:spacing w:after="0"/>
              <w:rPr>
                <w:sz w:val="20"/>
                <w:szCs w:val="20"/>
                <w:color w:val="auto"/>
              </w:rPr>
            </w:pPr>
            <w:r>
              <w:rPr>
                <w:rFonts w:ascii="Arial" w:cs="Arial" w:eastAsia="Arial" w:hAnsi="Arial"/>
                <w:sz w:val="6"/>
                <w:szCs w:val="6"/>
                <w:color w:val="auto"/>
                <w:w w:val="81"/>
              </w:rPr>
              <w:t>(1)</w:t>
            </w:r>
          </w:p>
        </w:tc>
        <w:tc>
          <w:tcPr>
            <w:tcW w:w="2680" w:type="dxa"/>
            <w:vAlign w:val="bottom"/>
            <w:gridSpan w:val="9"/>
            <w:vMerge w:val="restart"/>
          </w:tcPr>
          <w:p>
            <w:pPr>
              <w:ind w:left="260"/>
              <w:spacing w:after="0"/>
              <w:rPr>
                <w:sz w:val="20"/>
                <w:szCs w:val="20"/>
                <w:color w:val="auto"/>
              </w:rPr>
            </w:pPr>
            <w:r>
              <w:rPr>
                <w:rFonts w:ascii="Arial" w:cs="Arial" w:eastAsia="Arial" w:hAnsi="Arial"/>
                <w:sz w:val="14"/>
                <w:szCs w:val="14"/>
                <w:color w:val="auto"/>
              </w:rPr>
              <w:t>Core Earnings adjustments to GAAP:</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gridSpan w:val="9"/>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gridSpan w:val="6"/>
          </w:tcPr>
          <w:p>
            <w:pPr>
              <w:spacing w:after="0"/>
              <w:rPr>
                <w:sz w:val="19"/>
                <w:szCs w:val="19"/>
                <w:color w:val="auto"/>
              </w:rPr>
            </w:pPr>
          </w:p>
        </w:tc>
        <w:tc>
          <w:tcPr>
            <w:tcW w:w="6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80" w:type="dxa"/>
            <w:vAlign w:val="bottom"/>
            <w:tcBorders>
              <w:right w:val="single" w:sz="8" w:color="D9D9D9"/>
            </w:tcBorders>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2520" w:type="dxa"/>
            <w:vAlign w:val="bottom"/>
            <w:gridSpan w:val="9"/>
            <w:shd w:val="clear" w:color="auto" w:fill="D9D9D9"/>
          </w:tcPr>
          <w:p>
            <w:pPr>
              <w:jc w:val="center"/>
              <w:ind w:right="77"/>
              <w:spacing w:after="0" w:line="122" w:lineRule="exact"/>
              <w:rPr>
                <w:sz w:val="20"/>
                <w:szCs w:val="20"/>
                <w:color w:val="auto"/>
              </w:rPr>
            </w:pPr>
            <w:r>
              <w:rPr>
                <w:rFonts w:ascii="Arial" w:cs="Arial" w:eastAsia="Arial" w:hAnsi="Arial"/>
                <w:sz w:val="11"/>
                <w:szCs w:val="11"/>
                <w:b w:val="1"/>
                <w:bCs w:val="1"/>
                <w:color w:val="auto"/>
                <w:w w:val="98"/>
              </w:rPr>
              <w:t>QUARTER ENDED SEPTEMBER 30, 2026</w:t>
            </w:r>
          </w:p>
        </w:tc>
        <w:tc>
          <w:tcPr>
            <w:tcW w:w="1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00" w:type="dxa"/>
            <w:vAlign w:val="bottom"/>
            <w:tcBorders>
              <w:right w:val="single" w:sz="8" w:color="D9D9D9"/>
            </w:tcBorders>
            <w:shd w:val="clear" w:color="auto" w:fill="D9D9D9"/>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center"/>
              <w:ind w:right="59"/>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5"/>
          </w:tcPr>
          <w:p>
            <w:pPr>
              <w:jc w:val="center"/>
              <w:ind w:right="340"/>
              <w:spacing w:after="0" w:line="122" w:lineRule="exact"/>
              <w:rPr>
                <w:sz w:val="20"/>
                <w:szCs w:val="20"/>
                <w:color w:val="auto"/>
              </w:rPr>
            </w:pPr>
            <w:r>
              <w:rPr>
                <w:rFonts w:ascii="Arial" w:cs="Arial" w:eastAsia="Arial" w:hAnsi="Arial"/>
                <w:sz w:val="11"/>
                <w:szCs w:val="11"/>
                <w:b w:val="1"/>
                <w:bCs w:val="1"/>
                <w:color w:val="auto"/>
                <w:w w:val="97"/>
              </w:rPr>
              <w:t>Net Impact of</w:t>
            </w:r>
          </w:p>
        </w:tc>
        <w:tc>
          <w:tcPr>
            <w:tcW w:w="120" w:type="dxa"/>
            <w:vAlign w:val="bottom"/>
          </w:tcPr>
          <w:p>
            <w:pPr>
              <w:spacing w:after="0"/>
              <w:rPr>
                <w:sz w:val="10"/>
                <w:szCs w:val="10"/>
                <w:color w:val="auto"/>
              </w:rPr>
            </w:pPr>
          </w:p>
        </w:tc>
        <w:tc>
          <w:tcPr>
            <w:tcW w:w="8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5"/>
          </w:tcPr>
          <w:p>
            <w:pPr>
              <w:jc w:val="center"/>
              <w:ind w:right="340"/>
              <w:spacing w:after="0" w:line="122"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8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rPr>
              <w:t>Acquired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5"/>
          </w:tcPr>
          <w:p>
            <w:pPr>
              <w:jc w:val="center"/>
              <w:ind w:right="340"/>
              <w:spacing w:after="0"/>
              <w:rPr>
                <w:sz w:val="20"/>
                <w:szCs w:val="20"/>
                <w:color w:val="auto"/>
              </w:rPr>
            </w:pPr>
            <w:r>
              <w:rPr>
                <w:rFonts w:ascii="Arial" w:cs="Arial" w:eastAsia="Arial" w:hAnsi="Arial"/>
                <w:sz w:val="11"/>
                <w:szCs w:val="11"/>
                <w:b w:val="1"/>
                <w:bCs w:val="1"/>
                <w:color w:val="auto"/>
                <w:w w:val="99"/>
              </w:rPr>
              <w:t>Accounting</w:t>
            </w:r>
          </w:p>
        </w:tc>
        <w:tc>
          <w:tcPr>
            <w:tcW w:w="120" w:type="dxa"/>
            <w:vAlign w:val="bottom"/>
          </w:tcPr>
          <w:p>
            <w:pPr>
              <w:spacing w:after="0"/>
              <w:rPr>
                <w:sz w:val="11"/>
                <w:szCs w:val="11"/>
                <w:color w:val="auto"/>
              </w:rPr>
            </w:pPr>
          </w:p>
        </w:tc>
        <w:tc>
          <w:tcPr>
            <w:tcW w:w="800" w:type="dxa"/>
            <w:vAlign w:val="bottom"/>
          </w:tcPr>
          <w:p>
            <w:pPr>
              <w:jc w:val="center"/>
              <w:ind w:right="59"/>
              <w:spacing w:after="0"/>
              <w:rPr>
                <w:sz w:val="20"/>
                <w:szCs w:val="20"/>
                <w:color w:val="auto"/>
              </w:rPr>
            </w:pPr>
            <w:r>
              <w:rPr>
                <w:rFonts w:ascii="Arial" w:cs="Arial" w:eastAsia="Arial" w:hAnsi="Arial"/>
                <w:sz w:val="11"/>
                <w:szCs w:val="11"/>
                <w:b w:val="1"/>
                <w:bCs w:val="1"/>
                <w:color w:val="auto"/>
                <w:w w:val="96"/>
              </w:rPr>
              <w:t>Intangibles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gridSpan w:val="12"/>
            <w:shd w:val="clear" w:color="auto" w:fill="CFF0FC"/>
          </w:tcPr>
          <w:p>
            <w:pPr>
              <w:spacing w:after="0" w:line="129" w:lineRule="exact"/>
              <w:rPr>
                <w:sz w:val="20"/>
                <w:szCs w:val="20"/>
                <w:color w:val="auto"/>
              </w:rPr>
            </w:pPr>
            <w:r>
              <w:rPr>
                <w:rFonts w:ascii="Arial" w:cs="Arial" w:eastAsia="Arial" w:hAnsi="Arial"/>
                <w:sz w:val="13"/>
                <w:szCs w:val="13"/>
                <w:color w:val="auto"/>
                <w:w w:val="96"/>
              </w:rPr>
              <w:t>Net interest income (loss) after provisions for loan losses</w:t>
            </w: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8"/>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gridSpan w:val="3"/>
            <w:shd w:val="clear" w:color="auto" w:fill="CFF0FC"/>
          </w:tcPr>
          <w:p>
            <w:pPr>
              <w:ind w:left="200"/>
              <w:spacing w:after="0" w:line="129"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1"/>
                <w:szCs w:val="11"/>
                <w:color w:val="auto"/>
              </w:rPr>
            </w:pPr>
          </w:p>
        </w:tc>
        <w:tc>
          <w:tcPr>
            <w:tcW w:w="360" w:type="dxa"/>
            <w:vAlign w:val="bottom"/>
            <w:tcBorders>
              <w:right w:val="single" w:sz="8" w:color="CFF0FC"/>
            </w:tcBorders>
            <w:gridSpan w:val="3"/>
            <w:shd w:val="clear" w:color="auto" w:fill="CFF0FC"/>
          </w:tcPr>
          <w:p>
            <w:pPr>
              <w:jc w:val="right"/>
              <w:ind w:right="40"/>
              <w:spacing w:after="0" w:line="129" w:lineRule="exact"/>
              <w:rPr>
                <w:sz w:val="20"/>
                <w:szCs w:val="20"/>
                <w:color w:val="auto"/>
              </w:rPr>
            </w:pPr>
            <w:r>
              <w:rPr>
                <w:rFonts w:ascii="Arial" w:cs="Arial" w:eastAsia="Arial" w:hAnsi="Arial"/>
                <w:sz w:val="13"/>
                <w:szCs w:val="13"/>
                <w:color w:val="auto"/>
              </w:rPr>
              <w:t>(4)</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line="135" w:lineRule="exact"/>
              <w:rPr>
                <w:sz w:val="20"/>
                <w:szCs w:val="20"/>
                <w:color w:val="auto"/>
              </w:rPr>
            </w:pPr>
            <w:r>
              <w:rPr>
                <w:rFonts w:ascii="Arial" w:cs="Arial" w:eastAsia="Arial" w:hAnsi="Arial"/>
                <w:sz w:val="13"/>
                <w:szCs w:val="13"/>
                <w:color w:val="auto"/>
              </w:rPr>
              <w:t>Total other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160" w:type="dxa"/>
            <w:vAlign w:val="bottom"/>
            <w:tcBorders>
              <w:bottom w:val="single" w:sz="8" w:color="CFF0FC"/>
            </w:tcBorders>
            <w:gridSpan w:val="14"/>
            <w:shd w:val="clear" w:color="auto" w:fill="CFF0FC"/>
          </w:tcPr>
          <w:p>
            <w:pPr>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80" w:type="dxa"/>
            <w:vAlign w:val="bottom"/>
            <w:tcBorders>
              <w:bottom w:val="single" w:sz="8" w:color="auto"/>
              <w:right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gridSpan w:val="2"/>
            <w:shd w:val="clear" w:color="auto" w:fill="CFF0FC"/>
          </w:tcPr>
          <w:p>
            <w:pPr>
              <w:spacing w:after="0"/>
              <w:rPr>
                <w:sz w:val="11"/>
                <w:szCs w:val="11"/>
                <w:color w:val="auto"/>
              </w:rPr>
            </w:pPr>
          </w:p>
        </w:tc>
        <w:tc>
          <w:tcPr>
            <w:tcW w:w="120" w:type="dxa"/>
            <w:vAlign w:val="bottom"/>
            <w:tcBorders>
              <w:left w:val="single" w:sz="8" w:color="CFF0FC"/>
              <w:bottom w:val="single" w:sz="8" w:color="auto"/>
            </w:tcBorders>
            <w:shd w:val="clear" w:color="auto" w:fill="CFF0FC"/>
          </w:tcPr>
          <w:p>
            <w:pPr>
              <w:spacing w:after="0"/>
              <w:rPr>
                <w:sz w:val="11"/>
                <w:szCs w:val="11"/>
                <w:color w:val="auto"/>
              </w:rPr>
            </w:pPr>
          </w:p>
        </w:tc>
        <w:tc>
          <w:tcPr>
            <w:tcW w:w="800" w:type="dxa"/>
            <w:vAlign w:val="bottom"/>
            <w:tcBorders>
              <w:bottom w:val="single" w:sz="8" w:color="auto"/>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900" w:type="dxa"/>
            <w:vAlign w:val="bottom"/>
            <w:gridSpan w:val="10"/>
          </w:tcPr>
          <w:p>
            <w:pPr>
              <w:spacing w:after="0" w:line="129" w:lineRule="exact"/>
              <w:rPr>
                <w:sz w:val="20"/>
                <w:szCs w:val="20"/>
                <w:color w:val="auto"/>
              </w:rPr>
            </w:pPr>
            <w:r>
              <w:rPr>
                <w:rFonts w:ascii="Arial" w:cs="Arial" w:eastAsia="Arial" w:hAnsi="Arial"/>
                <w:sz w:val="13"/>
                <w:szCs w:val="13"/>
                <w:color w:val="auto"/>
              </w:rPr>
              <w:t>Total Core Earnings adjustments to GAAP</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(9)</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80" w:type="dxa"/>
            <w:vAlign w:val="bottom"/>
            <w:tcBorders>
              <w:bottom w:val="single" w:sz="8" w:color="CFF0FC"/>
              <w:right w:val="single" w:sz="8" w:color="CFF0FC"/>
            </w:tcBorders>
            <w:gridSpan w:val="8"/>
            <w:shd w:val="clear" w:color="auto" w:fill="CFF0FC"/>
          </w:tcPr>
          <w:p>
            <w:pPr>
              <w:spacing w:after="0" w:line="116" w:lineRule="exact"/>
              <w:rPr>
                <w:sz w:val="20"/>
                <w:szCs w:val="20"/>
                <w:color w:val="auto"/>
              </w:rPr>
            </w:pPr>
            <w:r>
              <w:rPr>
                <w:rFonts w:ascii="Arial" w:cs="Arial" w:eastAsia="Arial" w:hAnsi="Arial"/>
                <w:sz w:val="13"/>
                <w:szCs w:val="13"/>
                <w:color w:val="auto"/>
              </w:rPr>
              <w:t>Income tax expense (benefit)</w:t>
            </w:r>
          </w:p>
        </w:tc>
        <w:tc>
          <w:tcPr>
            <w:tcW w:w="6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right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left w:val="single" w:sz="8" w:color="CFF0FC"/>
              <w:bottom w:val="single" w:sz="8" w:color="CFF0FC"/>
            </w:tcBorders>
            <w:shd w:val="clear" w:color="auto" w:fill="CFF0FC"/>
          </w:tcPr>
          <w:p>
            <w:pPr>
              <w:spacing w:after="0"/>
              <w:rPr>
                <w:sz w:val="10"/>
                <w:szCs w:val="10"/>
                <w:color w:val="auto"/>
              </w:rPr>
            </w:pPr>
          </w:p>
        </w:tc>
        <w:tc>
          <w:tcPr>
            <w:tcW w:w="800" w:type="dxa"/>
            <w:vAlign w:val="bottom"/>
            <w:tcBorders>
              <w:bottom w:val="single" w:sz="8" w:color="CFF0FC"/>
              <w:right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360" w:type="dxa"/>
            <w:vAlign w:val="bottom"/>
            <w:tcBorders>
              <w:bottom w:val="single" w:sz="8" w:color="auto"/>
            </w:tcBorders>
            <w:shd w:val="clear" w:color="auto" w:fill="CFF0FC"/>
          </w:tcPr>
          <w:p>
            <w:pPr>
              <w:spacing w:after="0"/>
              <w:rPr>
                <w:sz w:val="10"/>
                <w:szCs w:val="10"/>
                <w:color w:val="auto"/>
              </w:rPr>
            </w:pPr>
          </w:p>
        </w:tc>
        <w:tc>
          <w:tcPr>
            <w:tcW w:w="260" w:type="dxa"/>
            <w:vAlign w:val="bottom"/>
            <w:tcBorders>
              <w:bottom w:val="single" w:sz="8" w:color="auto"/>
            </w:tcBorders>
            <w:gridSpan w:val="2"/>
            <w:shd w:val="clear" w:color="auto" w:fill="CFF0FC"/>
          </w:tcPr>
          <w:p>
            <w:pPr>
              <w:jc w:val="right"/>
              <w:spacing w:after="0" w:line="116" w:lineRule="exact"/>
              <w:rPr>
                <w:sz w:val="20"/>
                <w:szCs w:val="20"/>
                <w:color w:val="auto"/>
              </w:rPr>
            </w:pPr>
            <w:r>
              <w:rPr>
                <w:rFonts w:ascii="Arial" w:cs="Arial" w:eastAsia="Arial" w:hAnsi="Arial"/>
                <w:sz w:val="13"/>
                <w:szCs w:val="13"/>
                <w:color w:val="auto"/>
              </w:rPr>
              <w:t>3</w:t>
            </w:r>
          </w:p>
        </w:tc>
        <w:tc>
          <w:tcPr>
            <w:tcW w:w="100" w:type="dxa"/>
            <w:vAlign w:val="bottom"/>
            <w:tcBorders>
              <w:bottom w:val="single" w:sz="8" w:color="CFF0FC"/>
              <w:right w:val="single" w:sz="8" w:color="CFF0FC"/>
            </w:tcBorders>
            <w:shd w:val="clear" w:color="auto" w:fill="CFF0FC"/>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gridSpan w:val="3"/>
          </w:tcPr>
          <w:p>
            <w:pPr>
              <w:ind w:left="200"/>
              <w:spacing w:after="0" w:line="129"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36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(12)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-3205480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-3205480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-3205480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-3205480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-3205480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-3205480</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-3205480</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5870575</wp:posOffset>
            </wp:positionH>
            <wp:positionV relativeFrom="paragraph">
              <wp:posOffset>-3205480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-3205480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-2691130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-2691130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-2691130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-2691130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-2691130</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-2691130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-2691130</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5870575</wp:posOffset>
            </wp:positionH>
            <wp:positionV relativeFrom="paragraph">
              <wp:posOffset>-2691130</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-2691130</wp:posOffset>
            </wp:positionV>
            <wp:extent cx="603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-1910715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-1910715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-1910715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-1910715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-1910715</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-1910715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-1910715</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5870575</wp:posOffset>
            </wp:positionH>
            <wp:positionV relativeFrom="paragraph">
              <wp:posOffset>-1910715</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-1910715</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-1482090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-1482090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-1482090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-1482090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-1482090</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-1482090</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-1482090</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5870575</wp:posOffset>
            </wp:positionH>
            <wp:positionV relativeFrom="paragraph">
              <wp:posOffset>-1482090</wp:posOffset>
            </wp:positionV>
            <wp:extent cx="603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-1482090</wp:posOffset>
            </wp:positionV>
            <wp:extent cx="60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-325120</wp:posOffset>
            </wp:positionV>
            <wp:extent cx="514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-325120</wp:posOffset>
            </wp:positionV>
            <wp:extent cx="514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-325120</wp:posOffset>
            </wp:positionV>
            <wp:extent cx="514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-119380</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4" w:lineRule="exact"/>
        <w:rPr>
          <w:sz w:val="20"/>
          <w:szCs w:val="20"/>
          <w:color w:val="auto"/>
        </w:rPr>
      </w:pPr>
    </w:p>
    <w:p>
      <w:pPr>
        <w:ind w:left="265" w:hanging="265"/>
        <w:spacing w:after="0"/>
        <w:tabs>
          <w:tab w:leader="none" w:pos="265" w:val="left"/>
        </w:tabs>
        <w:numPr>
          <w:ilvl w:val="0"/>
          <w:numId w:val="20"/>
        </w:numPr>
        <w:rPr>
          <w:rFonts w:ascii="Arial" w:cs="Arial" w:eastAsia="Arial" w:hAnsi="Arial"/>
          <w:sz w:val="8"/>
          <w:szCs w:val="8"/>
          <w:color w:val="auto"/>
        </w:rPr>
      </w:pPr>
      <w:r>
        <w:rPr>
          <w:rFonts w:ascii="Arial" w:cs="Arial" w:eastAsia="Arial" w:hAnsi="Arial"/>
          <w:sz w:val="14"/>
          <w:szCs w:val="14"/>
          <w:color w:val="auto"/>
        </w:rPr>
        <w:t>Income taxes are based on a percentage of net income before tax for the individual reportable segment.</w:t>
      </w:r>
    </w:p>
    <w:p>
      <w:pPr>
        <w:spacing w:after="0" w:line="12" w:lineRule="exact"/>
        <w:rPr>
          <w:sz w:val="20"/>
          <w:szCs w:val="20"/>
          <w:color w:val="auto"/>
        </w:rPr>
      </w:pPr>
    </w:p>
    <w:p>
      <w:pPr>
        <w:ind w:left="9925"/>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469265</wp:posOffset>
            </wp:positionV>
            <wp:extent cx="703770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989" w:right="1099" w:bottom="1440" w:gutter="0" w:footer="0" w:header="0"/>
        </w:sectPr>
      </w:pPr>
    </w:p>
    <w:bookmarkStart w:id="23" w:name="page24"/>
    <w:bookmarkEnd w:id="23"/>
    <w:tbl>
      <w:tblPr>
        <w:tblLayout w:type="fixed"/>
        <w:tblInd w:w="5"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0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2560" w:type="dxa"/>
            <w:vAlign w:val="bottom"/>
            <w:tcBorders>
              <w:right w:val="single" w:sz="8" w:color="D9D9D9"/>
            </w:tcBorders>
            <w:gridSpan w:val="12"/>
            <w:shd w:val="clear" w:color="auto" w:fill="D9D9D9"/>
          </w:tcPr>
          <w:p>
            <w:pPr>
              <w:jc w:val="right"/>
              <w:ind w:right="597"/>
              <w:spacing w:after="0"/>
              <w:rPr>
                <w:sz w:val="20"/>
                <w:szCs w:val="20"/>
                <w:color w:val="auto"/>
              </w:rPr>
            </w:pPr>
            <w:r>
              <w:rPr>
                <w:rFonts w:ascii="Arial" w:cs="Arial" w:eastAsia="Arial" w:hAnsi="Arial"/>
                <w:sz w:val="11"/>
                <w:szCs w:val="11"/>
                <w:b w:val="1"/>
                <w:bCs w:val="1"/>
                <w:color w:val="auto"/>
              </w:rPr>
              <w:t>QUARTER ENDED JUNE 30, 2026</w:t>
            </w: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60" w:type="dxa"/>
            <w:vAlign w:val="bottom"/>
            <w:tcBorders>
              <w:right w:val="single" w:sz="8" w:color="D9D9D9"/>
            </w:tcBorders>
            <w:shd w:val="clear" w:color="auto" w:fill="D9D9D9"/>
          </w:tcPr>
          <w:p>
            <w:pPr>
              <w:spacing w:after="0"/>
              <w:rPr>
                <w:sz w:val="10"/>
                <w:szCs w:val="10"/>
                <w:color w:val="auto"/>
              </w:rPr>
            </w:pPr>
          </w:p>
        </w:tc>
        <w:tc>
          <w:tcPr>
            <w:tcW w:w="200" w:type="dxa"/>
            <w:vAlign w:val="bottom"/>
            <w:tcBorders>
              <w:right w:val="single" w:sz="8" w:color="D9D9D9"/>
            </w:tcBorders>
            <w:shd w:val="clear" w:color="auto" w:fill="D9D9D9"/>
          </w:tcPr>
          <w:p>
            <w:pPr>
              <w:spacing w:after="0"/>
              <w:rPr>
                <w:sz w:val="10"/>
                <w:szCs w:val="10"/>
                <w:color w:val="auto"/>
              </w:rPr>
            </w:pPr>
          </w:p>
        </w:tc>
        <w:tc>
          <w:tcPr>
            <w:tcW w:w="32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00" w:type="dxa"/>
            <w:vAlign w:val="bottom"/>
            <w:tcBorders>
              <w:left w:val="single" w:sz="8" w:color="D9D9D9"/>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Adjustments</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center"/>
              <w:ind w:right="22"/>
              <w:spacing w:after="0"/>
              <w:rPr>
                <w:sz w:val="20"/>
                <w:szCs w:val="20"/>
                <w:color w:val="auto"/>
              </w:rPr>
            </w:pPr>
            <w:r>
              <w:rPr>
                <w:rFonts w:ascii="Arial" w:cs="Arial" w:eastAsia="Arial" w:hAnsi="Arial"/>
                <w:sz w:val="11"/>
                <w:szCs w:val="11"/>
                <w:b w:val="1"/>
                <w:bCs w:val="1"/>
                <w:color w:val="auto"/>
                <w:w w:val="98"/>
              </w:rPr>
              <w:t>Total</w:t>
            </w: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spacing w:after="0" w:line="122" w:lineRule="exact"/>
              <w:rPr>
                <w:sz w:val="20"/>
                <w:szCs w:val="20"/>
                <w:color w:val="auto"/>
              </w:rPr>
            </w:pPr>
            <w:r>
              <w:rPr>
                <w:rFonts w:ascii="Arial" w:cs="Arial" w:eastAsia="Arial" w:hAnsi="Arial"/>
                <w:sz w:val="11"/>
                <w:szCs w:val="11"/>
                <w:b w:val="1"/>
                <w:bCs w:val="1"/>
                <w:color w:val="auto"/>
              </w:rPr>
              <w:t>Reportable Segments</w:t>
            </w: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jc w:val="center"/>
              <w:ind w:right="58"/>
              <w:spacing w:after="0" w:line="102" w:lineRule="exact"/>
              <w:rPr>
                <w:sz w:val="20"/>
                <w:szCs w:val="20"/>
                <w:color w:val="auto"/>
              </w:rPr>
            </w:pPr>
            <w:r>
              <w:rPr>
                <w:rFonts w:ascii="Arial" w:cs="Arial" w:eastAsia="Arial" w:hAnsi="Arial"/>
                <w:sz w:val="11"/>
                <w:szCs w:val="11"/>
                <w:b w:val="1"/>
                <w:bCs w:val="1"/>
                <w:color w:val="auto"/>
                <w:w w:val="96"/>
              </w:rPr>
              <w:t>Federal</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w w:val="98"/>
              </w:rPr>
              <w:t>Total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right"/>
              <w:ind w:right="320"/>
              <w:spacing w:after="0" w:line="108" w:lineRule="exact"/>
              <w:rPr>
                <w:sz w:val="20"/>
                <w:szCs w:val="20"/>
                <w:color w:val="auto"/>
              </w:rPr>
            </w:pPr>
            <w:r>
              <w:rPr>
                <w:rFonts w:ascii="Arial" w:cs="Arial" w:eastAsia="Arial" w:hAnsi="Arial"/>
                <w:sz w:val="11"/>
                <w:szCs w:val="11"/>
                <w:b w:val="1"/>
                <w:bCs w:val="1"/>
                <w:color w:val="auto"/>
                <w:w w:val="95"/>
              </w:rPr>
              <w:t>Reclassi-</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300"/>
              <w:spacing w:after="0" w:line="108" w:lineRule="exact"/>
              <w:rPr>
                <w:sz w:val="20"/>
                <w:szCs w:val="20"/>
                <w:color w:val="auto"/>
              </w:rPr>
            </w:pPr>
            <w:r>
              <w:rPr>
                <w:rFonts w:ascii="Arial" w:cs="Arial" w:eastAsia="Arial" w:hAnsi="Arial"/>
                <w:sz w:val="11"/>
                <w:szCs w:val="11"/>
                <w:b w:val="1"/>
                <w:bCs w:val="1"/>
                <w:color w:val="auto"/>
              </w:rPr>
              <w:t>Additions/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jc w:val="right"/>
              <w:ind w:right="44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22"/>
              <w:spacing w:after="0" w:line="108" w:lineRule="exact"/>
              <w:rPr>
                <w:sz w:val="20"/>
                <w:szCs w:val="20"/>
                <w:color w:val="auto"/>
              </w:rPr>
            </w:pPr>
            <w:r>
              <w:rPr>
                <w:rFonts w:ascii="Arial" w:cs="Arial" w:eastAsia="Arial" w:hAnsi="Arial"/>
                <w:sz w:val="11"/>
                <w:szCs w:val="11"/>
                <w:b w:val="1"/>
                <w:bCs w:val="1"/>
                <w:color w:val="auto"/>
              </w:rPr>
              <w:t>Core</w:t>
            </w:r>
          </w:p>
        </w:tc>
        <w:tc>
          <w:tcPr>
            <w:tcW w:w="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17"/>
              <w:spacing w:after="0" w:line="108" w:lineRule="exact"/>
              <w:rPr>
                <w:sz w:val="20"/>
                <w:szCs w:val="20"/>
                <w:color w:val="auto"/>
              </w:rPr>
            </w:pPr>
            <w:r>
              <w:rPr>
                <w:rFonts w:ascii="Arial" w:cs="Arial" w:eastAsia="Arial" w:hAnsi="Arial"/>
                <w:sz w:val="11"/>
                <w:szCs w:val="11"/>
                <w:b w:val="1"/>
                <w:bCs w:val="1"/>
                <w:color w:val="auto"/>
                <w:w w:val="99"/>
              </w:rPr>
              <w:t>Consumer</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78"/>
              <w:spacing w:after="0" w:line="108" w:lineRule="exact"/>
              <w:rPr>
                <w:sz w:val="20"/>
                <w:szCs w:val="20"/>
                <w:color w:val="auto"/>
              </w:rPr>
            </w:pPr>
            <w:r>
              <w:rPr>
                <w:rFonts w:ascii="Arial" w:cs="Arial" w:eastAsia="Arial" w:hAnsi="Arial"/>
                <w:sz w:val="11"/>
                <w:szCs w:val="11"/>
                <w:b w:val="1"/>
                <w:bCs w:val="1"/>
                <w:color w:val="auto"/>
                <w:w w:val="97"/>
              </w:rPr>
              <w:t>Education</w:t>
            </w:r>
          </w:p>
        </w:tc>
        <w:tc>
          <w:tcPr>
            <w:tcW w:w="200" w:type="dxa"/>
            <w:vAlign w:val="bottom"/>
          </w:tcPr>
          <w:p>
            <w:pPr>
              <w:spacing w:after="0"/>
              <w:rPr>
                <w:sz w:val="9"/>
                <w:szCs w:val="9"/>
                <w:color w:val="auto"/>
              </w:rPr>
            </w:pPr>
          </w:p>
        </w:tc>
        <w:tc>
          <w:tcPr>
            <w:tcW w:w="680" w:type="dxa"/>
            <w:vAlign w:val="bottom"/>
            <w:gridSpan w:val="2"/>
          </w:tcPr>
          <w:p>
            <w:pPr>
              <w:jc w:val="center"/>
              <w:ind w:right="17"/>
              <w:spacing w:after="0" w:line="108" w:lineRule="exact"/>
              <w:rPr>
                <w:sz w:val="20"/>
                <w:szCs w:val="20"/>
                <w:color w:val="auto"/>
              </w:rPr>
            </w:pPr>
            <w:r>
              <w:rPr>
                <w:rFonts w:ascii="Arial" w:cs="Arial" w:eastAsia="Arial" w:hAnsi="Arial"/>
                <w:sz w:val="11"/>
                <w:szCs w:val="11"/>
                <w:b w:val="1"/>
                <w:bCs w:val="1"/>
                <w:color w:val="auto"/>
                <w:w w:val="98"/>
              </w:rPr>
              <w:t>Business</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gridSpan w:val="6"/>
          </w:tcPr>
          <w:p>
            <w:pPr>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GAAP</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97"/>
              </w:rPr>
              <w:t>fications</w:t>
            </w:r>
          </w:p>
        </w:tc>
        <w:tc>
          <w:tcPr>
            <w:tcW w:w="20" w:type="dxa"/>
            <w:vAlign w:val="bottom"/>
          </w:tcPr>
          <w:p>
            <w:pPr>
              <w:spacing w:after="0"/>
              <w:rPr>
                <w:sz w:val="12"/>
                <w:szCs w:val="1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rPr>
              <w:t>(Subtractions)</w:t>
            </w:r>
          </w:p>
        </w:tc>
        <w:tc>
          <w:tcPr>
            <w:tcW w:w="8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1"/>
                <w:szCs w:val="11"/>
                <w:b w:val="1"/>
                <w:bCs w:val="1"/>
                <w:color w:val="auto"/>
                <w:w w:val="99"/>
              </w:rPr>
              <w:t>Adjustments</w:t>
            </w:r>
            <w:r>
              <w:rPr>
                <w:rFonts w:ascii="Arial" w:cs="Arial" w:eastAsia="Arial" w:hAnsi="Arial"/>
                <w:sz w:val="14"/>
                <w:szCs w:val="14"/>
                <w:b w:val="1"/>
                <w:bCs w:val="1"/>
                <w:color w:val="auto"/>
                <w:w w:val="99"/>
                <w:vertAlign w:val="superscript"/>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22"/>
              <w:spacing w:after="0"/>
              <w:rPr>
                <w:sz w:val="20"/>
                <w:szCs w:val="20"/>
                <w:color w:val="auto"/>
              </w:rPr>
            </w:pPr>
            <w:r>
              <w:rPr>
                <w:rFonts w:ascii="Arial" w:cs="Arial" w:eastAsia="Arial" w:hAnsi="Arial"/>
                <w:sz w:val="11"/>
                <w:szCs w:val="11"/>
                <w:b w:val="1"/>
                <w:bCs w:val="1"/>
                <w:color w:val="auto"/>
                <w:w w:val="97"/>
              </w:rPr>
              <w:t>Earnings</w:t>
            </w: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57"/>
              <w:spacing w:after="0"/>
              <w:rPr>
                <w:sz w:val="20"/>
                <w:szCs w:val="20"/>
                <w:color w:val="auto"/>
              </w:rPr>
            </w:pPr>
            <w:r>
              <w:rPr>
                <w:rFonts w:ascii="Arial" w:cs="Arial" w:eastAsia="Arial" w:hAnsi="Arial"/>
                <w:sz w:val="11"/>
                <w:szCs w:val="11"/>
                <w:b w:val="1"/>
                <w:bCs w:val="1"/>
                <w:color w:val="auto"/>
              </w:rPr>
              <w:t>Lending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ind w:right="38"/>
              <w:spacing w:after="0"/>
              <w:rPr>
                <w:sz w:val="20"/>
                <w:szCs w:val="20"/>
                <w:color w:val="auto"/>
              </w:rPr>
            </w:pPr>
            <w:r>
              <w:rPr>
                <w:rFonts w:ascii="Arial" w:cs="Arial" w:eastAsia="Arial" w:hAnsi="Arial"/>
                <w:sz w:val="11"/>
                <w:szCs w:val="11"/>
                <w:b w:val="1"/>
                <w:bCs w:val="1"/>
                <w:color w:val="auto"/>
                <w:w w:val="98"/>
              </w:rPr>
              <w:t>Loans</w:t>
            </w:r>
          </w:p>
        </w:tc>
        <w:tc>
          <w:tcPr>
            <w:tcW w:w="20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Processing</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top w:val="single" w:sz="8" w:color="auto"/>
              <w:right w:val="single" w:sz="8" w:color="CFF0FC"/>
            </w:tcBorders>
          </w:tcPr>
          <w:p>
            <w:pPr>
              <w:spacing w:after="0"/>
              <w:rPr>
                <w:sz w:val="11"/>
                <w:szCs w:val="11"/>
                <w:color w:val="auto"/>
              </w:rPr>
            </w:pPr>
          </w:p>
        </w:tc>
        <w:tc>
          <w:tcPr>
            <w:tcW w:w="9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w w:val="95"/>
              </w:rPr>
              <w:t>Interest income:</w:t>
            </w:r>
          </w:p>
        </w:tc>
        <w:tc>
          <w:tcPr>
            <w:tcW w:w="740" w:type="dxa"/>
            <w:vAlign w:val="bottom"/>
            <w:gridSpan w:val="3"/>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left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Education loans</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664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right w:val="single" w:sz="8" w:color="auto"/>
            </w:tcBorders>
            <w:gridSpan w:val="2"/>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273</w:t>
            </w: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391</w:t>
            </w:r>
          </w:p>
        </w:tc>
        <w:tc>
          <w:tcPr>
            <w:tcW w:w="520" w:type="dxa"/>
            <w:vAlign w:val="bottom"/>
            <w:gridSpan w:val="2"/>
          </w:tcPr>
          <w:p>
            <w:pPr>
              <w:jc w:val="right"/>
              <w:ind w:right="235"/>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ind w:left="20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tcBorders>
              <w:bottom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Cash and investments</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18</w:t>
            </w:r>
          </w:p>
        </w:tc>
        <w:tc>
          <w:tcPr>
            <w:tcW w:w="1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right w:val="single" w:sz="8" w:color="CFF0FC"/>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8</w:t>
            </w:r>
          </w:p>
        </w:tc>
        <w:tc>
          <w:tcPr>
            <w:tcW w:w="200" w:type="dxa"/>
            <w:vAlign w:val="bottom"/>
            <w:tcBorders>
              <w:bottom w:val="single" w:sz="8" w:color="CFF0FC"/>
              <w:right w:val="single" w:sz="8" w:color="CFF0FC"/>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ind w:left="20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left w:val="single" w:sz="8" w:color="CFF0FC"/>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29" w:lineRule="exact"/>
              <w:rPr>
                <w:sz w:val="20"/>
                <w:szCs w:val="20"/>
                <w:color w:val="auto"/>
              </w:rPr>
            </w:pPr>
            <w:r>
              <w:rPr>
                <w:rFonts w:ascii="Arial" w:cs="Arial" w:eastAsia="Arial" w:hAnsi="Arial"/>
                <w:sz w:val="13"/>
                <w:szCs w:val="13"/>
                <w:color w:val="auto"/>
              </w:rPr>
              <w:t>Total interest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682</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399</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ind w:left="200"/>
              <w:spacing w:after="0" w:line="12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tcBorders>
              <w:bottom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Total interest expense</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560</w:t>
            </w:r>
          </w:p>
        </w:tc>
        <w:tc>
          <w:tcPr>
            <w:tcW w:w="18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right w:val="single" w:sz="8" w:color="CFF0FC"/>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185</w:t>
            </w: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351</w:t>
            </w:r>
          </w:p>
        </w:tc>
        <w:tc>
          <w:tcPr>
            <w:tcW w:w="200" w:type="dxa"/>
            <w:vAlign w:val="bottom"/>
            <w:tcBorders>
              <w:bottom w:val="single" w:sz="8" w:color="CFF0FC"/>
              <w:right w:val="single" w:sz="8" w:color="CFF0FC"/>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ind w:left="200"/>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500" w:type="dxa"/>
            <w:vAlign w:val="bottom"/>
            <w:tcBorders>
              <w:left w:val="single" w:sz="8" w:color="CFF0FC"/>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26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color w:val="auto"/>
              </w:rPr>
              <w:t>(loss)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122</w:t>
            </w:r>
          </w:p>
        </w:tc>
        <w:tc>
          <w:tcPr>
            <w:tcW w:w="18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260" w:type="dxa"/>
            <w:vAlign w:val="bottom"/>
            <w:gridSpan w:val="2"/>
          </w:tcPr>
          <w:p>
            <w:pPr>
              <w:jc w:val="right"/>
              <w:ind w:right="6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120</w:t>
            </w:r>
          </w:p>
        </w:tc>
        <w:tc>
          <w:tcPr>
            <w:tcW w:w="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ind w:lef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Less: provisions for loan</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00" w:type="dxa"/>
            <w:vAlign w:val="bottom"/>
            <w:tcBorders>
              <w:right w:val="single" w:sz="8" w:color="CFF0FC"/>
            </w:tcBorders>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5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640" w:type="dxa"/>
            <w:vAlign w:val="bottom"/>
            <w:gridSpan w:val="5"/>
            <w:shd w:val="clear" w:color="auto" w:fill="CFF0FC"/>
          </w:tcPr>
          <w:p>
            <w:pPr>
              <w:spacing w:after="0" w:line="139" w:lineRule="exact"/>
              <w:rPr>
                <w:sz w:val="20"/>
                <w:szCs w:val="20"/>
                <w:color w:val="auto"/>
              </w:rPr>
            </w:pPr>
            <w:r>
              <w:rPr>
                <w:rFonts w:ascii="Arial" w:cs="Arial" w:eastAsia="Arial" w:hAnsi="Arial"/>
                <w:sz w:val="13"/>
                <w:szCs w:val="13"/>
                <w:color w:val="auto"/>
              </w:rPr>
              <w:t>losses</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gridSpan w:val="2"/>
            <w:vMerge w:val="continue"/>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tcBorders>
              <w:right w:val="single" w:sz="8" w:color="CFF0FC"/>
            </w:tcBorders>
            <w:vMerge w:val="continue"/>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5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(loss) after provisions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color w:val="auto"/>
              </w:rPr>
              <w:t>for loan losses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ind w:lef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income (loss):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Servicing revenue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ind w:lef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Asset recovery and</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business processing</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Other revenue</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ind w:left="20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other income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28</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(1)</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00"/>
              <w:spacing w:after="0" w:line="129" w:lineRule="exact"/>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27</w:t>
            </w:r>
          </w:p>
        </w:tc>
        <w:tc>
          <w:tcPr>
            <w:tcW w:w="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2</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8</w:t>
            </w:r>
          </w:p>
        </w:tc>
        <w:tc>
          <w:tcPr>
            <w:tcW w:w="200" w:type="dxa"/>
            <w:vAlign w:val="bottom"/>
            <w:tcBorders>
              <w:righ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tcBorders>
              <w:left w:val="single" w:sz="8" w:color="CFF0FC"/>
            </w:tcBorders>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Direct operating</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expenses</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w:t>
            </w: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200" w:type="dxa"/>
            <w:vAlign w:val="bottom"/>
            <w:tcBorders>
              <w:right w:val="single" w:sz="8" w:color="CFF0FC"/>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Unallocated shared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vMerge w:val="restart"/>
          </w:tcPr>
          <w:p>
            <w:pPr>
              <w:ind w:lef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ind w:left="100"/>
              <w:spacing w:after="0" w:line="139" w:lineRule="exact"/>
              <w:rPr>
                <w:sz w:val="20"/>
                <w:szCs w:val="20"/>
                <w:color w:val="auto"/>
              </w:rPr>
            </w:pPr>
            <w:r>
              <w:rPr>
                <w:rFonts w:ascii="Arial" w:cs="Arial" w:eastAsia="Arial" w:hAnsi="Arial"/>
                <w:sz w:val="13"/>
                <w:szCs w:val="13"/>
                <w:color w:val="auto"/>
              </w:rPr>
              <w:t>services expenses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Operating expenses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82</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82</w:t>
            </w:r>
          </w:p>
        </w:tc>
        <w:tc>
          <w:tcPr>
            <w:tcW w:w="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42</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15</w:t>
            </w:r>
          </w:p>
        </w:tc>
        <w:tc>
          <w:tcPr>
            <w:tcW w:w="200" w:type="dxa"/>
            <w:vAlign w:val="bottom"/>
            <w:tcBorders>
              <w:righ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tcBorders>
              <w:left w:val="single" w:sz="8" w:color="CFF0FC"/>
            </w:tcBorders>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Goodwill and acquired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intangible asset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impairment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ind w:left="100"/>
              <w:spacing w:after="0"/>
              <w:rPr>
                <w:sz w:val="20"/>
                <w:szCs w:val="20"/>
                <w:color w:val="auto"/>
              </w:rPr>
            </w:pPr>
            <w:r>
              <w:rPr>
                <w:rFonts w:ascii="Arial" w:cs="Arial" w:eastAsia="Arial" w:hAnsi="Arial"/>
                <w:sz w:val="13"/>
                <w:szCs w:val="13"/>
                <w:color w:val="auto"/>
              </w:rPr>
              <w:t>amortization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ind w:lef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Restructuring/other</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reorganization</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tcBorders>
              <w:lef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640" w:type="dxa"/>
            <w:vAlign w:val="bottom"/>
            <w:tcBorders>
              <w:bottom w:val="single" w:sz="8" w:color="CFF0FC"/>
            </w:tcBorders>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expenses</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vMerge w:val="continue"/>
            <w:shd w:val="clear" w:color="auto" w:fill="CFF0FC"/>
          </w:tcPr>
          <w:p>
            <w:pPr>
              <w:spacing w:after="0"/>
              <w:rPr>
                <w:sz w:val="12"/>
                <w:szCs w:val="12"/>
                <w:color w:val="auto"/>
              </w:rPr>
            </w:pPr>
          </w:p>
        </w:tc>
        <w:tc>
          <w:tcPr>
            <w:tcW w:w="14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gridSpan w:val="2"/>
            <w:vMerge w:val="continue"/>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right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200" w:type="dxa"/>
            <w:vAlign w:val="bottom"/>
            <w:tcBorders>
              <w:bottom w:val="single" w:sz="8" w:color="CFF0FC"/>
              <w:right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left w:val="single" w:sz="8" w:color="CFF0FC"/>
              <w:bottom w:val="single" w:sz="8" w:color="auto"/>
            </w:tcBorders>
            <w:gridSpan w:val="2"/>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29" w:lineRule="exact"/>
              <w:rPr>
                <w:sz w:val="20"/>
                <w:szCs w:val="20"/>
                <w:color w:val="auto"/>
              </w:rPr>
            </w:pPr>
            <w:r>
              <w:rPr>
                <w:rFonts w:ascii="Arial" w:cs="Arial" w:eastAsia="Arial" w:hAnsi="Arial"/>
                <w:sz w:val="13"/>
                <w:szCs w:val="13"/>
                <w:color w:val="auto"/>
              </w:rPr>
              <w:t>Total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85</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85</w:t>
            </w:r>
          </w:p>
        </w:tc>
        <w:tc>
          <w:tcPr>
            <w:tcW w:w="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ind w:left="200"/>
              <w:spacing w:after="0" w:line="12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Borders>
              <w:right w:val="single" w:sz="8" w:color="CFF0FC"/>
            </w:tcBorders>
          </w:tcPr>
          <w:p>
            <w:pPr>
              <w:spacing w:after="0"/>
              <w:rPr>
                <w:sz w:val="9"/>
                <w:szCs w:val="9"/>
                <w:color w:val="auto"/>
              </w:rPr>
            </w:pPr>
          </w:p>
        </w:tc>
        <w:tc>
          <w:tcPr>
            <w:tcW w:w="164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Income (loss) before</w:t>
            </w: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tcBorders>
              <w:right w:val="single" w:sz="8" w:color="CFF0FC"/>
            </w:tcBorders>
            <w:shd w:val="clear" w:color="auto" w:fill="CFF0FC"/>
          </w:tcPr>
          <w:p>
            <w:pPr>
              <w:spacing w:after="0"/>
              <w:rPr>
                <w:sz w:val="9"/>
                <w:szCs w:val="9"/>
                <w:color w:val="auto"/>
              </w:rPr>
            </w:pPr>
          </w:p>
        </w:tc>
        <w:tc>
          <w:tcPr>
            <w:tcW w:w="32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left w:val="single" w:sz="8" w:color="CFF0FC"/>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income tax expense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spacing w:after="0"/>
              <w:rPr>
                <w:sz w:val="11"/>
                <w:szCs w:val="11"/>
                <w:color w:val="auto"/>
              </w:rPr>
            </w:pPr>
          </w:p>
        </w:tc>
        <w:tc>
          <w:tcPr>
            <w:tcW w:w="200" w:type="dxa"/>
            <w:vAlign w:val="bottom"/>
            <w:tcBorders>
              <w:right w:val="single" w:sz="8" w:color="CFF0FC"/>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(benefit)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200" w:type="dxa"/>
            <w:vAlign w:val="bottom"/>
            <w:tcBorders>
              <w:right w:val="single" w:sz="8" w:color="CFF0FC"/>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tcBorders>
              <w:lef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tcPr>
          <w:p>
            <w:pPr>
              <w:spacing w:after="0" w:line="108" w:lineRule="exact"/>
              <w:rPr>
                <w:sz w:val="20"/>
                <w:szCs w:val="20"/>
                <w:color w:val="auto"/>
              </w:rPr>
            </w:pPr>
            <w:r>
              <w:rPr>
                <w:rFonts w:ascii="Arial" w:cs="Arial" w:eastAsia="Arial" w:hAnsi="Arial"/>
                <w:sz w:val="12"/>
                <w:szCs w:val="12"/>
                <w:color w:val="auto"/>
              </w:rPr>
              <w:t>Income tax expense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vMerge w:val="restart"/>
          </w:tcPr>
          <w:p>
            <w:pPr>
              <w:ind w:lef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Borders>
              <w:right w:val="single" w:sz="8" w:color="CFF0FC"/>
            </w:tcBorders>
          </w:tcPr>
          <w:p>
            <w:pPr>
              <w:spacing w:after="0"/>
              <w:rPr>
                <w:sz w:val="14"/>
                <w:szCs w:val="14"/>
                <w:color w:val="auto"/>
              </w:rPr>
            </w:pPr>
          </w:p>
        </w:tc>
        <w:tc>
          <w:tcPr>
            <w:tcW w:w="1640" w:type="dxa"/>
            <w:vAlign w:val="bottom"/>
            <w:tcBorders>
              <w:bottom w:val="single" w:sz="8" w:color="CFF0FC"/>
            </w:tcBorders>
            <w:gridSpan w:val="5"/>
            <w:shd w:val="clear" w:color="auto" w:fill="CFF0FC"/>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F"/>
          </w:tcPr>
          <w:p>
            <w:pPr>
              <w:jc w:val="right"/>
              <w:spacing w:after="0" w:line="115" w:lineRule="exact"/>
              <w:rPr>
                <w:sz w:val="20"/>
                <w:szCs w:val="20"/>
                <w:color w:val="auto"/>
              </w:rPr>
            </w:pPr>
            <w:r>
              <w:rPr>
                <w:rFonts w:ascii="Arial" w:cs="Arial" w:eastAsia="Arial" w:hAnsi="Arial"/>
                <w:sz w:val="13"/>
                <w:szCs w:val="13"/>
                <w:color w:val="auto"/>
              </w:rPr>
              <w:t>25</w:t>
            </w:r>
          </w:p>
        </w:tc>
        <w:tc>
          <w:tcPr>
            <w:tcW w:w="180" w:type="dxa"/>
            <w:vAlign w:val="bottom"/>
            <w:tcBorders>
              <w:bottom w:val="single" w:sz="8" w:color="CFF0FF"/>
            </w:tcBorders>
            <w:shd w:val="clear" w:color="auto" w:fill="CFF0FF"/>
          </w:tcPr>
          <w:p>
            <w:pPr>
              <w:spacing w:after="0"/>
              <w:rPr>
                <w:sz w:val="14"/>
                <w:szCs w:val="14"/>
                <w:color w:val="auto"/>
              </w:rPr>
            </w:pPr>
          </w:p>
        </w:tc>
        <w:tc>
          <w:tcPr>
            <w:tcW w:w="40" w:type="dxa"/>
            <w:vAlign w:val="bottom"/>
            <w:tcBorders>
              <w:bottom w:val="single" w:sz="8" w:color="CFF0FF"/>
            </w:tcBorders>
            <w:shd w:val="clear" w:color="auto" w:fill="CFF0FF"/>
          </w:tcPr>
          <w:p>
            <w:pPr>
              <w:spacing w:after="0"/>
              <w:rPr>
                <w:sz w:val="14"/>
                <w:szCs w:val="14"/>
                <w:color w:val="auto"/>
              </w:rPr>
            </w:pPr>
          </w:p>
        </w:tc>
        <w:tc>
          <w:tcPr>
            <w:tcW w:w="10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F"/>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FF0FF"/>
            </w:tcBorders>
            <w:shd w:val="clear" w:color="auto" w:fill="CFF0FF"/>
          </w:tcPr>
          <w:p>
            <w:pPr>
              <w:spacing w:after="0"/>
              <w:rPr>
                <w:sz w:val="14"/>
                <w:szCs w:val="14"/>
                <w:color w:val="auto"/>
              </w:rPr>
            </w:pPr>
          </w:p>
        </w:tc>
        <w:tc>
          <w:tcPr>
            <w:tcW w:w="20" w:type="dxa"/>
            <w:vAlign w:val="bottom"/>
            <w:tcBorders>
              <w:bottom w:val="single" w:sz="8" w:color="CFF0FF"/>
            </w:tcBorders>
            <w:shd w:val="clear" w:color="auto" w:fill="CFF0FF"/>
          </w:tcPr>
          <w:p>
            <w:pPr>
              <w:spacing w:after="0"/>
              <w:rPr>
                <w:sz w:val="14"/>
                <w:szCs w:val="14"/>
                <w:color w:val="auto"/>
              </w:rPr>
            </w:pPr>
          </w:p>
        </w:tc>
        <w:tc>
          <w:tcPr>
            <w:tcW w:w="10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F"/>
          </w:tcPr>
          <w:p>
            <w:pPr>
              <w:jc w:val="right"/>
              <w:spacing w:after="0" w:line="115" w:lineRule="exact"/>
              <w:rPr>
                <w:sz w:val="20"/>
                <w:szCs w:val="20"/>
                <w:color w:val="auto"/>
              </w:rPr>
            </w:pPr>
            <w:r>
              <w:rPr>
                <w:rFonts w:ascii="Arial" w:cs="Arial" w:eastAsia="Arial" w:hAnsi="Arial"/>
                <w:sz w:val="13"/>
                <w:szCs w:val="13"/>
                <w:color w:val="auto"/>
              </w:rPr>
              <w:t>2</w:t>
            </w:r>
          </w:p>
        </w:tc>
        <w:tc>
          <w:tcPr>
            <w:tcW w:w="140" w:type="dxa"/>
            <w:vAlign w:val="bottom"/>
            <w:tcBorders>
              <w:bottom w:val="single" w:sz="8" w:color="CFF0FF"/>
            </w:tcBorders>
            <w:shd w:val="clear" w:color="auto" w:fill="CFF0FF"/>
          </w:tcPr>
          <w:p>
            <w:pPr>
              <w:spacing w:after="0"/>
              <w:rPr>
                <w:sz w:val="14"/>
                <w:szCs w:val="14"/>
                <w:color w:val="auto"/>
              </w:rPr>
            </w:pPr>
          </w:p>
        </w:tc>
        <w:tc>
          <w:tcPr>
            <w:tcW w:w="80" w:type="dxa"/>
            <w:vAlign w:val="bottom"/>
            <w:tcBorders>
              <w:bottom w:val="single" w:sz="8" w:color="CFF0FF"/>
            </w:tcBorders>
            <w:shd w:val="clear" w:color="auto" w:fill="CFF0FF"/>
          </w:tcPr>
          <w:p>
            <w:pPr>
              <w:spacing w:after="0"/>
              <w:rPr>
                <w:sz w:val="14"/>
                <w:szCs w:val="14"/>
                <w:color w:val="auto"/>
              </w:rPr>
            </w:pPr>
          </w:p>
        </w:tc>
        <w:tc>
          <w:tcPr>
            <w:tcW w:w="180" w:type="dxa"/>
            <w:vAlign w:val="bottom"/>
            <w:tcBorders>
              <w:top w:val="single" w:sz="8" w:color="auto"/>
              <w:bottom w:val="single" w:sz="8" w:color="auto"/>
            </w:tcBorders>
            <w:shd w:val="clear" w:color="auto" w:fill="CFF0FF"/>
          </w:tcPr>
          <w:p>
            <w:pPr>
              <w:jc w:val="right"/>
              <w:ind w:right="67"/>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FF0FF"/>
          </w:tcPr>
          <w:p>
            <w:pPr>
              <w:jc w:val="right"/>
              <w:spacing w:after="0" w:line="115" w:lineRule="exact"/>
              <w:rPr>
                <w:sz w:val="20"/>
                <w:szCs w:val="20"/>
                <w:color w:val="auto"/>
              </w:rPr>
            </w:pPr>
            <w:r>
              <w:rPr>
                <w:rFonts w:ascii="Arial" w:cs="Arial" w:eastAsia="Arial" w:hAnsi="Arial"/>
                <w:sz w:val="13"/>
                <w:szCs w:val="13"/>
                <w:color w:val="auto"/>
              </w:rPr>
              <w:t>2</w:t>
            </w:r>
          </w:p>
        </w:tc>
        <w:tc>
          <w:tcPr>
            <w:tcW w:w="140" w:type="dxa"/>
            <w:vAlign w:val="bottom"/>
            <w:tcBorders>
              <w:bottom w:val="single" w:sz="8" w:color="CFF0FF"/>
            </w:tcBorders>
            <w:shd w:val="clear" w:color="auto" w:fill="CFF0FF"/>
          </w:tcPr>
          <w:p>
            <w:pPr>
              <w:spacing w:after="0"/>
              <w:rPr>
                <w:sz w:val="14"/>
                <w:szCs w:val="14"/>
                <w:color w:val="auto"/>
              </w:rPr>
            </w:pPr>
          </w:p>
        </w:tc>
        <w:tc>
          <w:tcPr>
            <w:tcW w:w="80" w:type="dxa"/>
            <w:vAlign w:val="bottom"/>
            <w:tcBorders>
              <w:bottom w:val="single" w:sz="8" w:color="CFF0FF"/>
            </w:tcBorders>
            <w:shd w:val="clear" w:color="auto" w:fill="CFF0FF"/>
          </w:tcPr>
          <w:p>
            <w:pPr>
              <w:spacing w:after="0"/>
              <w:rPr>
                <w:sz w:val="14"/>
                <w:szCs w:val="14"/>
                <w:color w:val="auto"/>
              </w:rPr>
            </w:pPr>
          </w:p>
        </w:tc>
        <w:tc>
          <w:tcPr>
            <w:tcW w:w="8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gridSpan w:val="2"/>
            <w:shd w:val="clear" w:color="auto" w:fill="CFF0FF"/>
          </w:tcPr>
          <w:p>
            <w:pPr>
              <w:jc w:val="right"/>
              <w:spacing w:after="0" w:line="115" w:lineRule="exact"/>
              <w:rPr>
                <w:sz w:val="20"/>
                <w:szCs w:val="20"/>
                <w:color w:val="auto"/>
              </w:rPr>
            </w:pPr>
            <w:r>
              <w:rPr>
                <w:rFonts w:ascii="Arial" w:cs="Arial" w:eastAsia="Arial" w:hAnsi="Arial"/>
                <w:sz w:val="13"/>
                <w:szCs w:val="13"/>
                <w:color w:val="auto"/>
              </w:rPr>
              <w:t>27</w:t>
            </w:r>
          </w:p>
        </w:tc>
        <w:tc>
          <w:tcPr>
            <w:tcW w:w="20" w:type="dxa"/>
            <w:vAlign w:val="bottom"/>
            <w:tcBorders>
              <w:top w:val="single" w:sz="8" w:color="auto"/>
              <w:bottom w:val="single" w:sz="8" w:color="auto"/>
            </w:tcBorders>
            <w:shd w:val="clear" w:color="auto" w:fill="CFF0FF"/>
          </w:tcPr>
          <w:p>
            <w:pPr>
              <w:spacing w:after="0"/>
              <w:rPr>
                <w:sz w:val="14"/>
                <w:szCs w:val="14"/>
                <w:color w:val="auto"/>
              </w:rPr>
            </w:pPr>
          </w:p>
        </w:tc>
        <w:tc>
          <w:tcPr>
            <w:tcW w:w="140" w:type="dxa"/>
            <w:vAlign w:val="bottom"/>
            <w:tcBorders>
              <w:bottom w:val="single" w:sz="8" w:color="CFF0FF"/>
              <w:right w:val="single" w:sz="8" w:color="auto"/>
            </w:tcBorders>
            <w:shd w:val="clear" w:color="auto" w:fill="CFF0FF"/>
          </w:tcPr>
          <w:p>
            <w:pPr>
              <w:spacing w:after="0"/>
              <w:rPr>
                <w:sz w:val="14"/>
                <w:szCs w:val="14"/>
                <w:color w:val="auto"/>
              </w:rPr>
            </w:pPr>
          </w:p>
        </w:tc>
        <w:tc>
          <w:tcPr>
            <w:tcW w:w="40" w:type="dxa"/>
            <w:vAlign w:val="bottom"/>
            <w:tcBorders>
              <w:bottom w:val="single" w:sz="8" w:color="CFF0FF"/>
            </w:tcBorders>
            <w:shd w:val="clear" w:color="auto" w:fill="CFF0FF"/>
          </w:tcPr>
          <w:p>
            <w:pPr>
              <w:spacing w:after="0"/>
              <w:rPr>
                <w:sz w:val="14"/>
                <w:szCs w:val="14"/>
                <w:color w:val="auto"/>
              </w:rPr>
            </w:pPr>
          </w:p>
        </w:tc>
        <w:tc>
          <w:tcPr>
            <w:tcW w:w="100" w:type="dxa"/>
            <w:vAlign w:val="bottom"/>
            <w:tcBorders>
              <w:top w:val="single" w:sz="8" w:color="auto"/>
              <w:bottom w:val="single" w:sz="8" w:color="auto"/>
            </w:tcBorders>
            <w:shd w:val="clear" w:color="auto" w:fill="CFF0FF"/>
          </w:tcPr>
          <w:p>
            <w:pPr>
              <w:jc w:val="right"/>
              <w:spacing w:after="0" w:line="115"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right w:val="single" w:sz="8" w:color="CFF0FF"/>
            </w:tcBorders>
            <w:gridSpan w:val="2"/>
            <w:shd w:val="clear" w:color="auto" w:fill="CFF0FF"/>
          </w:tcPr>
          <w:p>
            <w:pPr>
              <w:jc w:val="right"/>
              <w:spacing w:after="0" w:line="115" w:lineRule="exact"/>
              <w:rPr>
                <w:sz w:val="20"/>
                <w:szCs w:val="20"/>
                <w:color w:val="auto"/>
              </w:rPr>
            </w:pPr>
            <w:r>
              <w:rPr>
                <w:rFonts w:ascii="Arial" w:cs="Arial" w:eastAsia="Arial" w:hAnsi="Arial"/>
                <w:sz w:val="13"/>
                <w:szCs w:val="13"/>
                <w:color w:val="auto"/>
              </w:rPr>
              <w:t>27</w:t>
            </w:r>
          </w:p>
        </w:tc>
        <w:tc>
          <w:tcPr>
            <w:tcW w:w="80" w:type="dxa"/>
            <w:vAlign w:val="bottom"/>
            <w:tcBorders>
              <w:bottom w:val="single" w:sz="8" w:color="CFF0FF"/>
            </w:tcBorders>
            <w:shd w:val="clear" w:color="auto" w:fill="CFF0FF"/>
          </w:tcPr>
          <w:p>
            <w:pPr>
              <w:spacing w:after="0"/>
              <w:rPr>
                <w:sz w:val="14"/>
                <w:szCs w:val="14"/>
                <w:color w:val="auto"/>
              </w:rPr>
            </w:pPr>
          </w:p>
        </w:tc>
        <w:tc>
          <w:tcPr>
            <w:tcW w:w="100" w:type="dxa"/>
            <w:vAlign w:val="bottom"/>
            <w:tcBorders>
              <w:bottom w:val="single" w:sz="8" w:color="CFF0FF"/>
            </w:tcBorders>
            <w:shd w:val="clear" w:color="auto" w:fill="CFF0FF"/>
          </w:tcPr>
          <w:p>
            <w:pPr>
              <w:spacing w:after="0"/>
              <w:rPr>
                <w:sz w:val="14"/>
                <w:szCs w:val="14"/>
                <w:color w:val="auto"/>
              </w:rPr>
            </w:pPr>
          </w:p>
        </w:tc>
        <w:tc>
          <w:tcPr>
            <w:tcW w:w="6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right w:val="single" w:sz="8" w:color="CFF0FF"/>
            </w:tcBorders>
            <w:shd w:val="clear" w:color="auto" w:fill="CFF0FF"/>
          </w:tcPr>
          <w:p>
            <w:pPr>
              <w:jc w:val="right"/>
              <w:spacing w:after="0" w:line="115" w:lineRule="exact"/>
              <w:rPr>
                <w:sz w:val="20"/>
                <w:szCs w:val="20"/>
                <w:color w:val="auto"/>
              </w:rPr>
            </w:pPr>
            <w:r>
              <w:rPr>
                <w:rFonts w:ascii="Arial" w:cs="Arial" w:eastAsia="Arial" w:hAnsi="Arial"/>
                <w:sz w:val="13"/>
                <w:szCs w:val="13"/>
                <w:color w:val="auto"/>
              </w:rPr>
              <w:t>26</w:t>
            </w:r>
          </w:p>
        </w:tc>
        <w:tc>
          <w:tcPr>
            <w:tcW w:w="200" w:type="dxa"/>
            <w:vAlign w:val="bottom"/>
            <w:tcBorders>
              <w:bottom w:val="single" w:sz="8" w:color="CFF0FF"/>
              <w:right w:val="single" w:sz="8" w:color="CFF0FF"/>
            </w:tcBorders>
            <w:shd w:val="clear" w:color="auto" w:fill="CFF0FF"/>
          </w:tcPr>
          <w:p>
            <w:pPr>
              <w:spacing w:after="0"/>
              <w:rPr>
                <w:sz w:val="14"/>
                <w:szCs w:val="14"/>
                <w:color w:val="auto"/>
              </w:rPr>
            </w:pPr>
          </w:p>
        </w:tc>
        <w:tc>
          <w:tcPr>
            <w:tcW w:w="320" w:type="dxa"/>
            <w:vAlign w:val="bottom"/>
            <w:tcBorders>
              <w:top w:val="single" w:sz="8" w:color="auto"/>
              <w:bottom w:val="single" w:sz="8" w:color="auto"/>
            </w:tcBorders>
            <w:shd w:val="clear" w:color="auto" w:fill="CFF0FF"/>
          </w:tcPr>
          <w:p>
            <w:pPr>
              <w:jc w:val="right"/>
              <w:ind w:right="235"/>
              <w:spacing w:after="0"/>
              <w:rPr>
                <w:sz w:val="20"/>
                <w:szCs w:val="20"/>
                <w:color w:val="auto"/>
              </w:rPr>
            </w:pPr>
            <w:r>
              <w:rPr>
                <w:rFonts w:ascii="Arial" w:cs="Arial" w:eastAsia="Arial" w:hAnsi="Arial"/>
                <w:sz w:val="5"/>
                <w:szCs w:val="5"/>
                <w:color w:val="auto"/>
                <w:w w:val="70"/>
              </w:rPr>
              <w:t>$</w:t>
            </w:r>
          </w:p>
        </w:tc>
        <w:tc>
          <w:tcPr>
            <w:tcW w:w="360" w:type="dxa"/>
            <w:vAlign w:val="bottom"/>
            <w:tcBorders>
              <w:top w:val="single" w:sz="8" w:color="auto"/>
              <w:bottom w:val="single" w:sz="8" w:color="auto"/>
            </w:tcBorders>
            <w:shd w:val="clear" w:color="auto" w:fill="CFF0FF"/>
          </w:tcPr>
          <w:p>
            <w:pPr>
              <w:ind w:left="200"/>
              <w:spacing w:after="0" w:line="11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F"/>
            </w:tcBorders>
            <w:shd w:val="clear" w:color="auto" w:fill="CFF0FF"/>
          </w:tcPr>
          <w:p>
            <w:pPr>
              <w:spacing w:after="0"/>
              <w:rPr>
                <w:sz w:val="14"/>
                <w:szCs w:val="14"/>
                <w:color w:val="auto"/>
              </w:rPr>
            </w:pPr>
          </w:p>
        </w:tc>
        <w:tc>
          <w:tcPr>
            <w:tcW w:w="60" w:type="dxa"/>
            <w:vAlign w:val="bottom"/>
            <w:tcBorders>
              <w:top w:val="single" w:sz="8" w:color="auto"/>
              <w:bottom w:val="single" w:sz="8" w:color="auto"/>
            </w:tcBorders>
            <w:shd w:val="clear" w:color="auto" w:fill="CFF0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left w:val="single" w:sz="8" w:color="CFF0FF"/>
              <w:bottom w:val="single" w:sz="8" w:color="auto"/>
            </w:tcBorders>
            <w:gridSpan w:val="2"/>
            <w:shd w:val="clear" w:color="auto" w:fill="CFF0FF"/>
          </w:tcPr>
          <w:p>
            <w:pPr>
              <w:jc w:val="right"/>
              <w:spacing w:after="0" w:line="115" w:lineRule="exact"/>
              <w:rPr>
                <w:sz w:val="20"/>
                <w:szCs w:val="20"/>
                <w:color w:val="auto"/>
              </w:rPr>
            </w:pPr>
            <w:r>
              <w:rPr>
                <w:rFonts w:ascii="Arial" w:cs="Arial" w:eastAsia="Arial" w:hAnsi="Arial"/>
                <w:sz w:val="13"/>
                <w:szCs w:val="13"/>
                <w:color w:val="auto"/>
              </w:rPr>
              <w:t>(26)</w:t>
            </w:r>
          </w:p>
        </w:tc>
        <w:tc>
          <w:tcPr>
            <w:tcW w:w="100" w:type="dxa"/>
            <w:vAlign w:val="bottom"/>
            <w:tcBorders>
              <w:bottom w:val="single" w:sz="8" w:color="CFF0FF"/>
            </w:tcBorders>
            <w:shd w:val="clear" w:color="auto" w:fill="CFF0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00" w:type="dxa"/>
            <w:vAlign w:val="bottom"/>
            <w:gridSpan w:val="2"/>
          </w:tcPr>
          <w:p>
            <w:pPr>
              <w:spacing w:after="0"/>
              <w:rPr>
                <w:sz w:val="20"/>
                <w:szCs w:val="20"/>
                <w:color w:val="auto"/>
              </w:rPr>
            </w:pPr>
            <w:r>
              <w:rPr>
                <w:rFonts w:ascii="Arial" w:cs="Arial" w:eastAsia="Arial" w:hAnsi="Arial"/>
                <w:sz w:val="6"/>
                <w:szCs w:val="6"/>
                <w:color w:val="auto"/>
                <w:w w:val="81"/>
              </w:rPr>
              <w:t>(1)</w:t>
            </w:r>
          </w:p>
        </w:tc>
        <w:tc>
          <w:tcPr>
            <w:tcW w:w="2640" w:type="dxa"/>
            <w:vAlign w:val="bottom"/>
            <w:gridSpan w:val="9"/>
            <w:vMerge w:val="restart"/>
          </w:tcPr>
          <w:p>
            <w:pPr>
              <w:ind w:left="260"/>
              <w:spacing w:after="0"/>
              <w:rPr>
                <w:sz w:val="20"/>
                <w:szCs w:val="20"/>
                <w:color w:val="auto"/>
              </w:rPr>
            </w:pPr>
            <w:r>
              <w:rPr>
                <w:rFonts w:ascii="Arial" w:cs="Arial" w:eastAsia="Arial" w:hAnsi="Arial"/>
                <w:sz w:val="14"/>
                <w:szCs w:val="14"/>
                <w:color w:val="auto"/>
              </w:rPr>
              <w:t>Core Earnings adjustments to GAAP:</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gridSpan w:val="9"/>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gridSpan w:val="6"/>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20" w:type="dxa"/>
            <w:vAlign w:val="bottom"/>
            <w:shd w:val="clear" w:color="auto" w:fill="D9D9D9"/>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2160" w:type="dxa"/>
            <w:vAlign w:val="bottom"/>
            <w:gridSpan w:val="8"/>
            <w:shd w:val="clear" w:color="auto" w:fill="D9D9D9"/>
          </w:tcPr>
          <w:p>
            <w:pPr>
              <w:jc w:val="center"/>
              <w:ind w:left="98"/>
              <w:spacing w:after="0" w:line="122" w:lineRule="exact"/>
              <w:rPr>
                <w:sz w:val="20"/>
                <w:szCs w:val="20"/>
                <w:color w:val="auto"/>
              </w:rPr>
            </w:pPr>
            <w:r>
              <w:rPr>
                <w:rFonts w:ascii="Arial" w:cs="Arial" w:eastAsia="Arial" w:hAnsi="Arial"/>
                <w:sz w:val="11"/>
                <w:szCs w:val="11"/>
                <w:b w:val="1"/>
                <w:bCs w:val="1"/>
                <w:color w:val="auto"/>
                <w:w w:val="98"/>
              </w:rPr>
              <w:t>QUARTER ENDED JUNE 30, 2026</w:t>
            </w:r>
          </w:p>
        </w:tc>
        <w:tc>
          <w:tcPr>
            <w:tcW w:w="36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00" w:type="dxa"/>
            <w:vAlign w:val="bottom"/>
            <w:tcBorders>
              <w:left w:val="single" w:sz="8" w:color="D9D9D9"/>
            </w:tcBorders>
            <w:shd w:val="clear" w:color="auto" w:fill="D9D9D9"/>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jc w:val="center"/>
              <w:ind w:right="38"/>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6"/>
          </w:tcPr>
          <w:p>
            <w:pPr>
              <w:jc w:val="center"/>
              <w:ind w:right="297"/>
              <w:spacing w:after="0" w:line="122" w:lineRule="exact"/>
              <w:rPr>
                <w:sz w:val="20"/>
                <w:szCs w:val="20"/>
                <w:color w:val="auto"/>
              </w:rPr>
            </w:pPr>
            <w:r>
              <w:rPr>
                <w:rFonts w:ascii="Arial" w:cs="Arial" w:eastAsia="Arial" w:hAnsi="Arial"/>
                <w:sz w:val="11"/>
                <w:szCs w:val="11"/>
                <w:b w:val="1"/>
                <w:bCs w:val="1"/>
                <w:color w:val="auto"/>
                <w:w w:val="97"/>
              </w:rPr>
              <w:t>Net Impact of</w:t>
            </w:r>
          </w:p>
        </w:tc>
        <w:tc>
          <w:tcPr>
            <w:tcW w:w="80" w:type="dxa"/>
            <w:vAlign w:val="bottom"/>
          </w:tcPr>
          <w:p>
            <w:pPr>
              <w:spacing w:after="0"/>
              <w:rPr>
                <w:sz w:val="10"/>
                <w:szCs w:val="10"/>
                <w:color w:val="auto"/>
              </w:rPr>
            </w:pPr>
          </w:p>
        </w:tc>
        <w:tc>
          <w:tcPr>
            <w:tcW w:w="820" w:type="dxa"/>
            <w:vAlign w:val="bottom"/>
            <w:gridSpan w:val="3"/>
          </w:tcPr>
          <w:p>
            <w:pPr>
              <w:jc w:val="center"/>
              <w:ind w:right="38"/>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5"/>
          </w:tcPr>
          <w:p>
            <w:pPr>
              <w:jc w:val="center"/>
              <w:ind w:right="317"/>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38"/>
              <w:spacing w:after="0" w:line="122" w:lineRule="exact"/>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5"/>
          </w:tcPr>
          <w:p>
            <w:pPr>
              <w:jc w:val="center"/>
              <w:ind w:right="317"/>
              <w:spacing w:after="0"/>
              <w:rPr>
                <w:sz w:val="20"/>
                <w:szCs w:val="20"/>
                <w:color w:val="auto"/>
              </w:rPr>
            </w:pPr>
            <w:r>
              <w:rPr>
                <w:rFonts w:ascii="Arial" w:cs="Arial" w:eastAsia="Arial" w:hAnsi="Arial"/>
                <w:sz w:val="11"/>
                <w:szCs w:val="11"/>
                <w:b w:val="1"/>
                <w:bCs w:val="1"/>
                <w:color w:val="auto"/>
                <w:w w:val="99"/>
              </w:rPr>
              <w:t>Accounting</w:t>
            </w:r>
          </w:p>
        </w:tc>
        <w:tc>
          <w:tcPr>
            <w:tcW w:w="80" w:type="dxa"/>
            <w:vAlign w:val="bottom"/>
          </w:tcPr>
          <w:p>
            <w:pPr>
              <w:spacing w:after="0"/>
              <w:rPr>
                <w:sz w:val="11"/>
                <w:szCs w:val="11"/>
                <w:color w:val="auto"/>
              </w:rPr>
            </w:pPr>
          </w:p>
        </w:tc>
        <w:tc>
          <w:tcPr>
            <w:tcW w:w="820" w:type="dxa"/>
            <w:vAlign w:val="bottom"/>
            <w:gridSpan w:val="3"/>
          </w:tcPr>
          <w:p>
            <w:pPr>
              <w:jc w:val="center"/>
              <w:ind w:right="38"/>
              <w:spacing w:after="0"/>
              <w:rPr>
                <w:sz w:val="20"/>
                <w:szCs w:val="20"/>
                <w:color w:val="auto"/>
              </w:rPr>
            </w:pPr>
            <w:r>
              <w:rPr>
                <w:rFonts w:ascii="Arial" w:cs="Arial" w:eastAsia="Arial" w:hAnsi="Arial"/>
                <w:sz w:val="11"/>
                <w:szCs w:val="11"/>
                <w:b w:val="1"/>
                <w:bCs w:val="1"/>
                <w:color w:val="auto"/>
                <w:w w:val="96"/>
              </w:rPr>
              <w:t>Intangibles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gridSpan w:val="12"/>
            <w:shd w:val="clear" w:color="auto" w:fill="CFF0FC"/>
          </w:tcPr>
          <w:p>
            <w:pPr>
              <w:spacing w:after="0" w:line="129" w:lineRule="exact"/>
              <w:rPr>
                <w:sz w:val="20"/>
                <w:szCs w:val="20"/>
                <w:color w:val="auto"/>
              </w:rPr>
            </w:pPr>
            <w:r>
              <w:rPr>
                <w:rFonts w:ascii="Arial" w:cs="Arial" w:eastAsia="Arial" w:hAnsi="Arial"/>
                <w:sz w:val="13"/>
                <w:szCs w:val="13"/>
                <w:color w:val="auto"/>
                <w:w w:val="96"/>
              </w:rPr>
              <w:t>Net interest income (loss) after provisions for loan losses</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2"/>
              <w:spacing w:after="0" w:line="129" w:lineRule="exact"/>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97"/>
              <w:spacing w:after="0" w:line="129" w:lineRule="exact"/>
              <w:rPr>
                <w:sz w:val="20"/>
                <w:szCs w:val="20"/>
                <w:color w:val="auto"/>
              </w:rPr>
            </w:pPr>
            <w:r>
              <w:rPr>
                <w:rFonts w:ascii="Arial" w:cs="Arial" w:eastAsia="Arial" w:hAnsi="Arial"/>
                <w:sz w:val="13"/>
                <w:szCs w:val="13"/>
                <w:color w:val="auto"/>
              </w:rPr>
              <w:t>(2)</w:t>
            </w:r>
          </w:p>
        </w:tc>
        <w:tc>
          <w:tcPr>
            <w:tcW w:w="80" w:type="dxa"/>
            <w:vAlign w:val="bottom"/>
            <w:shd w:val="clear" w:color="auto" w:fill="CFF0FC"/>
          </w:tcPr>
          <w:p>
            <w:pPr>
              <w:jc w:val="right"/>
              <w:ind w:right="14"/>
              <w:spacing w:after="0"/>
              <w:rPr>
                <w:sz w:val="20"/>
                <w:szCs w:val="20"/>
                <w:color w:val="auto"/>
              </w:rPr>
            </w:pPr>
            <w:r>
              <w:rPr>
                <w:rFonts w:ascii="Arial" w:cs="Arial" w:eastAsia="Arial" w:hAnsi="Arial"/>
                <w:sz w:val="5"/>
                <w:szCs w:val="5"/>
                <w:color w:val="auto"/>
                <w:w w:val="70"/>
              </w:rPr>
              <w:t>$</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215"/>
              <w:spacing w:after="0" w:line="129"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(2)</w:t>
            </w:r>
          </w:p>
        </w:tc>
        <w:tc>
          <w:tcPr>
            <w:tcW w:w="100" w:type="dxa"/>
            <w:vAlign w:val="bottom"/>
            <w:tcBorders>
              <w:left w:val="single" w:sz="8" w:color="CFF0FC"/>
            </w:tcBorders>
            <w:shd w:val="clear" w:color="auto" w:fill="CFF0FC"/>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line="135" w:lineRule="exact"/>
              <w:rPr>
                <w:sz w:val="20"/>
                <w:szCs w:val="20"/>
                <w:color w:val="auto"/>
              </w:rPr>
            </w:pPr>
            <w:r>
              <w:rPr>
                <w:rFonts w:ascii="Arial" w:cs="Arial" w:eastAsia="Arial" w:hAnsi="Arial"/>
                <w:sz w:val="13"/>
                <w:szCs w:val="13"/>
                <w:color w:val="auto"/>
              </w:rPr>
              <w:t>Total other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160" w:type="dxa"/>
            <w:vAlign w:val="bottom"/>
            <w:tcBorders>
              <w:bottom w:val="single" w:sz="8" w:color="CFF0FC"/>
            </w:tcBorders>
            <w:gridSpan w:val="16"/>
            <w:shd w:val="clear" w:color="auto" w:fill="CFF0FC"/>
          </w:tcPr>
          <w:p>
            <w:pPr>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auto"/>
              <w:right w:val="single" w:sz="8" w:color="CFF0FC"/>
            </w:tcBorders>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right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FF0FC"/>
              <w:right w:val="single" w:sz="8" w:color="CFF0FC"/>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left w:val="single" w:sz="8" w:color="CFF0FC"/>
              <w:bottom w:val="single" w:sz="8" w:color="CFF0FC"/>
            </w:tcBorders>
            <w:shd w:val="clear" w:color="auto" w:fill="CFF0FC"/>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80" w:type="dxa"/>
            <w:vAlign w:val="bottom"/>
            <w:gridSpan w:val="10"/>
          </w:tcPr>
          <w:p>
            <w:pPr>
              <w:spacing w:after="0" w:line="129" w:lineRule="exact"/>
              <w:rPr>
                <w:sz w:val="20"/>
                <w:szCs w:val="20"/>
                <w:color w:val="auto"/>
              </w:rPr>
            </w:pPr>
            <w:r>
              <w:rPr>
                <w:rFonts w:ascii="Arial" w:cs="Arial" w:eastAsia="Arial" w:hAnsi="Arial"/>
                <w:sz w:val="13"/>
                <w:szCs w:val="13"/>
                <w:color w:val="auto"/>
                <w:w w:val="96"/>
              </w:rPr>
              <w:t>Total Core Earnings adjustments to GAAP</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97"/>
              <w:spacing w:after="0" w:line="115" w:lineRule="exact"/>
              <w:rPr>
                <w:sz w:val="20"/>
                <w:szCs w:val="20"/>
                <w:color w:val="auto"/>
              </w:rPr>
            </w:pPr>
            <w:r>
              <w:rPr>
                <w:rFonts w:ascii="Arial" w:cs="Arial" w:eastAsia="Arial" w:hAnsi="Arial"/>
                <w:sz w:val="13"/>
                <w:szCs w:val="13"/>
                <w:color w:val="auto"/>
              </w:rPr>
              <w:t>(3)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40" w:type="dxa"/>
            <w:vAlign w:val="bottom"/>
            <w:gridSpan w:val="8"/>
            <w:shd w:val="clear" w:color="auto" w:fill="CFF0FC"/>
          </w:tcPr>
          <w:p>
            <w:pPr>
              <w:spacing w:after="0" w:line="116" w:lineRule="exact"/>
              <w:rPr>
                <w:sz w:val="20"/>
                <w:szCs w:val="20"/>
                <w:color w:val="auto"/>
              </w:rPr>
            </w:pPr>
            <w:r>
              <w:rPr>
                <w:rFonts w:ascii="Arial" w:cs="Arial" w:eastAsia="Arial" w:hAnsi="Arial"/>
                <w:sz w:val="13"/>
                <w:szCs w:val="13"/>
                <w:color w:val="auto"/>
              </w:rPr>
              <w:t>Income tax expense (benefit)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spacing w:after="0" w:line="116" w:lineRule="exact"/>
              <w:rPr>
                <w:sz w:val="20"/>
                <w:szCs w:val="20"/>
                <w:color w:val="auto"/>
              </w:rPr>
            </w:pPr>
            <w:r>
              <w:rPr>
                <w:rFonts w:ascii="Arial" w:cs="Arial" w:eastAsia="Arial" w:hAnsi="Arial"/>
                <w:sz w:val="13"/>
                <w:szCs w:val="13"/>
                <w:color w:val="auto"/>
              </w:rPr>
              <w:t>(5)</w:t>
            </w:r>
          </w:p>
        </w:tc>
        <w:tc>
          <w:tcPr>
            <w:tcW w:w="100" w:type="dxa"/>
            <w:vAlign w:val="bottom"/>
            <w:tcBorders>
              <w:left w:val="single" w:sz="8" w:color="CFF0FC"/>
            </w:tcBorders>
            <w:shd w:val="clear" w:color="auto" w:fill="CFF0FC"/>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6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gridSpan w:val="2"/>
          </w:tcPr>
          <w:p>
            <w:pPr>
              <w:jc w:val="right"/>
              <w:ind w:right="215"/>
              <w:spacing w:after="0" w:line="129"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2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-4508500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-4508500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-4508500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-4508500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-4508500</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-4508500</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-4508500</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-4508500</wp:posOffset>
            </wp:positionV>
            <wp:extent cx="596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-4508500</wp:posOffset>
            </wp:positionV>
            <wp:extent cx="603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-4328160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-4328160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-4328160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-4328160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-4328160</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-4328160</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-4328160</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-4328160</wp:posOffset>
            </wp:positionV>
            <wp:extent cx="596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-4328160</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-3985260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-3985260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-3985260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-3985260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-3985260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-3985260</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-3985260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-3985260</wp:posOffset>
            </wp:positionV>
            <wp:extent cx="596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-3985260</wp:posOffset>
            </wp:positionV>
            <wp:extent cx="603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-2005330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-2005330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-2005330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-2005330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-2005330</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-2005330</wp:posOffset>
            </wp:positionV>
            <wp:extent cx="60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-2005330</wp:posOffset>
            </wp:positionV>
            <wp:extent cx="603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-2005330</wp:posOffset>
            </wp:positionV>
            <wp:extent cx="596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-2005330</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-1388110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-1370965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-1388110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-1370965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-1388110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-1370965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-1388110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-1370965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-1388110</wp:posOffset>
            </wp:positionV>
            <wp:extent cx="603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-1370965</wp:posOffset>
            </wp:positionV>
            <wp:extent cx="603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-1388110</wp:posOffset>
            </wp:positionV>
            <wp:extent cx="603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-1370965</wp:posOffset>
            </wp:positionV>
            <wp:extent cx="603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-1388110</wp:posOffset>
            </wp:positionV>
            <wp:extent cx="603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-1370965</wp:posOffset>
            </wp:positionV>
            <wp:extent cx="603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-1388110</wp:posOffset>
            </wp:positionV>
            <wp:extent cx="596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-1370965</wp:posOffset>
            </wp:positionV>
            <wp:extent cx="596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-1388110</wp:posOffset>
            </wp:positionV>
            <wp:extent cx="6032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-1370965</wp:posOffset>
            </wp:positionV>
            <wp:extent cx="603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-325120</wp:posOffset>
            </wp:positionV>
            <wp:extent cx="514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-325120</wp:posOffset>
            </wp:positionV>
            <wp:extent cx="514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-325120</wp:posOffset>
            </wp:positionV>
            <wp:extent cx="514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-119380</wp:posOffset>
            </wp:positionV>
            <wp:extent cx="514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4" w:lineRule="exact"/>
        <w:rPr>
          <w:sz w:val="20"/>
          <w:szCs w:val="20"/>
          <w:color w:val="auto"/>
        </w:rPr>
      </w:pPr>
    </w:p>
    <w:p>
      <w:pPr>
        <w:ind w:left="265" w:hanging="265"/>
        <w:spacing w:after="0"/>
        <w:tabs>
          <w:tab w:leader="none" w:pos="265" w:val="left"/>
        </w:tabs>
        <w:numPr>
          <w:ilvl w:val="0"/>
          <w:numId w:val="21"/>
        </w:numPr>
        <w:rPr>
          <w:rFonts w:ascii="Arial" w:cs="Arial" w:eastAsia="Arial" w:hAnsi="Arial"/>
          <w:sz w:val="8"/>
          <w:szCs w:val="8"/>
          <w:color w:val="auto"/>
        </w:rPr>
      </w:pPr>
      <w:r>
        <w:rPr>
          <w:rFonts w:ascii="Arial" w:cs="Arial" w:eastAsia="Arial" w:hAnsi="Arial"/>
          <w:sz w:val="14"/>
          <w:szCs w:val="14"/>
          <w:color w:val="auto"/>
        </w:rPr>
        <w:t>Income taxes are based on a percentage of net income before tax for the individual reportable segment.</w:t>
      </w:r>
    </w:p>
    <w:p>
      <w:pPr>
        <w:spacing w:after="0" w:line="12" w:lineRule="exact"/>
        <w:rPr>
          <w:sz w:val="20"/>
          <w:szCs w:val="20"/>
          <w:color w:val="auto"/>
        </w:rPr>
      </w:pPr>
    </w:p>
    <w:p>
      <w:pPr>
        <w:ind w:left="9925"/>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469265</wp:posOffset>
            </wp:positionV>
            <wp:extent cx="703770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999" w:right="1099" w:bottom="1440" w:gutter="0" w:footer="0" w:header="0"/>
        </w:sectPr>
      </w:pPr>
    </w:p>
    <w:bookmarkStart w:id="24" w:name="page25"/>
    <w:bookmarkEnd w:id="24"/>
    <w:tbl>
      <w:tblPr>
        <w:tblLayout w:type="fixed"/>
        <w:tblInd w:w="5"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2280" w:type="dxa"/>
            <w:vAlign w:val="bottom"/>
            <w:gridSpan w:val="11"/>
            <w:shd w:val="clear" w:color="auto" w:fill="D9D9D9"/>
          </w:tcPr>
          <w:p>
            <w:pPr>
              <w:ind w:left="120"/>
              <w:spacing w:after="0"/>
              <w:rPr>
                <w:sz w:val="20"/>
                <w:szCs w:val="20"/>
                <w:color w:val="auto"/>
              </w:rPr>
            </w:pPr>
            <w:r>
              <w:rPr>
                <w:rFonts w:ascii="Arial" w:cs="Arial" w:eastAsia="Arial" w:hAnsi="Arial"/>
                <w:sz w:val="11"/>
                <w:szCs w:val="11"/>
                <w:b w:val="1"/>
                <w:bCs w:val="1"/>
                <w:color w:val="auto"/>
              </w:rPr>
              <w:t>QUARTER ENDED SEPTEMBER 30, 2025</w:t>
            </w:r>
          </w:p>
        </w:tc>
        <w:tc>
          <w:tcPr>
            <w:tcW w:w="260" w:type="dxa"/>
            <w:vAlign w:val="bottom"/>
            <w:shd w:val="clear" w:color="auto" w:fill="D9D9D9"/>
          </w:tcPr>
          <w:p>
            <w:pPr>
              <w:spacing w:after="0"/>
              <w:rPr>
                <w:sz w:val="10"/>
                <w:szCs w:val="10"/>
                <w:color w:val="auto"/>
              </w:rPr>
            </w:pPr>
          </w:p>
        </w:tc>
        <w:tc>
          <w:tcPr>
            <w:tcW w:w="100" w:type="dxa"/>
            <w:vAlign w:val="bottom"/>
            <w:tcBorders>
              <w:left w:val="single" w:sz="8" w:color="D9D9D9"/>
            </w:tcBorders>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60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300" w:type="dxa"/>
            <w:vAlign w:val="bottom"/>
            <w:shd w:val="clear" w:color="auto" w:fill="D9D9D9"/>
          </w:tcPr>
          <w:p>
            <w:pPr>
              <w:spacing w:after="0"/>
              <w:rPr>
                <w:sz w:val="10"/>
                <w:szCs w:val="10"/>
                <w:color w:val="auto"/>
              </w:rPr>
            </w:pPr>
          </w:p>
        </w:tc>
        <w:tc>
          <w:tcPr>
            <w:tcW w:w="26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80"/>
              <w:spacing w:after="0" w:line="122" w:lineRule="exact"/>
              <w:rPr>
                <w:sz w:val="20"/>
                <w:szCs w:val="20"/>
                <w:color w:val="auto"/>
              </w:rPr>
            </w:pPr>
            <w:r>
              <w:rPr>
                <w:rFonts w:ascii="Arial" w:cs="Arial" w:eastAsia="Arial" w:hAnsi="Arial"/>
                <w:sz w:val="11"/>
                <w:szCs w:val="11"/>
                <w:b w:val="1"/>
                <w:bCs w:val="1"/>
                <w:color w:val="auto"/>
              </w:rPr>
              <w:t>Adjustments</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right w:val="single" w:sz="8" w:color="auto"/>
            </w:tcBorders>
            <w:gridSpan w:val="3"/>
            <w:vMerge w:val="restart"/>
          </w:tcPr>
          <w:p>
            <w:pPr>
              <w:jc w:val="center"/>
              <w:ind w:right="240"/>
              <w:spacing w:after="0"/>
              <w:rPr>
                <w:sz w:val="20"/>
                <w:szCs w:val="20"/>
                <w:color w:val="auto"/>
              </w:rPr>
            </w:pPr>
            <w:r>
              <w:rPr>
                <w:rFonts w:ascii="Arial" w:cs="Arial" w:eastAsia="Arial" w:hAnsi="Arial"/>
                <w:sz w:val="11"/>
                <w:szCs w:val="11"/>
                <w:b w:val="1"/>
                <w:bCs w:val="1"/>
                <w:color w:val="auto"/>
                <w:w w:val="98"/>
              </w:rPr>
              <w:t>Total</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tcPr>
          <w:p>
            <w:pPr>
              <w:jc w:val="right"/>
              <w:ind w:right="20"/>
              <w:spacing w:after="0" w:line="122" w:lineRule="exact"/>
              <w:rPr>
                <w:sz w:val="20"/>
                <w:szCs w:val="20"/>
                <w:color w:val="auto"/>
              </w:rPr>
            </w:pPr>
            <w:r>
              <w:rPr>
                <w:rFonts w:ascii="Arial" w:cs="Arial" w:eastAsia="Arial" w:hAnsi="Arial"/>
                <w:sz w:val="11"/>
                <w:szCs w:val="11"/>
                <w:b w:val="1"/>
                <w:bCs w:val="1"/>
                <w:color w:val="auto"/>
              </w:rPr>
              <w:t>Reportable Segments</w:t>
            </w: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right w:val="single" w:sz="8" w:color="auto"/>
            </w:tcBorders>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6"/>
              </w:rPr>
              <w:t>Federal</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right"/>
              <w:ind w:right="30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w w:val="95"/>
              </w:rPr>
              <w:t>Reclassi-</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260"/>
              <w:spacing w:after="0" w:line="108" w:lineRule="exact"/>
              <w:rPr>
                <w:sz w:val="20"/>
                <w:szCs w:val="20"/>
                <w:color w:val="auto"/>
              </w:rPr>
            </w:pPr>
            <w:r>
              <w:rPr>
                <w:rFonts w:ascii="Arial" w:cs="Arial" w:eastAsia="Arial" w:hAnsi="Arial"/>
                <w:sz w:val="11"/>
                <w:szCs w:val="11"/>
                <w:b w:val="1"/>
                <w:bCs w:val="1"/>
                <w:color w:val="auto"/>
              </w:rPr>
              <w:t>Additions/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jc w:val="right"/>
              <w:ind w:right="460"/>
              <w:spacing w:after="0" w:line="108" w:lineRule="exact"/>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right w:val="single" w:sz="8" w:color="auto"/>
            </w:tcBorders>
            <w:gridSpan w:val="3"/>
          </w:tcPr>
          <w:p>
            <w:pPr>
              <w:jc w:val="center"/>
              <w:ind w:right="240"/>
              <w:spacing w:after="0" w:line="108" w:lineRule="exact"/>
              <w:rPr>
                <w:sz w:val="20"/>
                <w:szCs w:val="20"/>
                <w:color w:val="auto"/>
              </w:rPr>
            </w:pPr>
            <w:r>
              <w:rPr>
                <w:rFonts w:ascii="Arial" w:cs="Arial" w:eastAsia="Arial" w:hAnsi="Arial"/>
                <w:sz w:val="11"/>
                <w:szCs w:val="11"/>
                <w:b w:val="1"/>
                <w:bCs w:val="1"/>
                <w:color w:val="auto"/>
              </w:rPr>
              <w:t>Core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4"/>
          </w:tcPr>
          <w:p>
            <w:pPr>
              <w:jc w:val="right"/>
              <w:ind w:right="148"/>
              <w:spacing w:after="0" w:line="108" w:lineRule="exact"/>
              <w:rPr>
                <w:sz w:val="20"/>
                <w:szCs w:val="20"/>
                <w:color w:val="auto"/>
              </w:rPr>
            </w:pPr>
            <w:r>
              <w:rPr>
                <w:rFonts w:ascii="Arial" w:cs="Arial" w:eastAsia="Arial" w:hAnsi="Arial"/>
                <w:sz w:val="11"/>
                <w:szCs w:val="11"/>
                <w:b w:val="1"/>
                <w:bCs w:val="1"/>
                <w:color w:val="auto"/>
                <w:w w:val="95"/>
              </w:rPr>
              <w:t>Consumer</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rPr>
              <w:t>Education</w:t>
            </w:r>
          </w:p>
        </w:tc>
        <w:tc>
          <w:tcPr>
            <w:tcW w:w="180" w:type="dxa"/>
            <w:vAlign w:val="bottom"/>
          </w:tcPr>
          <w:p>
            <w:pPr>
              <w:spacing w:after="0"/>
              <w:rPr>
                <w:sz w:val="9"/>
                <w:szCs w:val="9"/>
                <w:color w:val="auto"/>
              </w:rPr>
            </w:pPr>
          </w:p>
        </w:tc>
        <w:tc>
          <w:tcPr>
            <w:tcW w:w="760" w:type="dxa"/>
            <w:vAlign w:val="bottom"/>
            <w:gridSpan w:val="4"/>
          </w:tcPr>
          <w:p>
            <w:pPr>
              <w:jc w:val="center"/>
              <w:ind w:right="160"/>
              <w:spacing w:after="0" w:line="108" w:lineRule="exact"/>
              <w:rPr>
                <w:sz w:val="20"/>
                <w:szCs w:val="20"/>
                <w:color w:val="auto"/>
              </w:rPr>
            </w:pPr>
            <w:r>
              <w:rPr>
                <w:rFonts w:ascii="Arial" w:cs="Arial" w:eastAsia="Arial" w:hAnsi="Arial"/>
                <w:sz w:val="11"/>
                <w:szCs w:val="11"/>
                <w:b w:val="1"/>
                <w:bCs w:val="1"/>
                <w:color w:val="auto"/>
                <w:w w:val="98"/>
              </w:rPr>
              <w:t>Business</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20" w:type="dxa"/>
            <w:vAlign w:val="bottom"/>
            <w:gridSpan w:val="6"/>
          </w:tcPr>
          <w:p>
            <w:pPr>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GAAP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fications</w:t>
            </w:r>
          </w:p>
        </w:tc>
        <w:tc>
          <w:tcPr>
            <w:tcW w:w="80" w:type="dxa"/>
            <w:vAlign w:val="bottom"/>
          </w:tcPr>
          <w:p>
            <w:pPr>
              <w:spacing w:after="0"/>
              <w:rPr>
                <w:sz w:val="12"/>
                <w:szCs w:val="12"/>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9"/>
              </w:rPr>
              <w:t>(Subtractions)</w:t>
            </w:r>
          </w:p>
        </w:tc>
        <w:tc>
          <w:tcPr>
            <w:tcW w:w="8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1"/>
                <w:szCs w:val="11"/>
                <w:b w:val="1"/>
                <w:bCs w:val="1"/>
                <w:color w:val="auto"/>
              </w:rPr>
              <w:t xml:space="preserve">Adjustments </w:t>
            </w:r>
            <w:r>
              <w:rPr>
                <w:rFonts w:ascii="Arial" w:cs="Arial" w:eastAsia="Arial" w:hAnsi="Arial"/>
                <w:sz w:val="14"/>
                <w:szCs w:val="14"/>
                <w:b w:val="1"/>
                <w:bCs w:val="1"/>
                <w:color w:val="auto"/>
                <w:vertAlign w:val="superscript"/>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w w:val="97"/>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188"/>
              <w:spacing w:after="0"/>
              <w:rPr>
                <w:sz w:val="20"/>
                <w:szCs w:val="20"/>
                <w:color w:val="auto"/>
              </w:rPr>
            </w:pPr>
            <w:r>
              <w:rPr>
                <w:rFonts w:ascii="Arial" w:cs="Arial" w:eastAsia="Arial" w:hAnsi="Arial"/>
                <w:sz w:val="11"/>
                <w:szCs w:val="11"/>
                <w:b w:val="1"/>
                <w:bCs w:val="1"/>
                <w:color w:val="auto"/>
              </w:rPr>
              <w:t>Lending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Loans</w:t>
            </w:r>
          </w:p>
        </w:tc>
        <w:tc>
          <w:tcPr>
            <w:tcW w:w="180" w:type="dxa"/>
            <w:vAlign w:val="bottom"/>
          </w:tcPr>
          <w:p>
            <w:pPr>
              <w:spacing w:after="0"/>
              <w:rPr>
                <w:sz w:val="12"/>
                <w:szCs w:val="12"/>
                <w:color w:val="auto"/>
              </w:rPr>
            </w:pPr>
          </w:p>
        </w:tc>
        <w:tc>
          <w:tcPr>
            <w:tcW w:w="76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97"/>
              </w:rPr>
              <w:t>Processing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2"/>
          </w:tcPr>
          <w:p>
            <w:pPr>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top w:val="single" w:sz="8" w:color="auto"/>
              <w:right w:val="single" w:sz="8" w:color="CFF0FC"/>
            </w:tcBorders>
          </w:tcPr>
          <w:p>
            <w:pPr>
              <w:spacing w:after="0"/>
              <w:rPr>
                <w:sz w:val="11"/>
                <w:szCs w:val="11"/>
                <w:color w:val="auto"/>
              </w:rPr>
            </w:pPr>
          </w:p>
        </w:tc>
        <w:tc>
          <w:tcPr>
            <w:tcW w:w="9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w w:val="95"/>
              </w:rPr>
              <w:t>Interest income:</w:t>
            </w:r>
          </w:p>
        </w:tc>
        <w:tc>
          <w:tcPr>
            <w:tcW w:w="740" w:type="dxa"/>
            <w:vAlign w:val="bottom"/>
            <w:gridSpan w:val="3"/>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Education loans</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276</w:t>
            </w:r>
          </w:p>
        </w:tc>
        <w:tc>
          <w:tcPr>
            <w:tcW w:w="100" w:type="dxa"/>
            <w:vAlign w:val="bottom"/>
          </w:tcPr>
          <w:p>
            <w:pPr>
              <w:spacing w:after="0"/>
              <w:rPr>
                <w:sz w:val="11"/>
                <w:szCs w:val="11"/>
                <w:color w:val="auto"/>
              </w:rPr>
            </w:pP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484</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tcBorders>
              <w:bottom w:val="single" w:sz="8" w:color="CFF0FC"/>
            </w:tcBorders>
            <w:gridSpan w:val="5"/>
            <w:shd w:val="clear" w:color="auto" w:fill="CFF0FC"/>
          </w:tcPr>
          <w:p>
            <w:pPr>
              <w:spacing w:after="0" w:line="135" w:lineRule="exact"/>
              <w:rPr>
                <w:sz w:val="20"/>
                <w:szCs w:val="20"/>
                <w:color w:val="auto"/>
              </w:rPr>
            </w:pPr>
            <w:r>
              <w:rPr>
                <w:rFonts w:ascii="Arial" w:cs="Arial" w:eastAsia="Arial" w:hAnsi="Arial"/>
                <w:sz w:val="13"/>
                <w:szCs w:val="13"/>
                <w:color w:val="auto"/>
              </w:rPr>
              <w:t>Cash and investments</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21</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tcBorders>
              <w:left w:val="single" w:sz="8" w:color="CFF0FC"/>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10</w:t>
            </w:r>
          </w:p>
        </w:tc>
        <w:tc>
          <w:tcPr>
            <w:tcW w:w="1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spacing w:after="0"/>
              <w:rPr>
                <w:sz w:val="11"/>
                <w:szCs w:val="11"/>
                <w:color w:val="auto"/>
              </w:rPr>
            </w:pPr>
          </w:p>
        </w:tc>
        <w:tc>
          <w:tcPr>
            <w:tcW w:w="2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29" w:lineRule="exact"/>
              <w:rPr>
                <w:sz w:val="20"/>
                <w:szCs w:val="20"/>
                <w:color w:val="auto"/>
              </w:rPr>
            </w:pPr>
            <w:r>
              <w:rPr>
                <w:rFonts w:ascii="Arial" w:cs="Arial" w:eastAsia="Arial" w:hAnsi="Arial"/>
                <w:sz w:val="13"/>
                <w:szCs w:val="13"/>
                <w:color w:val="auto"/>
              </w:rPr>
              <w:t>Total interest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781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29" w:lineRule="exact"/>
              <w:rPr>
                <w:sz w:val="20"/>
                <w:szCs w:val="20"/>
                <w:color w:val="auto"/>
              </w:rPr>
            </w:pPr>
            <w:r>
              <w:rPr>
                <w:rFonts w:ascii="Arial" w:cs="Arial" w:eastAsia="Arial" w:hAnsi="Arial"/>
                <w:sz w:val="13"/>
                <w:szCs w:val="13"/>
                <w:color w:val="auto"/>
              </w:rPr>
              <w:t>281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494</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Total interest expense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639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183</w:t>
            </w:r>
          </w:p>
        </w:tc>
        <w:tc>
          <w:tcPr>
            <w:tcW w:w="10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429</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gridSpan w:val="2"/>
            <w:shd w:val="clear" w:color="auto" w:fill="CFF0FC"/>
          </w:tcPr>
          <w:p>
            <w:pPr>
              <w:ind w:lef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CFF0FC"/>
              <w:right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color w:val="auto"/>
              </w:rPr>
              <w:t>(loss)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65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Less: provisions for loan</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12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13</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gridSpan w:val="2"/>
            <w:vMerge w:val="restart"/>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640" w:type="dxa"/>
            <w:vAlign w:val="bottom"/>
            <w:gridSpan w:val="5"/>
            <w:shd w:val="clear" w:color="auto" w:fill="CFF0FC"/>
          </w:tcPr>
          <w:p>
            <w:pPr>
              <w:spacing w:after="0" w:line="139" w:lineRule="exact"/>
              <w:rPr>
                <w:sz w:val="20"/>
                <w:szCs w:val="20"/>
                <w:color w:val="auto"/>
              </w:rPr>
            </w:pPr>
            <w:r>
              <w:rPr>
                <w:rFonts w:ascii="Arial" w:cs="Arial" w:eastAsia="Arial" w:hAnsi="Arial"/>
                <w:sz w:val="13"/>
                <w:szCs w:val="13"/>
                <w:color w:val="auto"/>
              </w:rPr>
              <w:t>losses</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Net interest income</w:t>
            </w: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top w:val="single" w:sz="8" w:color="CFF0FC"/>
              <w:right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(loss) after provisions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color w:val="auto"/>
              </w:rPr>
              <w:t>for loan losses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52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income (loss):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Servicing revenue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Asset recovery and</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business processing</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Other revenue (loss)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tcBorders>
              <w:top w:val="single" w:sz="8" w:color="CFF0FC"/>
            </w:tcBorders>
            <w:gridSpan w:val="5"/>
            <w:shd w:val="clear" w:color="auto" w:fill="CFF0FC"/>
          </w:tcPr>
          <w:p>
            <w:pPr>
              <w:spacing w:after="0" w:line="122" w:lineRule="exact"/>
              <w:rPr>
                <w:sz w:val="20"/>
                <w:szCs w:val="20"/>
                <w:color w:val="auto"/>
              </w:rPr>
            </w:pPr>
            <w:r>
              <w:rPr>
                <w:rFonts w:ascii="Arial" w:cs="Arial" w:eastAsia="Arial" w:hAnsi="Arial"/>
                <w:sz w:val="13"/>
                <w:szCs w:val="13"/>
                <w:color w:val="auto"/>
              </w:rPr>
              <w:t>Total other income</w:t>
            </w: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19</w:t>
            </w: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CFF0FC"/>
            </w:tcBorders>
            <w:gridSpan w:val="2"/>
            <w:shd w:val="clear" w:color="auto" w:fill="CFF0FC"/>
          </w:tcPr>
          <w:p>
            <w:pPr>
              <w:jc w:val="right"/>
              <w:ind w:right="60"/>
              <w:spacing w:after="0" w:line="122" w:lineRule="exact"/>
              <w:rPr>
                <w:sz w:val="20"/>
                <w:szCs w:val="20"/>
                <w:color w:val="auto"/>
              </w:rPr>
            </w:pPr>
            <w:r>
              <w:rPr>
                <w:rFonts w:ascii="Arial" w:cs="Arial" w:eastAsia="Arial" w:hAnsi="Arial"/>
                <w:sz w:val="13"/>
                <w:szCs w:val="13"/>
                <w:color w:val="auto"/>
              </w:rPr>
              <w:t>(4)</w:t>
            </w: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720" w:type="dxa"/>
            <w:vAlign w:val="bottom"/>
            <w:tcBorders>
              <w:top w:val="single" w:sz="8" w:color="CFF0FC"/>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8</w:t>
            </w: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4</w:t>
            </w:r>
          </w:p>
        </w:tc>
        <w:tc>
          <w:tcPr>
            <w:tcW w:w="1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gridSpan w:val="2"/>
            <w:shd w:val="clear" w:color="auto" w:fill="CFF0FC"/>
          </w:tcPr>
          <w:p>
            <w:pPr>
              <w:jc w:val="right"/>
              <w:spacing w:after="0" w:line="122" w:lineRule="exact"/>
              <w:rPr>
                <w:sz w:val="20"/>
                <w:szCs w:val="20"/>
                <w:color w:val="auto"/>
              </w:rPr>
            </w:pPr>
            <w:r>
              <w:rPr>
                <w:rFonts w:ascii="Arial" w:cs="Arial" w:eastAsia="Arial" w:hAnsi="Arial"/>
                <w:sz w:val="13"/>
                <w:szCs w:val="13"/>
                <w:color w:val="auto"/>
              </w:rPr>
              <w:t>23</w:t>
            </w:r>
          </w:p>
        </w:tc>
        <w:tc>
          <w:tcPr>
            <w:tcW w:w="120" w:type="dxa"/>
            <w:vAlign w:val="bottom"/>
            <w:tcBorders>
              <w:top w:val="single" w:sz="8" w:color="CFF0FC"/>
              <w:right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3</w:t>
            </w:r>
          </w:p>
        </w:tc>
        <w:tc>
          <w:tcPr>
            <w:tcW w:w="100" w:type="dxa"/>
            <w:vAlign w:val="bottom"/>
            <w:tcBorders>
              <w:top w:val="single" w:sz="8" w:color="CFF0FC"/>
              <w:left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gridSpan w:val="2"/>
            <w:shd w:val="clear" w:color="auto" w:fill="CFF0FC"/>
          </w:tcPr>
          <w:p>
            <w:pPr>
              <w:jc w:val="right"/>
              <w:ind w:right="20"/>
              <w:spacing w:after="0" w:line="122" w:lineRule="exact"/>
              <w:rPr>
                <w:sz w:val="20"/>
                <w:szCs w:val="20"/>
                <w:color w:val="auto"/>
              </w:rPr>
            </w:pPr>
            <w:r>
              <w:rPr>
                <w:rFonts w:ascii="Arial" w:cs="Arial" w:eastAsia="Arial" w:hAnsi="Arial"/>
                <w:sz w:val="13"/>
                <w:szCs w:val="13"/>
                <w:color w:val="auto"/>
              </w:rPr>
              <w:t>10</w:t>
            </w:r>
          </w:p>
        </w:tc>
        <w:tc>
          <w:tcPr>
            <w:tcW w:w="1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ind w:left="100"/>
              <w:spacing w:after="0" w:line="12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spacing w:after="0" w:line="122" w:lineRule="exact"/>
              <w:rPr>
                <w:sz w:val="20"/>
                <w:szCs w:val="20"/>
                <w:color w:val="auto"/>
              </w:rPr>
            </w:pPr>
            <w:r>
              <w:rPr>
                <w:rFonts w:ascii="Arial" w:cs="Arial" w:eastAsia="Arial" w:hAnsi="Arial"/>
                <w:sz w:val="13"/>
                <w:szCs w:val="13"/>
                <w:color w:val="auto"/>
              </w:rPr>
              <w:t>10</w:t>
            </w: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Direct operating</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expenses</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100" w:type="dxa"/>
            <w:vAlign w:val="bottom"/>
            <w:tcBorders>
              <w:lef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16</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Unallocated shared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ind w:left="100"/>
              <w:spacing w:after="0" w:line="139" w:lineRule="exact"/>
              <w:rPr>
                <w:sz w:val="20"/>
                <w:szCs w:val="20"/>
                <w:color w:val="auto"/>
              </w:rPr>
            </w:pPr>
            <w:r>
              <w:rPr>
                <w:rFonts w:ascii="Arial" w:cs="Arial" w:eastAsia="Arial" w:hAnsi="Arial"/>
                <w:sz w:val="13"/>
                <w:szCs w:val="13"/>
                <w:color w:val="auto"/>
              </w:rPr>
              <w:t>services expenses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Operating expenses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105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105</w:t>
            </w: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45</w:t>
            </w:r>
          </w:p>
        </w:tc>
        <w:tc>
          <w:tcPr>
            <w:tcW w:w="10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16</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gridSpan w:val="2"/>
            <w:shd w:val="clear" w:color="auto" w:fill="CFF0FC"/>
          </w:tcPr>
          <w:p>
            <w:pPr>
              <w:ind w:left="10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Goodwill and acquired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intangible asset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impairment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ind w:left="100"/>
              <w:spacing w:after="0"/>
              <w:rPr>
                <w:sz w:val="20"/>
                <w:szCs w:val="20"/>
                <w:color w:val="auto"/>
              </w:rPr>
            </w:pPr>
            <w:r>
              <w:rPr>
                <w:rFonts w:ascii="Arial" w:cs="Arial" w:eastAsia="Arial" w:hAnsi="Arial"/>
                <w:sz w:val="13"/>
                <w:szCs w:val="13"/>
                <w:color w:val="auto"/>
              </w:rPr>
              <w:t>amortization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Restructuring/other</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reorganization</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vMerge w:val="restart"/>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640" w:type="dxa"/>
            <w:vAlign w:val="bottom"/>
            <w:tcBorders>
              <w:bottom w:val="single" w:sz="8" w:color="CFF0FC"/>
            </w:tcBorders>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expenses</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gridSpan w:val="2"/>
            <w:vMerge w:val="continue"/>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left w:val="single" w:sz="8" w:color="CFF0FC"/>
              <w:bottom w:val="single" w:sz="8" w:color="CFF0FC"/>
            </w:tcBorders>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gridSpan w:val="2"/>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29" w:lineRule="exact"/>
              <w:rPr>
                <w:sz w:val="20"/>
                <w:szCs w:val="20"/>
                <w:color w:val="auto"/>
              </w:rPr>
            </w:pPr>
            <w:r>
              <w:rPr>
                <w:rFonts w:ascii="Arial" w:cs="Arial" w:eastAsia="Arial" w:hAnsi="Arial"/>
                <w:sz w:val="13"/>
                <w:szCs w:val="13"/>
                <w:color w:val="auto"/>
              </w:rPr>
              <w:t>Total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110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109</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29" w:lineRule="exact"/>
              <w:rPr>
                <w:sz w:val="20"/>
                <w:szCs w:val="20"/>
                <w:color w:val="auto"/>
              </w:rPr>
            </w:pPr>
            <w:r>
              <w:rPr>
                <w:rFonts w:ascii="Arial" w:cs="Arial" w:eastAsia="Arial" w:hAnsi="Arial"/>
                <w:sz w:val="13"/>
                <w:szCs w:val="13"/>
                <w:color w:val="auto"/>
              </w:rPr>
              <w:t>45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16</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tcPr>
          <w:p>
            <w:pPr>
              <w:ind w:left="10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Arial" w:cs="Arial" w:eastAsia="Arial" w:hAnsi="Arial"/>
                <w:sz w:val="13"/>
                <w:szCs w:val="13"/>
                <w:color w:val="auto"/>
              </w:rPr>
              <w:t>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Borders>
              <w:right w:val="single" w:sz="8" w:color="CFF0FC"/>
            </w:tcBorders>
          </w:tcPr>
          <w:p>
            <w:pPr>
              <w:spacing w:after="0"/>
              <w:rPr>
                <w:sz w:val="9"/>
                <w:szCs w:val="9"/>
                <w:color w:val="auto"/>
              </w:rPr>
            </w:pPr>
          </w:p>
        </w:tc>
        <w:tc>
          <w:tcPr>
            <w:tcW w:w="164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Income (loss) before</w:t>
            </w: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income tax expense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(benefit)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tcBorders>
              <w:right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(108)</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46</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4"/>
              </w:rPr>
              <w:t>(55)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tcPr>
          <w:p>
            <w:pPr>
              <w:spacing w:after="0" w:line="108" w:lineRule="exact"/>
              <w:rPr>
                <w:sz w:val="20"/>
                <w:szCs w:val="20"/>
                <w:color w:val="auto"/>
              </w:rPr>
            </w:pPr>
            <w:r>
              <w:rPr>
                <w:rFonts w:ascii="Arial" w:cs="Arial" w:eastAsia="Arial" w:hAnsi="Arial"/>
                <w:sz w:val="12"/>
                <w:szCs w:val="12"/>
                <w:color w:val="auto"/>
              </w:rPr>
              <w:t>Income tax expense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right w:val="single" w:sz="8" w:color="auto"/>
            </w:tcBorders>
            <w:gridSpan w:val="3"/>
            <w:vMerge w:val="restart"/>
          </w:tcPr>
          <w:p>
            <w:pPr>
              <w:jc w:val="right"/>
              <w:ind w:right="100"/>
              <w:spacing w:after="0"/>
              <w:rPr>
                <w:sz w:val="20"/>
                <w:szCs w:val="20"/>
                <w:color w:val="auto"/>
              </w:rPr>
            </w:pPr>
            <w:r>
              <w:rPr>
                <w:rFonts w:ascii="Arial" w:cs="Arial" w:eastAsia="Arial" w:hAnsi="Arial"/>
                <w:sz w:val="13"/>
                <w:szCs w:val="13"/>
                <w:color w:val="auto"/>
              </w:rPr>
              <w:t>(25)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3"/>
                <w:szCs w:val="13"/>
                <w:color w:val="auto"/>
              </w:rPr>
              <w:t>(23)</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w w:val="94"/>
              </w:rPr>
              <w:t>(13)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Borders>
              <w:right w:val="single" w:sz="8" w:color="CFF0FC"/>
            </w:tcBorders>
          </w:tcPr>
          <w:p>
            <w:pPr>
              <w:spacing w:after="0"/>
              <w:rPr>
                <w:sz w:val="14"/>
                <w:szCs w:val="14"/>
                <w:color w:val="auto"/>
              </w:rPr>
            </w:pPr>
          </w:p>
        </w:tc>
        <w:tc>
          <w:tcPr>
            <w:tcW w:w="1640" w:type="dxa"/>
            <w:vAlign w:val="bottom"/>
            <w:tcBorders>
              <w:bottom w:val="single" w:sz="8" w:color="CFF0FC"/>
            </w:tcBorders>
            <w:gridSpan w:val="5"/>
            <w:shd w:val="clear" w:color="auto" w:fill="CFF0FC"/>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(86)</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gridSpan w:val="2"/>
            <w:shd w:val="clear" w:color="auto" w:fill="CFF0FC"/>
          </w:tcPr>
          <w:p>
            <w:pPr>
              <w:jc w:val="right"/>
              <w:spacing w:after="0" w:line="115" w:lineRule="exact"/>
              <w:rPr>
                <w:sz w:val="20"/>
                <w:szCs w:val="20"/>
                <w:color w:val="auto"/>
              </w:rPr>
            </w:pPr>
            <w:r>
              <w:rPr>
                <w:rFonts w:ascii="Arial" w:cs="Arial" w:eastAsia="Arial" w:hAnsi="Arial"/>
                <w:sz w:val="13"/>
                <w:szCs w:val="13"/>
                <w:color w:val="auto"/>
              </w:rPr>
              <w:t>(83)</w:t>
            </w:r>
          </w:p>
        </w:tc>
        <w:tc>
          <w:tcPr>
            <w:tcW w:w="120" w:type="dxa"/>
            <w:vAlign w:val="bottom"/>
            <w:tcBorders>
              <w:bottom w:val="single" w:sz="8" w:color="CFF0FC"/>
              <w:right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(76)</w:t>
            </w:r>
          </w:p>
        </w:tc>
        <w:tc>
          <w:tcPr>
            <w:tcW w:w="100" w:type="dxa"/>
            <w:vAlign w:val="bottom"/>
            <w:tcBorders>
              <w:left w:val="single" w:sz="8" w:color="CFF0FC"/>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shd w:val="clear" w:color="auto" w:fill="CFF0FC"/>
          </w:tcPr>
          <w:p>
            <w:pPr>
              <w:jc w:val="right"/>
              <w:ind w:right="20"/>
              <w:spacing w:after="0" w:line="115" w:lineRule="exact"/>
              <w:rPr>
                <w:sz w:val="20"/>
                <w:szCs w:val="20"/>
                <w:color w:val="auto"/>
              </w:rPr>
            </w:pPr>
            <w:r>
              <w:rPr>
                <w:rFonts w:ascii="Arial" w:cs="Arial" w:eastAsia="Arial" w:hAnsi="Arial"/>
                <w:sz w:val="13"/>
                <w:szCs w:val="13"/>
                <w:color w:val="auto"/>
              </w:rPr>
              <w:t>35</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ind w:left="100"/>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77"/>
              </w:rPr>
              <w:t>(42)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00" w:type="dxa"/>
            <w:vAlign w:val="bottom"/>
            <w:gridSpan w:val="2"/>
          </w:tcPr>
          <w:p>
            <w:pPr>
              <w:spacing w:after="0"/>
              <w:rPr>
                <w:sz w:val="20"/>
                <w:szCs w:val="20"/>
                <w:color w:val="auto"/>
              </w:rPr>
            </w:pPr>
            <w:r>
              <w:rPr>
                <w:rFonts w:ascii="Arial" w:cs="Arial" w:eastAsia="Arial" w:hAnsi="Arial"/>
                <w:sz w:val="6"/>
                <w:szCs w:val="6"/>
                <w:color w:val="auto"/>
                <w:w w:val="81"/>
              </w:rPr>
              <w:t>(1)</w:t>
            </w:r>
          </w:p>
        </w:tc>
        <w:tc>
          <w:tcPr>
            <w:tcW w:w="2720" w:type="dxa"/>
            <w:vAlign w:val="bottom"/>
            <w:gridSpan w:val="11"/>
            <w:vMerge w:val="restart"/>
          </w:tcPr>
          <w:p>
            <w:pPr>
              <w:ind w:left="260"/>
              <w:spacing w:after="0"/>
              <w:rPr>
                <w:sz w:val="20"/>
                <w:szCs w:val="20"/>
                <w:color w:val="auto"/>
              </w:rPr>
            </w:pPr>
            <w:r>
              <w:rPr>
                <w:rFonts w:ascii="Arial" w:cs="Arial" w:eastAsia="Arial" w:hAnsi="Arial"/>
                <w:sz w:val="14"/>
                <w:szCs w:val="14"/>
                <w:color w:val="auto"/>
              </w:rPr>
              <w:t>Core Earnings adjustments to GAAP:</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gridSpan w:val="11"/>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900" w:type="dxa"/>
            <w:vAlign w:val="bottom"/>
            <w:gridSpan w:val="4"/>
          </w:tcPr>
          <w:p>
            <w:pPr>
              <w:spacing w:after="0"/>
              <w:rPr>
                <w:sz w:val="19"/>
                <w:szCs w:val="19"/>
                <w:color w:val="auto"/>
              </w:rPr>
            </w:pPr>
          </w:p>
        </w:tc>
        <w:tc>
          <w:tcPr>
            <w:tcW w:w="340" w:type="dxa"/>
            <w:vAlign w:val="bottom"/>
            <w:gridSpan w:val="3"/>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shd w:val="clear" w:color="auto" w:fill="D9D9D9"/>
          </w:tcPr>
          <w:p>
            <w:pPr>
              <w:spacing w:after="0"/>
              <w:rPr>
                <w:sz w:val="10"/>
                <w:szCs w:val="10"/>
                <w:color w:val="auto"/>
              </w:rPr>
            </w:pPr>
          </w:p>
        </w:tc>
        <w:tc>
          <w:tcPr>
            <w:tcW w:w="120" w:type="dxa"/>
            <w:vAlign w:val="bottom"/>
            <w:tcBorders>
              <w:right w:val="single" w:sz="8" w:color="D9D9D9"/>
            </w:tcBorders>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2180" w:type="dxa"/>
            <w:vAlign w:val="bottom"/>
            <w:gridSpan w:val="11"/>
            <w:shd w:val="clear" w:color="auto" w:fill="D9D9D9"/>
          </w:tcPr>
          <w:p>
            <w:pPr>
              <w:jc w:val="center"/>
              <w:spacing w:after="0" w:line="122" w:lineRule="exact"/>
              <w:rPr>
                <w:sz w:val="20"/>
                <w:szCs w:val="20"/>
                <w:color w:val="auto"/>
              </w:rPr>
            </w:pPr>
            <w:r>
              <w:rPr>
                <w:rFonts w:ascii="Arial" w:cs="Arial" w:eastAsia="Arial" w:hAnsi="Arial"/>
                <w:sz w:val="11"/>
                <w:szCs w:val="11"/>
                <w:b w:val="1"/>
                <w:bCs w:val="1"/>
                <w:color w:val="auto"/>
                <w:w w:val="98"/>
              </w:rPr>
              <w:t>QUARTER ENDED SEPTEMBER 30, 2025</w:t>
            </w:r>
          </w:p>
        </w:tc>
        <w:tc>
          <w:tcPr>
            <w:tcW w:w="26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4"/>
          </w:tcPr>
          <w:p>
            <w:pPr>
              <w:jc w:val="center"/>
              <w:ind w:right="18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6"/>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Net Impact of</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right="180"/>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6"/>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jc w:val="center"/>
              <w:ind w:right="180"/>
              <w:spacing w:after="0" w:line="122" w:lineRule="exact"/>
              <w:rPr>
                <w:sz w:val="20"/>
                <w:szCs w:val="20"/>
                <w:color w:val="auto"/>
              </w:rPr>
            </w:pPr>
            <w:r>
              <w:rPr>
                <w:rFonts w:ascii="Arial" w:cs="Arial" w:eastAsia="Arial" w:hAnsi="Arial"/>
                <w:sz w:val="11"/>
                <w:szCs w:val="11"/>
                <w:b w:val="1"/>
                <w:bCs w:val="1"/>
                <w:color w:val="auto"/>
              </w:rPr>
              <w:t>Acquired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99"/>
              </w:rPr>
              <w:t>Accounting</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6"/>
              </w:rPr>
              <w:t>Intangibles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20" w:type="dxa"/>
            <w:vAlign w:val="bottom"/>
            <w:gridSpan w:val="14"/>
            <w:shd w:val="clear" w:color="auto" w:fill="CFF0FC"/>
          </w:tcPr>
          <w:p>
            <w:pPr>
              <w:spacing w:after="0" w:line="129" w:lineRule="exact"/>
              <w:rPr>
                <w:sz w:val="20"/>
                <w:szCs w:val="20"/>
                <w:color w:val="auto"/>
              </w:rPr>
            </w:pPr>
            <w:r>
              <w:rPr>
                <w:rFonts w:ascii="Arial" w:cs="Arial" w:eastAsia="Arial" w:hAnsi="Arial"/>
                <w:sz w:val="13"/>
                <w:szCs w:val="13"/>
                <w:color w:val="auto"/>
                <w:w w:val="97"/>
              </w:rPr>
              <w:t>Net interest income (loss) after provisions for loan losses</w:t>
            </w: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25"/>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w:t>
            </w:r>
          </w:p>
        </w:tc>
        <w:tc>
          <w:tcPr>
            <w:tcW w:w="8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580" w:type="dxa"/>
            <w:vAlign w:val="bottom"/>
            <w:gridSpan w:val="3"/>
            <w:shd w:val="clear" w:color="auto" w:fill="CFF0FC"/>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line="135" w:lineRule="exact"/>
              <w:rPr>
                <w:sz w:val="20"/>
                <w:szCs w:val="20"/>
                <w:color w:val="auto"/>
              </w:rPr>
            </w:pPr>
            <w:r>
              <w:rPr>
                <w:rFonts w:ascii="Arial" w:cs="Arial" w:eastAsia="Arial" w:hAnsi="Arial"/>
                <w:sz w:val="13"/>
                <w:szCs w:val="13"/>
                <w:color w:val="auto"/>
              </w:rPr>
              <w:t>Total other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40" w:type="dxa"/>
            <w:vAlign w:val="bottom"/>
            <w:gridSpan w:val="16"/>
            <w:shd w:val="clear" w:color="auto" w:fill="CFF0FC"/>
          </w:tcPr>
          <w:p>
            <w:pPr>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gridSpan w:val="3"/>
            <w:shd w:val="clear" w:color="auto" w:fill="CFF0FC"/>
          </w:tcPr>
          <w:p>
            <w:pPr>
              <w:jc w:val="right"/>
              <w:ind w:right="6"/>
              <w:spacing w:after="0" w:line="135"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40" w:type="dxa"/>
            <w:vAlign w:val="bottom"/>
            <w:tcBorders>
              <w:top w:val="single" w:sz="8" w:color="CFF0FC"/>
              <w:bottom w:val="single" w:sz="8" w:color="CFF0FC"/>
            </w:tcBorders>
            <w:gridSpan w:val="12"/>
          </w:tcPr>
          <w:p>
            <w:pPr>
              <w:spacing w:after="0" w:line="129" w:lineRule="exact"/>
              <w:rPr>
                <w:sz w:val="20"/>
                <w:szCs w:val="20"/>
                <w:color w:val="auto"/>
              </w:rPr>
            </w:pPr>
            <w:r>
              <w:rPr>
                <w:rFonts w:ascii="Arial" w:cs="Arial" w:eastAsia="Arial" w:hAnsi="Arial"/>
                <w:sz w:val="13"/>
                <w:szCs w:val="13"/>
                <w:color w:val="auto"/>
              </w:rPr>
              <w:t>Total Core Earnings adjustments to GAAP</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7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7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80" w:type="dxa"/>
            <w:vAlign w:val="bottom"/>
            <w:tcBorders>
              <w:top w:val="single" w:sz="8" w:color="CFF0FC"/>
              <w:bottom w:val="single" w:sz="8" w:color="CFF0FC"/>
            </w:tcBorders>
          </w:tcPr>
          <w:p>
            <w:pPr>
              <w:spacing w:after="0"/>
              <w:rPr>
                <w:sz w:val="11"/>
                <w:szCs w:val="11"/>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8</w:t>
            </w:r>
          </w:p>
        </w:tc>
        <w:tc>
          <w:tcPr>
            <w:tcW w:w="80" w:type="dxa"/>
            <w:vAlign w:val="bottom"/>
            <w:tcBorders>
              <w:top w:val="single" w:sz="8" w:color="CFF0FC"/>
            </w:tcBorders>
          </w:tcPr>
          <w:p>
            <w:pPr>
              <w:spacing w:after="0"/>
              <w:rPr>
                <w:sz w:val="11"/>
                <w:szCs w:val="11"/>
                <w:color w:val="auto"/>
              </w:rPr>
            </w:pPr>
          </w:p>
        </w:tc>
        <w:tc>
          <w:tcPr>
            <w:tcW w:w="26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w:t>
            </w:r>
          </w:p>
        </w:tc>
        <w:tc>
          <w:tcPr>
            <w:tcW w:w="6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9</w:t>
            </w:r>
          </w:p>
        </w:tc>
        <w:tc>
          <w:tcPr>
            <w:tcW w:w="100" w:type="dxa"/>
            <w:vAlign w:val="bottom"/>
            <w:tcBorders>
              <w:top w:val="single" w:sz="8" w:color="CFF0FC"/>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60" w:type="dxa"/>
            <w:vAlign w:val="bottom"/>
            <w:tcBorders>
              <w:bottom w:val="single" w:sz="8" w:color="CFF0FC"/>
            </w:tcBorders>
            <w:gridSpan w:val="8"/>
            <w:shd w:val="clear" w:color="auto" w:fill="CFF0FC"/>
          </w:tcPr>
          <w:p>
            <w:pPr>
              <w:spacing w:after="0" w:line="116" w:lineRule="exact"/>
              <w:rPr>
                <w:sz w:val="20"/>
                <w:szCs w:val="20"/>
                <w:color w:val="auto"/>
              </w:rPr>
            </w:pPr>
            <w:r>
              <w:rPr>
                <w:rFonts w:ascii="Arial" w:cs="Arial" w:eastAsia="Arial" w:hAnsi="Arial"/>
                <w:sz w:val="13"/>
                <w:szCs w:val="13"/>
                <w:color w:val="auto"/>
              </w:rPr>
              <w:t>Income tax expense (benefit)</w:t>
            </w: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3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right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2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left w:val="single" w:sz="8" w:color="CFF0FC"/>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260" w:type="dxa"/>
            <w:vAlign w:val="bottom"/>
            <w:tcBorders>
              <w:bottom w:val="single" w:sz="8" w:color="auto"/>
            </w:tcBorders>
            <w:gridSpan w:val="2"/>
            <w:shd w:val="clear" w:color="auto" w:fill="CFF0FC"/>
          </w:tcPr>
          <w:p>
            <w:pPr>
              <w:jc w:val="right"/>
              <w:spacing w:after="0" w:line="116" w:lineRule="exact"/>
              <w:rPr>
                <w:sz w:val="20"/>
                <w:szCs w:val="20"/>
                <w:color w:val="auto"/>
              </w:rPr>
            </w:pPr>
            <w:r>
              <w:rPr>
                <w:rFonts w:ascii="Arial" w:cs="Arial" w:eastAsia="Arial" w:hAnsi="Arial"/>
                <w:sz w:val="13"/>
                <w:szCs w:val="13"/>
                <w:color w:val="auto"/>
              </w:rPr>
              <w:t>6</w:t>
            </w:r>
          </w:p>
        </w:tc>
        <w:tc>
          <w:tcPr>
            <w:tcW w:w="100" w:type="dxa"/>
            <w:vAlign w:val="bottom"/>
            <w:tcBorders>
              <w:bottom w:val="single" w:sz="8" w:color="CFF0FC"/>
            </w:tcBorders>
            <w:shd w:val="clear" w:color="auto" w:fill="CFF0FC"/>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1618615</wp:posOffset>
            </wp:positionH>
            <wp:positionV relativeFrom="paragraph">
              <wp:posOffset>-4516755</wp:posOffset>
            </wp:positionV>
            <wp:extent cx="603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-4516755</wp:posOffset>
            </wp:positionV>
            <wp:extent cx="596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-4516755</wp:posOffset>
            </wp:positionV>
            <wp:extent cx="596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-4516755</wp:posOffset>
            </wp:positionV>
            <wp:extent cx="603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-4516755</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-4516755</wp:posOffset>
            </wp:positionV>
            <wp:extent cx="603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-4516755</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-4516755</wp:posOffset>
            </wp:positionV>
            <wp:extent cx="603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-4516755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-4337050</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-4337050</wp:posOffset>
            </wp:positionV>
            <wp:extent cx="596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-4337050</wp:posOffset>
            </wp:positionV>
            <wp:extent cx="596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-4337050</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-4337050</wp:posOffset>
            </wp:positionV>
            <wp:extent cx="603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-4337050</wp:posOffset>
            </wp:positionV>
            <wp:extent cx="603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-4337050</wp:posOffset>
            </wp:positionV>
            <wp:extent cx="603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-4337050</wp:posOffset>
            </wp:positionV>
            <wp:extent cx="603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-4337050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-3994150</wp:posOffset>
            </wp:positionV>
            <wp:extent cx="603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-3994150</wp:posOffset>
            </wp:positionV>
            <wp:extent cx="596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-3994150</wp:posOffset>
            </wp:positionV>
            <wp:extent cx="596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-3994150</wp:posOffset>
            </wp:positionV>
            <wp:extent cx="603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-3994150</wp:posOffset>
            </wp:positionV>
            <wp:extent cx="603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-3994150</wp:posOffset>
            </wp:positionV>
            <wp:extent cx="603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-3994150</wp:posOffset>
            </wp:positionV>
            <wp:extent cx="603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-3994150</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-3994150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-3205480</wp:posOffset>
            </wp:positionV>
            <wp:extent cx="603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-3205480</wp:posOffset>
            </wp:positionV>
            <wp:extent cx="603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-3205480</wp:posOffset>
            </wp:positionV>
            <wp:extent cx="603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-3205480</wp:posOffset>
            </wp:positionV>
            <wp:extent cx="603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-3205480</wp:posOffset>
            </wp:positionV>
            <wp:extent cx="603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-3205480</wp:posOffset>
            </wp:positionV>
            <wp:extent cx="603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-3205480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-2005330</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-2005330</wp:posOffset>
            </wp:positionV>
            <wp:extent cx="596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-2005330</wp:posOffset>
            </wp:positionV>
            <wp:extent cx="596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-2005330</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-2005330</wp:posOffset>
            </wp:positionV>
            <wp:extent cx="603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-2005330</wp:posOffset>
            </wp:positionV>
            <wp:extent cx="603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-2005330</wp:posOffset>
            </wp:positionV>
            <wp:extent cx="603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-2005330</wp:posOffset>
            </wp:positionV>
            <wp:extent cx="603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-2005330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-1388110</wp:posOffset>
            </wp:positionV>
            <wp:extent cx="603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-1370965</wp:posOffset>
            </wp:positionV>
            <wp:extent cx="603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-1388110</wp:posOffset>
            </wp:positionV>
            <wp:extent cx="596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2184400</wp:posOffset>
            </wp:positionH>
            <wp:positionV relativeFrom="paragraph">
              <wp:posOffset>-1370965</wp:posOffset>
            </wp:positionV>
            <wp:extent cx="596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-1388110</wp:posOffset>
            </wp:positionV>
            <wp:extent cx="596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2818765</wp:posOffset>
            </wp:positionH>
            <wp:positionV relativeFrom="paragraph">
              <wp:posOffset>-1370965</wp:posOffset>
            </wp:positionV>
            <wp:extent cx="596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-1388110</wp:posOffset>
            </wp:positionV>
            <wp:extent cx="603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-1370965</wp:posOffset>
            </wp:positionV>
            <wp:extent cx="603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-1388110</wp:posOffset>
            </wp:positionV>
            <wp:extent cx="603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-1370965</wp:posOffset>
            </wp:positionV>
            <wp:extent cx="60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-1388110</wp:posOffset>
            </wp:positionV>
            <wp:extent cx="603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-1370965</wp:posOffset>
            </wp:positionV>
            <wp:extent cx="603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-1388110</wp:posOffset>
            </wp:positionV>
            <wp:extent cx="603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-1370965</wp:posOffset>
            </wp:positionV>
            <wp:extent cx="603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-1388110</wp:posOffset>
            </wp:positionV>
            <wp:extent cx="603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-1370965</wp:posOffset>
            </wp:positionV>
            <wp:extent cx="603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-1388110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-1370965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-325120</wp:posOffset>
            </wp:positionV>
            <wp:extent cx="5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-325120</wp:posOffset>
            </wp:positionV>
            <wp:extent cx="514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-325120</wp:posOffset>
            </wp:positionV>
            <wp:extent cx="596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-119380</wp:posOffset>
            </wp:positionV>
            <wp:extent cx="596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4" w:lineRule="exact"/>
        <w:rPr>
          <w:sz w:val="20"/>
          <w:szCs w:val="20"/>
          <w:color w:val="auto"/>
        </w:rPr>
      </w:pPr>
    </w:p>
    <w:p>
      <w:pPr>
        <w:ind w:left="265" w:hanging="265"/>
        <w:spacing w:after="0"/>
        <w:tabs>
          <w:tab w:leader="none" w:pos="265" w:val="left"/>
        </w:tabs>
        <w:numPr>
          <w:ilvl w:val="0"/>
          <w:numId w:val="22"/>
        </w:numPr>
        <w:rPr>
          <w:rFonts w:ascii="Arial" w:cs="Arial" w:eastAsia="Arial" w:hAnsi="Arial"/>
          <w:sz w:val="8"/>
          <w:szCs w:val="8"/>
          <w:color w:val="auto"/>
        </w:rPr>
      </w:pPr>
      <w:r>
        <w:rPr>
          <w:rFonts w:ascii="Arial" w:cs="Arial" w:eastAsia="Arial" w:hAnsi="Arial"/>
          <w:sz w:val="14"/>
          <w:szCs w:val="14"/>
          <w:color w:val="auto"/>
        </w:rPr>
        <w:t>Income taxes are based on a percentage of net income before tax for the individual reportable segment.</w:t>
      </w:r>
    </w:p>
    <w:p>
      <w:pPr>
        <w:spacing w:after="0" w:line="12" w:lineRule="exact"/>
        <w:rPr>
          <w:sz w:val="20"/>
          <w:szCs w:val="20"/>
          <w:color w:val="auto"/>
        </w:rPr>
      </w:pPr>
    </w:p>
    <w:p>
      <w:pPr>
        <w:ind w:left="9925"/>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469265</wp:posOffset>
            </wp:positionV>
            <wp:extent cx="703770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999" w:right="1099" w:bottom="1440" w:gutter="0" w:footer="0" w:header="0"/>
        </w:sectPr>
      </w:pPr>
    </w:p>
    <w:bookmarkStart w:id="25" w:name="page26"/>
    <w:bookmarkEnd w:id="25"/>
    <w:tbl>
      <w:tblPr>
        <w:tblLayout w:type="fixed"/>
        <w:tblInd w:w="5"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20" w:type="dxa"/>
            <w:vAlign w:val="bottom"/>
            <w:shd w:val="clear" w:color="auto" w:fill="D9D9D9"/>
          </w:tcPr>
          <w:p>
            <w:pPr>
              <w:spacing w:after="0"/>
              <w:rPr>
                <w:sz w:val="10"/>
                <w:szCs w:val="10"/>
                <w:color w:val="auto"/>
              </w:rPr>
            </w:pPr>
          </w:p>
        </w:tc>
        <w:tc>
          <w:tcPr>
            <w:tcW w:w="220" w:type="dxa"/>
            <w:vAlign w:val="bottom"/>
            <w:tcBorders>
              <w:right w:val="single" w:sz="8" w:color="D9D9D9"/>
            </w:tcBorders>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600" w:type="dxa"/>
            <w:vAlign w:val="bottom"/>
            <w:shd w:val="clear" w:color="auto" w:fill="D9D9D9"/>
          </w:tcPr>
          <w:p>
            <w:pPr>
              <w:spacing w:after="0"/>
              <w:rPr>
                <w:sz w:val="10"/>
                <w:szCs w:val="10"/>
                <w:color w:val="auto"/>
              </w:rPr>
            </w:pPr>
          </w:p>
        </w:tc>
        <w:tc>
          <w:tcPr>
            <w:tcW w:w="220" w:type="dxa"/>
            <w:vAlign w:val="bottom"/>
            <w:tcBorders>
              <w:right w:val="single" w:sz="8" w:color="D9D9D9"/>
            </w:tcBorders>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2720" w:type="dxa"/>
            <w:vAlign w:val="bottom"/>
            <w:gridSpan w:val="11"/>
            <w:shd w:val="clear" w:color="auto" w:fill="D9D9D9"/>
          </w:tcPr>
          <w:p>
            <w:pPr>
              <w:ind w:left="60"/>
              <w:spacing w:after="0"/>
              <w:rPr>
                <w:sz w:val="20"/>
                <w:szCs w:val="20"/>
                <w:color w:val="auto"/>
              </w:rPr>
            </w:pPr>
            <w:r>
              <w:rPr>
                <w:rFonts w:ascii="Arial" w:cs="Arial" w:eastAsia="Arial" w:hAnsi="Arial"/>
                <w:sz w:val="11"/>
                <w:szCs w:val="11"/>
                <w:b w:val="1"/>
                <w:bCs w:val="1"/>
                <w:color w:val="auto"/>
              </w:rPr>
              <w:t>NINE MONTHS ENDED SEPTEMBER 30, 2026</w:t>
            </w: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60" w:type="dxa"/>
            <w:vAlign w:val="bottom"/>
            <w:tcBorders>
              <w:right w:val="single" w:sz="8" w:color="D9D9D9"/>
            </w:tcBorders>
            <w:shd w:val="clear" w:color="auto" w:fill="D9D9D9"/>
          </w:tcPr>
          <w:p>
            <w:pPr>
              <w:spacing w:after="0"/>
              <w:rPr>
                <w:sz w:val="10"/>
                <w:szCs w:val="10"/>
                <w:color w:val="auto"/>
              </w:rPr>
            </w:pPr>
          </w:p>
        </w:tc>
        <w:tc>
          <w:tcPr>
            <w:tcW w:w="160" w:type="dxa"/>
            <w:vAlign w:val="bottom"/>
            <w:tcBorders>
              <w:right w:val="single" w:sz="8" w:color="D9D9D9"/>
            </w:tcBorders>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300" w:type="dxa"/>
            <w:vAlign w:val="bottom"/>
            <w:shd w:val="clear" w:color="auto" w:fill="D9D9D9"/>
          </w:tcPr>
          <w:p>
            <w:pPr>
              <w:spacing w:after="0"/>
              <w:rPr>
                <w:sz w:val="10"/>
                <w:szCs w:val="10"/>
                <w:color w:val="auto"/>
              </w:rPr>
            </w:pPr>
          </w:p>
        </w:tc>
        <w:tc>
          <w:tcPr>
            <w:tcW w:w="36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00" w:type="dxa"/>
            <w:vAlign w:val="bottom"/>
            <w:tcBorders>
              <w:left w:val="single" w:sz="8" w:color="D9D9D9"/>
            </w:tcBorders>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Adjustments</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right"/>
              <w:ind w:right="128"/>
              <w:spacing w:after="0"/>
              <w:rPr>
                <w:sz w:val="20"/>
                <w:szCs w:val="20"/>
                <w:color w:val="auto"/>
              </w:rPr>
            </w:pPr>
            <w:r>
              <w:rPr>
                <w:rFonts w:ascii="Arial" w:cs="Arial" w:eastAsia="Arial" w:hAnsi="Arial"/>
                <w:sz w:val="11"/>
                <w:szCs w:val="11"/>
                <w:b w:val="1"/>
                <w:bCs w:val="1"/>
                <w:color w:val="auto"/>
              </w:rPr>
              <w:t>Total</w:t>
            </w:r>
          </w:p>
        </w:tc>
        <w:tc>
          <w:tcPr>
            <w:tcW w:w="180" w:type="dxa"/>
            <w:vAlign w:val="bottom"/>
            <w:tcBorders>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jc w:val="right"/>
              <w:spacing w:after="0" w:line="122" w:lineRule="exact"/>
              <w:rPr>
                <w:sz w:val="20"/>
                <w:szCs w:val="20"/>
                <w:color w:val="auto"/>
              </w:rPr>
            </w:pPr>
            <w:r>
              <w:rPr>
                <w:rFonts w:ascii="Arial" w:cs="Arial" w:eastAsia="Arial" w:hAnsi="Arial"/>
                <w:sz w:val="11"/>
                <w:szCs w:val="11"/>
                <w:b w:val="1"/>
                <w:bCs w:val="1"/>
                <w:color w:val="auto"/>
                <w:w w:val="99"/>
              </w:rPr>
              <w:t>Reportable Segments</w:t>
            </w: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w w:val="96"/>
              </w:rPr>
              <w:t>Federal</w:t>
            </w: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360"/>
              <w:spacing w:after="0" w:line="108" w:lineRule="exact"/>
              <w:rPr>
                <w:sz w:val="20"/>
                <w:szCs w:val="20"/>
                <w:color w:val="auto"/>
              </w:rPr>
            </w:pPr>
            <w:r>
              <w:rPr>
                <w:rFonts w:ascii="Arial" w:cs="Arial" w:eastAsia="Arial" w:hAnsi="Arial"/>
                <w:sz w:val="11"/>
                <w:szCs w:val="11"/>
                <w:b w:val="1"/>
                <w:bCs w:val="1"/>
                <w:color w:val="auto"/>
                <w:w w:val="98"/>
              </w:rPr>
              <w:t>Total</w:t>
            </w:r>
          </w:p>
        </w:tc>
        <w:tc>
          <w:tcPr>
            <w:tcW w:w="100" w:type="dxa"/>
            <w:vAlign w:val="bottom"/>
          </w:tcPr>
          <w:p>
            <w:pPr>
              <w:spacing w:after="0"/>
              <w:rPr>
                <w:sz w:val="9"/>
                <w:szCs w:val="9"/>
                <w:color w:val="auto"/>
              </w:rPr>
            </w:pPr>
          </w:p>
        </w:tc>
        <w:tc>
          <w:tcPr>
            <w:tcW w:w="820" w:type="dxa"/>
            <w:vAlign w:val="bottom"/>
            <w:gridSpan w:val="2"/>
          </w:tcPr>
          <w:p>
            <w:pPr>
              <w:jc w:val="right"/>
              <w:ind w:right="340"/>
              <w:spacing w:after="0" w:line="108" w:lineRule="exact"/>
              <w:rPr>
                <w:sz w:val="20"/>
                <w:szCs w:val="20"/>
                <w:color w:val="auto"/>
              </w:rPr>
            </w:pPr>
            <w:r>
              <w:rPr>
                <w:rFonts w:ascii="Arial" w:cs="Arial" w:eastAsia="Arial" w:hAnsi="Arial"/>
                <w:sz w:val="11"/>
                <w:szCs w:val="11"/>
                <w:b w:val="1"/>
                <w:bCs w:val="1"/>
                <w:color w:val="auto"/>
                <w:w w:val="95"/>
              </w:rPr>
              <w:t>Reclassi-</w:t>
            </w:r>
          </w:p>
        </w:tc>
        <w:tc>
          <w:tcPr>
            <w:tcW w:w="100" w:type="dxa"/>
            <w:vAlign w:val="bottom"/>
          </w:tcPr>
          <w:p>
            <w:pPr>
              <w:spacing w:after="0"/>
              <w:rPr>
                <w:sz w:val="9"/>
                <w:szCs w:val="9"/>
                <w:color w:val="auto"/>
              </w:rPr>
            </w:pPr>
          </w:p>
        </w:tc>
        <w:tc>
          <w:tcPr>
            <w:tcW w:w="860" w:type="dxa"/>
            <w:vAlign w:val="bottom"/>
            <w:gridSpan w:val="2"/>
          </w:tcPr>
          <w:p>
            <w:pPr>
              <w:jc w:val="right"/>
              <w:ind w:right="300"/>
              <w:spacing w:after="0" w:line="108" w:lineRule="exact"/>
              <w:rPr>
                <w:sz w:val="20"/>
                <w:szCs w:val="20"/>
                <w:color w:val="auto"/>
              </w:rPr>
            </w:pPr>
            <w:r>
              <w:rPr>
                <w:rFonts w:ascii="Arial" w:cs="Arial" w:eastAsia="Arial" w:hAnsi="Arial"/>
                <w:sz w:val="11"/>
                <w:szCs w:val="11"/>
                <w:b w:val="1"/>
                <w:bCs w:val="1"/>
                <w:color w:val="auto"/>
              </w:rPr>
              <w:t>Additions/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tcPr>
          <w:p>
            <w:pPr>
              <w:jc w:val="right"/>
              <w:ind w:right="460"/>
              <w:spacing w:after="0" w:line="108"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28"/>
              <w:spacing w:after="0" w:line="108" w:lineRule="exact"/>
              <w:rPr>
                <w:sz w:val="20"/>
                <w:szCs w:val="20"/>
                <w:color w:val="auto"/>
              </w:rPr>
            </w:pPr>
            <w:r>
              <w:rPr>
                <w:rFonts w:ascii="Arial" w:cs="Arial" w:eastAsia="Arial" w:hAnsi="Arial"/>
                <w:sz w:val="11"/>
                <w:szCs w:val="11"/>
                <w:b w:val="1"/>
                <w:bCs w:val="1"/>
                <w:color w:val="auto"/>
              </w:rPr>
              <w:t>Core</w:t>
            </w: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117"/>
              <w:spacing w:after="0" w:line="108" w:lineRule="exact"/>
              <w:rPr>
                <w:sz w:val="20"/>
                <w:szCs w:val="20"/>
                <w:color w:val="auto"/>
              </w:rPr>
            </w:pPr>
            <w:r>
              <w:rPr>
                <w:rFonts w:ascii="Arial" w:cs="Arial" w:eastAsia="Arial" w:hAnsi="Arial"/>
                <w:sz w:val="11"/>
                <w:szCs w:val="11"/>
                <w:b w:val="1"/>
                <w:bCs w:val="1"/>
                <w:color w:val="auto"/>
                <w:w w:val="99"/>
              </w:rPr>
              <w:t>Consumer</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7"/>
              </w:rPr>
              <w:t>Education</w:t>
            </w:r>
          </w:p>
        </w:tc>
        <w:tc>
          <w:tcPr>
            <w:tcW w:w="40" w:type="dxa"/>
            <w:vAlign w:val="bottom"/>
          </w:tcPr>
          <w:p>
            <w:pPr>
              <w:spacing w:after="0"/>
              <w:rPr>
                <w:sz w:val="9"/>
                <w:szCs w:val="9"/>
                <w:color w:val="auto"/>
              </w:rPr>
            </w:pPr>
          </w:p>
        </w:tc>
        <w:tc>
          <w:tcPr>
            <w:tcW w:w="66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rPr>
              <w:t>Business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20" w:type="dxa"/>
            <w:vAlign w:val="bottom"/>
            <w:gridSpan w:val="6"/>
          </w:tcPr>
          <w:p>
            <w:pPr>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GAAP</w:t>
            </w:r>
          </w:p>
        </w:tc>
        <w:tc>
          <w:tcPr>
            <w:tcW w:w="10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7"/>
              </w:rPr>
              <w:t>fications</w:t>
            </w:r>
          </w:p>
        </w:tc>
        <w:tc>
          <w:tcPr>
            <w:tcW w:w="9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rPr>
              <w:t>(Subtractions)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Adjustments</w:t>
            </w:r>
            <w:r>
              <w:rPr>
                <w:rFonts w:ascii="Arial" w:cs="Arial" w:eastAsia="Arial" w:hAnsi="Arial"/>
                <w:sz w:val="14"/>
                <w:szCs w:val="14"/>
                <w:b w:val="1"/>
                <w:bCs w:val="1"/>
                <w:color w:val="auto"/>
                <w:vertAlign w:val="superscript"/>
              </w:rPr>
              <w:t>(1)</w:t>
            </w:r>
          </w:p>
        </w:tc>
        <w:tc>
          <w:tcPr>
            <w:tcW w:w="100" w:type="dxa"/>
            <w:vAlign w:val="bottom"/>
          </w:tcPr>
          <w:p>
            <w:pPr>
              <w:spacing w:after="0"/>
              <w:rPr>
                <w:sz w:val="12"/>
                <w:szCs w:val="12"/>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1"/>
                <w:szCs w:val="11"/>
                <w:b w:val="1"/>
                <w:bCs w:val="1"/>
                <w:color w:val="auto"/>
              </w:rPr>
              <w:t>Earnings</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57"/>
              <w:spacing w:after="0"/>
              <w:rPr>
                <w:sz w:val="20"/>
                <w:szCs w:val="20"/>
                <w:color w:val="auto"/>
              </w:rPr>
            </w:pPr>
            <w:r>
              <w:rPr>
                <w:rFonts w:ascii="Arial" w:cs="Arial" w:eastAsia="Arial" w:hAnsi="Arial"/>
                <w:sz w:val="11"/>
                <w:szCs w:val="11"/>
                <w:b w:val="1"/>
                <w:bCs w:val="1"/>
                <w:color w:val="auto"/>
              </w:rPr>
              <w:t>Lending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Loans</w:t>
            </w:r>
          </w:p>
        </w:tc>
        <w:tc>
          <w:tcPr>
            <w:tcW w:w="4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Processing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top w:val="single" w:sz="8" w:color="auto"/>
              <w:right w:val="single" w:sz="8" w:color="CFF0FC"/>
            </w:tcBorders>
          </w:tcPr>
          <w:p>
            <w:pPr>
              <w:spacing w:after="0"/>
              <w:rPr>
                <w:sz w:val="11"/>
                <w:szCs w:val="11"/>
                <w:color w:val="auto"/>
              </w:rPr>
            </w:pPr>
          </w:p>
        </w:tc>
        <w:tc>
          <w:tcPr>
            <w:tcW w:w="90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3"/>
                <w:szCs w:val="13"/>
                <w:color w:val="auto"/>
                <w:w w:val="95"/>
              </w:rPr>
              <w:t>Interest income:</w:t>
            </w:r>
          </w:p>
        </w:tc>
        <w:tc>
          <w:tcPr>
            <w:tcW w:w="740" w:type="dxa"/>
            <w:vAlign w:val="bottom"/>
            <w:gridSpan w:val="3"/>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right w:val="single" w:sz="8" w:color="CFF0FC"/>
            </w:tcBorders>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left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Education loans</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1,993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820</w:t>
            </w:r>
          </w:p>
        </w:tc>
        <w:tc>
          <w:tcPr>
            <w:tcW w:w="10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1,173</w:t>
            </w:r>
          </w:p>
        </w:tc>
        <w:tc>
          <w:tcPr>
            <w:tcW w:w="160" w:type="dxa"/>
            <w:vAlign w:val="bottom"/>
          </w:tcPr>
          <w:p>
            <w:pPr>
              <w:spacing w:after="0"/>
              <w:rPr>
                <w:sz w:val="11"/>
                <w:szCs w:val="11"/>
                <w:color w:val="auto"/>
              </w:rPr>
            </w:pPr>
          </w:p>
        </w:tc>
        <w:tc>
          <w:tcPr>
            <w:tcW w:w="340" w:type="dxa"/>
            <w:vAlign w:val="bottom"/>
            <w:gridSpan w:val="2"/>
          </w:tcPr>
          <w:p>
            <w:pPr>
              <w:jc w:val="right"/>
              <w:ind w:right="226"/>
              <w:spacing w:after="0"/>
              <w:rPr>
                <w:sz w:val="20"/>
                <w:szCs w:val="20"/>
                <w:color w:val="auto"/>
              </w:rPr>
            </w:pPr>
            <w:r>
              <w:rPr>
                <w:rFonts w:ascii="Arial" w:cs="Arial" w:eastAsia="Arial" w:hAnsi="Arial"/>
                <w:sz w:val="10"/>
                <w:szCs w:val="10"/>
                <w:color w:val="auto"/>
                <w:w w:val="71"/>
              </w:rPr>
              <w:t>$</w:t>
            </w:r>
          </w:p>
        </w:tc>
        <w:tc>
          <w:tcPr>
            <w:tcW w:w="360" w:type="dxa"/>
            <w:vAlign w:val="bottom"/>
          </w:tcPr>
          <w:p>
            <w:pPr>
              <w:ind w:left="220"/>
              <w:spacing w:after="0" w:line="135" w:lineRule="exact"/>
              <w:rPr>
                <w:sz w:val="20"/>
                <w:szCs w:val="20"/>
                <w:color w:val="auto"/>
              </w:rPr>
            </w:pPr>
            <w:r>
              <w:rPr>
                <w:rFonts w:ascii="Arial" w:cs="Arial" w:eastAsia="Arial" w:hAnsi="Arial"/>
                <w:sz w:val="13"/>
                <w:szCs w:val="13"/>
                <w:color w:val="auto"/>
                <w:w w:val="91"/>
              </w:rPr>
              <w:t>—</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Personal Loans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50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Cash and investments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51</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interest income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2,045</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835</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1,197</w:t>
            </w:r>
          </w:p>
        </w:tc>
        <w:tc>
          <w:tcPr>
            <w:tcW w:w="1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ind w:left="22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left w:val="single" w:sz="8" w:color="CFF0FC"/>
            </w:tcBorders>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Total interest expense</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1,677</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553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1,056</w:t>
            </w: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Borders>
              <w:right w:val="single" w:sz="8" w:color="CFF0FC"/>
            </w:tcBorders>
          </w:tcPr>
          <w:p>
            <w:pPr>
              <w:spacing w:after="0"/>
              <w:rPr>
                <w:sz w:val="9"/>
                <w:szCs w:val="9"/>
                <w:color w:val="auto"/>
              </w:rPr>
            </w:pPr>
          </w:p>
        </w:tc>
        <w:tc>
          <w:tcPr>
            <w:tcW w:w="164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Net interest income</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tcBorders>
              <w:right w:val="single" w:sz="8" w:color="CFF0FC"/>
            </w:tcBorders>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(loss)</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w:t>
            </w: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357</w:t>
            </w:r>
          </w:p>
        </w:tc>
        <w:tc>
          <w:tcPr>
            <w:tcW w:w="18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141</w:t>
            </w:r>
          </w:p>
        </w:tc>
        <w:tc>
          <w:tcPr>
            <w:tcW w:w="16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tcBorders>
              <w:lef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Less: provisions for loan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281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281</w:t>
            </w: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vMerge w:val="restart"/>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spacing w:after="0" w:line="139" w:lineRule="exact"/>
              <w:rPr>
                <w:sz w:val="20"/>
                <w:szCs w:val="20"/>
                <w:color w:val="auto"/>
              </w:rPr>
            </w:pPr>
            <w:r>
              <w:rPr>
                <w:rFonts w:ascii="Arial" w:cs="Arial" w:eastAsia="Arial" w:hAnsi="Arial"/>
                <w:sz w:val="13"/>
                <w:szCs w:val="13"/>
                <w:color w:val="auto"/>
              </w:rPr>
              <w:t>losses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Borders>
              <w:right w:val="single" w:sz="8" w:color="CFF0FC"/>
            </w:tcBorders>
          </w:tcPr>
          <w:p>
            <w:pPr>
              <w:spacing w:after="0"/>
              <w:rPr>
                <w:sz w:val="9"/>
                <w:szCs w:val="9"/>
                <w:color w:val="auto"/>
              </w:rPr>
            </w:pPr>
          </w:p>
        </w:tc>
        <w:tc>
          <w:tcPr>
            <w:tcW w:w="1640" w:type="dxa"/>
            <w:vAlign w:val="bottom"/>
            <w:gridSpan w:val="5"/>
            <w:shd w:val="clear" w:color="auto" w:fill="CFF0FC"/>
          </w:tcPr>
          <w:p>
            <w:pPr>
              <w:spacing w:after="0" w:line="111" w:lineRule="exact"/>
              <w:rPr>
                <w:sz w:val="20"/>
                <w:szCs w:val="20"/>
                <w:color w:val="auto"/>
              </w:rPr>
            </w:pPr>
            <w:r>
              <w:rPr>
                <w:rFonts w:ascii="Arial" w:cs="Arial" w:eastAsia="Arial" w:hAnsi="Arial"/>
                <w:sz w:val="12"/>
                <w:szCs w:val="12"/>
                <w:color w:val="auto"/>
              </w:rPr>
              <w:t>Net interest income</w:t>
            </w: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84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80" w:type="dxa"/>
            <w:vAlign w:val="bottom"/>
            <w:tcBorders>
              <w:right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6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left w:val="single" w:sz="8" w:color="CFF0FC"/>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(loss) after provisions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for loan losses</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w:t>
            </w: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111</w:t>
            </w:r>
          </w:p>
        </w:tc>
        <w:tc>
          <w:tcPr>
            <w:tcW w:w="16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tcBorders>
              <w:lef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Other income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Servicing revenue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31</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24</w:t>
            </w:r>
          </w:p>
        </w:tc>
        <w:tc>
          <w:tcPr>
            <w:tcW w:w="1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500" w:type="dxa"/>
            <w:vAlign w:val="bottom"/>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Asset recovery and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business processing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ind w:left="100"/>
              <w:spacing w:after="0"/>
              <w:rPr>
                <w:sz w:val="20"/>
                <w:szCs w:val="20"/>
                <w:color w:val="auto"/>
              </w:rPr>
            </w:pPr>
            <w:r>
              <w:rPr>
                <w:rFonts w:ascii="Arial" w:cs="Arial" w:eastAsia="Arial" w:hAnsi="Arial"/>
                <w:sz w:val="13"/>
                <w:szCs w:val="13"/>
                <w:color w:val="auto"/>
              </w:rPr>
              <w:t>revenue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Other revenue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34</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left w:val="single" w:sz="8" w:color="CFF0FC"/>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Gains on sales of loans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162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220"/>
              <w:spacing w:after="0" w:line="13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Net fair value changes of</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vMerge w:val="restart"/>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640" w:type="dxa"/>
            <w:vAlign w:val="bottom"/>
            <w:tcBorders>
              <w:bottom w:val="single" w:sz="8" w:color="CFF0FC"/>
            </w:tcBorders>
            <w:gridSpan w:val="5"/>
            <w:shd w:val="clear" w:color="auto" w:fill="CFF0FC"/>
          </w:tcPr>
          <w:p>
            <w:pPr>
              <w:spacing w:after="0" w:line="139" w:lineRule="exact"/>
              <w:rPr>
                <w:sz w:val="20"/>
                <w:szCs w:val="20"/>
                <w:color w:val="auto"/>
              </w:rPr>
            </w:pPr>
            <w:r>
              <w:rPr>
                <w:rFonts w:ascii="Arial" w:cs="Arial" w:eastAsia="Arial" w:hAnsi="Arial"/>
                <w:sz w:val="13"/>
                <w:szCs w:val="13"/>
                <w:color w:val="auto"/>
              </w:rPr>
              <w:t>loans</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gridSpan w:val="2"/>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160" w:type="dxa"/>
            <w:vAlign w:val="bottom"/>
            <w:tcBorders>
              <w:bottom w:val="single" w:sz="8" w:color="CFF0FC"/>
              <w:right w:val="single" w:sz="8" w:color="CFF0FC"/>
            </w:tcBorders>
            <w:vMerge w:val="continue"/>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left w:val="single" w:sz="8" w:color="CFF0FC"/>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29" w:lineRule="exact"/>
              <w:rPr>
                <w:sz w:val="20"/>
                <w:szCs w:val="20"/>
                <w:color w:val="auto"/>
              </w:rPr>
            </w:pPr>
            <w:r>
              <w:rPr>
                <w:rFonts w:ascii="Arial" w:cs="Arial" w:eastAsia="Arial" w:hAnsi="Arial"/>
                <w:sz w:val="13"/>
                <w:szCs w:val="13"/>
                <w:color w:val="auto"/>
              </w:rPr>
              <w:t>Total other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250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86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239</w:t>
            </w: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192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24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22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Expenses: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Direct operating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ind w:left="100"/>
              <w:spacing w:after="0"/>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182</w:t>
            </w:r>
          </w:p>
        </w:tc>
        <w:tc>
          <w:tcPr>
            <w:tcW w:w="1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Unallocated shared</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18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vMerge w:val="restart"/>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vMerge w:val="restart"/>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tcBorders>
              <w:lef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640" w:type="dxa"/>
            <w:vAlign w:val="bottom"/>
            <w:tcBorders>
              <w:bottom w:val="single" w:sz="8" w:color="CFF0FC"/>
            </w:tcBorders>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services expenses</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gridSpan w:val="2"/>
            <w:vMerge w:val="continue"/>
            <w:shd w:val="clear" w:color="auto" w:fill="CFF0FC"/>
          </w:tcPr>
          <w:p>
            <w:pPr>
              <w:spacing w:after="0"/>
              <w:rPr>
                <w:sz w:val="12"/>
                <w:szCs w:val="12"/>
                <w:color w:val="auto"/>
              </w:rPr>
            </w:pPr>
          </w:p>
        </w:tc>
        <w:tc>
          <w:tcPr>
            <w:tcW w:w="180" w:type="dxa"/>
            <w:vAlign w:val="bottom"/>
            <w:tcBorders>
              <w:bottom w:val="single" w:sz="8" w:color="CFF0FC"/>
              <w:right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right w:val="single" w:sz="8" w:color="CFF0FC"/>
            </w:tcBorders>
            <w:vMerge w:val="continue"/>
            <w:shd w:val="clear" w:color="auto" w:fill="CFF0FC"/>
          </w:tcPr>
          <w:p>
            <w:pPr>
              <w:spacing w:after="0"/>
              <w:rPr>
                <w:sz w:val="12"/>
                <w:szCs w:val="12"/>
                <w:color w:val="auto"/>
              </w:rPr>
            </w:pPr>
          </w:p>
        </w:tc>
        <w:tc>
          <w:tcPr>
            <w:tcW w:w="160" w:type="dxa"/>
            <w:vAlign w:val="bottom"/>
            <w:tcBorders>
              <w:bottom w:val="single" w:sz="8" w:color="CFF0FC"/>
              <w:right w:val="single" w:sz="8" w:color="CFF0FC"/>
            </w:tcBorders>
            <w:vMerge w:val="continue"/>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36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00" w:type="dxa"/>
            <w:vAlign w:val="bottom"/>
            <w:tcBorders>
              <w:left w:val="single" w:sz="8" w:color="CFF0FC"/>
              <w:bottom w:val="single" w:sz="8" w:color="auto"/>
            </w:tcBorders>
            <w:gridSpan w:val="2"/>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29" w:lineRule="exact"/>
              <w:rPr>
                <w:sz w:val="20"/>
                <w:szCs w:val="20"/>
                <w:color w:val="auto"/>
              </w:rPr>
            </w:pPr>
            <w:r>
              <w:rPr>
                <w:rFonts w:ascii="Arial" w:cs="Arial" w:eastAsia="Arial" w:hAnsi="Arial"/>
                <w:sz w:val="13"/>
                <w:szCs w:val="13"/>
                <w:color w:val="auto"/>
              </w:rPr>
              <w:t>Operating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246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246</w:t>
            </w: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44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22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Borders>
              <w:right w:val="single" w:sz="8" w:color="CFF0FC"/>
            </w:tcBorders>
          </w:tcPr>
          <w:p>
            <w:pPr>
              <w:spacing w:after="0"/>
              <w:rPr>
                <w:sz w:val="10"/>
                <w:szCs w:val="10"/>
                <w:color w:val="auto"/>
              </w:rPr>
            </w:pPr>
          </w:p>
        </w:tc>
        <w:tc>
          <w:tcPr>
            <w:tcW w:w="1640" w:type="dxa"/>
            <w:vAlign w:val="bottom"/>
            <w:gridSpan w:val="5"/>
            <w:shd w:val="clear" w:color="auto" w:fill="CFF0FC"/>
          </w:tcPr>
          <w:p>
            <w:pPr>
              <w:spacing w:after="0" w:line="117" w:lineRule="exact"/>
              <w:rPr>
                <w:sz w:val="20"/>
                <w:szCs w:val="20"/>
                <w:color w:val="auto"/>
              </w:rPr>
            </w:pPr>
            <w:r>
              <w:rPr>
                <w:rFonts w:ascii="Arial" w:cs="Arial" w:eastAsia="Arial" w:hAnsi="Arial"/>
                <w:sz w:val="13"/>
                <w:szCs w:val="13"/>
                <w:color w:val="auto"/>
              </w:rPr>
              <w:t>Goodwill and acquired</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intangible asset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impairment and</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Borders>
              <w:right w:val="single" w:sz="8" w:color="CFF0FC"/>
            </w:tcBorders>
          </w:tcPr>
          <w:p>
            <w:pPr>
              <w:spacing w:after="0"/>
              <w:rPr>
                <w:sz w:val="13"/>
                <w:szCs w:val="13"/>
                <w:color w:val="auto"/>
              </w:rPr>
            </w:pPr>
          </w:p>
        </w:tc>
        <w:tc>
          <w:tcPr>
            <w:tcW w:w="164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amortization</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5"/>
          </w:tcPr>
          <w:p>
            <w:pPr>
              <w:spacing w:after="0" w:line="117" w:lineRule="exact"/>
              <w:rPr>
                <w:sz w:val="20"/>
                <w:szCs w:val="20"/>
                <w:color w:val="auto"/>
              </w:rPr>
            </w:pPr>
            <w:r>
              <w:rPr>
                <w:rFonts w:ascii="Arial" w:cs="Arial" w:eastAsia="Arial" w:hAnsi="Arial"/>
                <w:sz w:val="13"/>
                <w:szCs w:val="13"/>
                <w:color w:val="auto"/>
              </w:rPr>
              <w:t>Restructuring/other</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reorganization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3"/>
                <w:szCs w:val="13"/>
                <w:color w:val="auto"/>
              </w:rPr>
              <w:t>4</w:t>
            </w: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vMerge w:val="restart"/>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ind w:left="100"/>
              <w:spacing w:after="0" w:line="139"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right w:val="single" w:sz="8" w:color="CFF0FC"/>
            </w:tcBorders>
          </w:tcPr>
          <w:p>
            <w:pPr>
              <w:spacing w:after="0"/>
              <w:rPr>
                <w:sz w:val="11"/>
                <w:szCs w:val="11"/>
                <w:color w:val="auto"/>
              </w:rPr>
            </w:pPr>
          </w:p>
        </w:tc>
        <w:tc>
          <w:tcPr>
            <w:tcW w:w="1640" w:type="dxa"/>
            <w:vAlign w:val="bottom"/>
            <w:gridSpan w:val="5"/>
            <w:shd w:val="clear" w:color="auto" w:fill="CFF0FC"/>
          </w:tcPr>
          <w:p>
            <w:pPr>
              <w:spacing w:after="0" w:line="129" w:lineRule="exact"/>
              <w:rPr>
                <w:sz w:val="20"/>
                <w:szCs w:val="20"/>
                <w:color w:val="auto"/>
              </w:rPr>
            </w:pPr>
            <w:r>
              <w:rPr>
                <w:rFonts w:ascii="Arial" w:cs="Arial" w:eastAsia="Arial" w:hAnsi="Arial"/>
                <w:sz w:val="13"/>
                <w:szCs w:val="13"/>
                <w:color w:val="auto"/>
              </w:rPr>
              <w:t>Total expenses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255</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tcBorders>
              <w:right w:val="single" w:sz="8" w:color="CFF0FC"/>
            </w:tcBorders>
            <w:gridSpan w:val="2"/>
            <w:shd w:val="clear" w:color="auto" w:fill="CFF0FC"/>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00"/>
              <w:spacing w:after="0" w:line="129" w:lineRule="exact"/>
              <w:rPr>
                <w:sz w:val="20"/>
                <w:szCs w:val="20"/>
                <w:color w:val="auto"/>
              </w:rPr>
            </w:pPr>
            <w:r>
              <w:rPr>
                <w:rFonts w:ascii="Arial" w:cs="Arial" w:eastAsia="Arial" w:hAnsi="Arial"/>
                <w:sz w:val="13"/>
                <w:szCs w:val="13"/>
                <w:color w:val="auto"/>
              </w:rPr>
              <w:t>(5)</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250</w:t>
            </w:r>
          </w:p>
        </w:tc>
        <w:tc>
          <w:tcPr>
            <w:tcW w:w="18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138</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44</w:t>
            </w:r>
          </w:p>
        </w:tc>
        <w:tc>
          <w:tcPr>
            <w:tcW w:w="160" w:type="dxa"/>
            <w:vAlign w:val="bottom"/>
            <w:tcBorders>
              <w:right w:val="single" w:sz="8" w:color="CFF0FC"/>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ind w:left="22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left w:val="single" w:sz="8" w:color="CFF0FC"/>
            </w:tcBorders>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68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tcBorders>
              <w:top w:val="single" w:sz="8" w:color="CFF0FC"/>
            </w:tcBorders>
            <w:gridSpan w:val="5"/>
          </w:tcPr>
          <w:p>
            <w:pPr>
              <w:spacing w:after="0" w:line="111" w:lineRule="exact"/>
              <w:rPr>
                <w:sz w:val="20"/>
                <w:szCs w:val="20"/>
                <w:color w:val="auto"/>
              </w:rPr>
            </w:pPr>
            <w:r>
              <w:rPr>
                <w:rFonts w:ascii="Arial" w:cs="Arial" w:eastAsia="Arial" w:hAnsi="Arial"/>
                <w:sz w:val="12"/>
                <w:szCs w:val="12"/>
                <w:color w:val="auto"/>
              </w:rPr>
              <w:t>Income (loss) before</w:t>
            </w: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income tax expense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color w:val="auto"/>
              </w:rPr>
              <w:t>(benefit)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1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right w:val="single" w:sz="8" w:color="CFF0FC"/>
            </w:tcBorders>
          </w:tcPr>
          <w:p>
            <w:pPr>
              <w:spacing w:after="0"/>
              <w:rPr>
                <w:sz w:val="9"/>
                <w:szCs w:val="9"/>
                <w:color w:val="auto"/>
              </w:rPr>
            </w:pPr>
          </w:p>
        </w:tc>
        <w:tc>
          <w:tcPr>
            <w:tcW w:w="1640" w:type="dxa"/>
            <w:vAlign w:val="bottom"/>
            <w:gridSpan w:val="5"/>
            <w:shd w:val="clear" w:color="auto" w:fill="CFF0FC"/>
          </w:tcPr>
          <w:p>
            <w:pPr>
              <w:spacing w:after="0" w:line="108" w:lineRule="exact"/>
              <w:rPr>
                <w:sz w:val="20"/>
                <w:szCs w:val="20"/>
                <w:color w:val="auto"/>
              </w:rPr>
            </w:pPr>
            <w:r>
              <w:rPr>
                <w:rFonts w:ascii="Arial" w:cs="Arial" w:eastAsia="Arial" w:hAnsi="Arial"/>
                <w:sz w:val="12"/>
                <w:szCs w:val="12"/>
                <w:color w:val="auto"/>
              </w:rPr>
              <w:t>Income tax expense</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FF0FC"/>
            </w:tcBorders>
            <w:vMerge w:val="restart"/>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8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160" w:type="dxa"/>
            <w:vAlign w:val="bottom"/>
            <w:tcBorders>
              <w:righ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360" w:type="dxa"/>
            <w:vAlign w:val="bottom"/>
            <w:vMerge w:val="restart"/>
            <w:shd w:val="clear" w:color="auto" w:fill="CFF0FC"/>
          </w:tcPr>
          <w:p>
            <w:pPr>
              <w:ind w:left="220"/>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tcBorders>
              <w:left w:val="single" w:sz="8" w:color="CFF0FC"/>
            </w:tcBorders>
            <w:gridSpan w:val="3"/>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Borders>
              <w:right w:val="single" w:sz="8" w:color="CFF0FC"/>
            </w:tcBorders>
          </w:tcPr>
          <w:p>
            <w:pPr>
              <w:spacing w:after="0"/>
              <w:rPr>
                <w:sz w:val="12"/>
                <w:szCs w:val="12"/>
                <w:color w:val="auto"/>
              </w:rPr>
            </w:pPr>
          </w:p>
        </w:tc>
        <w:tc>
          <w:tcPr>
            <w:tcW w:w="1640" w:type="dxa"/>
            <w:vAlign w:val="bottom"/>
            <w:gridSpan w:val="5"/>
            <w:shd w:val="clear" w:color="auto" w:fill="CFF0FC"/>
          </w:tcPr>
          <w:p>
            <w:pPr>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tcBorders>
              <w:right w:val="single" w:sz="8" w:color="CFF0FC"/>
            </w:tcBorders>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tcBorders>
              <w:right w:val="single" w:sz="8" w:color="CFF0FC"/>
            </w:tcBorders>
            <w:vMerge w:val="continue"/>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tcBorders>
              <w:left w:val="single" w:sz="8" w:color="CFF0FC"/>
            </w:tcBorders>
            <w:gridSpan w:val="3"/>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right w:val="single" w:sz="8" w:color="CFF0FC"/>
            </w:tcBorders>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720" w:type="dxa"/>
            <w:vAlign w:val="bottom"/>
            <w:gridSpan w:val="6"/>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56</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50</w:t>
            </w:r>
          </w:p>
        </w:tc>
        <w:tc>
          <w:tcPr>
            <w:tcW w:w="1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65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70</w:t>
            </w:r>
          </w:p>
        </w:tc>
        <w:tc>
          <w:tcPr>
            <w:tcW w:w="160" w:type="dxa"/>
            <w:vAlign w:val="bottom"/>
          </w:tcPr>
          <w:p>
            <w:pPr>
              <w:spacing w:after="0"/>
              <w:rPr>
                <w:sz w:val="11"/>
                <w:szCs w:val="11"/>
                <w:color w:val="auto"/>
              </w:rPr>
            </w:pPr>
          </w:p>
        </w:tc>
        <w:tc>
          <w:tcPr>
            <w:tcW w:w="340" w:type="dxa"/>
            <w:vAlign w:val="bottom"/>
            <w:tcBorders>
              <w:bottom w:val="single" w:sz="8" w:color="auto"/>
            </w:tcBorders>
            <w:gridSpan w:val="2"/>
          </w:tcPr>
          <w:p>
            <w:pPr>
              <w:jc w:val="right"/>
              <w:ind w:right="226"/>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ind w:left="220"/>
              <w:spacing w:after="0" w:line="115" w:lineRule="exact"/>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00" w:type="dxa"/>
            <w:vAlign w:val="bottom"/>
            <w:gridSpan w:val="2"/>
          </w:tcPr>
          <w:p>
            <w:pPr>
              <w:spacing w:after="0"/>
              <w:rPr>
                <w:sz w:val="20"/>
                <w:szCs w:val="20"/>
                <w:color w:val="auto"/>
              </w:rPr>
            </w:pPr>
            <w:r>
              <w:rPr>
                <w:rFonts w:ascii="Arial" w:cs="Arial" w:eastAsia="Arial" w:hAnsi="Arial"/>
                <w:sz w:val="6"/>
                <w:szCs w:val="6"/>
                <w:color w:val="auto"/>
                <w:w w:val="81"/>
              </w:rPr>
              <w:t>(1)</w:t>
            </w:r>
          </w:p>
        </w:tc>
        <w:tc>
          <w:tcPr>
            <w:tcW w:w="2680" w:type="dxa"/>
            <w:vAlign w:val="bottom"/>
            <w:gridSpan w:val="9"/>
            <w:vMerge w:val="restart"/>
          </w:tcPr>
          <w:p>
            <w:pPr>
              <w:ind w:left="260"/>
              <w:spacing w:after="0"/>
              <w:rPr>
                <w:sz w:val="20"/>
                <w:szCs w:val="20"/>
                <w:color w:val="auto"/>
              </w:rPr>
            </w:pPr>
            <w:r>
              <w:rPr>
                <w:rFonts w:ascii="Arial" w:cs="Arial" w:eastAsia="Arial" w:hAnsi="Arial"/>
                <w:sz w:val="14"/>
                <w:szCs w:val="14"/>
                <w:color w:val="auto"/>
              </w:rPr>
              <w:t>Core Earnings adjustments to GAAP:</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5"/>
          </w:tcPr>
          <w:p>
            <w:pPr>
              <w:spacing w:after="0"/>
              <w:rPr>
                <w:sz w:val="12"/>
                <w:szCs w:val="12"/>
                <w:color w:val="auto"/>
              </w:rPr>
            </w:pPr>
          </w:p>
        </w:tc>
        <w:tc>
          <w:tcPr>
            <w:tcW w:w="200" w:type="dxa"/>
            <w:vAlign w:val="bottom"/>
            <w:gridSpan w:val="2"/>
          </w:tcPr>
          <w:p>
            <w:pPr>
              <w:spacing w:after="0"/>
              <w:rPr>
                <w:sz w:val="12"/>
                <w:szCs w:val="12"/>
                <w:color w:val="auto"/>
              </w:rPr>
            </w:pPr>
          </w:p>
        </w:tc>
        <w:tc>
          <w:tcPr>
            <w:tcW w:w="6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80" w:type="dxa"/>
            <w:vAlign w:val="bottom"/>
            <w:tcBorders>
              <w:right w:val="single" w:sz="8" w:color="D9D9D9"/>
            </w:tcBorders>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2520" w:type="dxa"/>
            <w:vAlign w:val="bottom"/>
            <w:gridSpan w:val="10"/>
            <w:shd w:val="clear" w:color="auto" w:fill="D9D9D9"/>
          </w:tcPr>
          <w:p>
            <w:pPr>
              <w:jc w:val="center"/>
              <w:ind w:right="97"/>
              <w:spacing w:after="0" w:line="122" w:lineRule="exact"/>
              <w:rPr>
                <w:sz w:val="20"/>
                <w:szCs w:val="20"/>
                <w:color w:val="auto"/>
              </w:rPr>
            </w:pPr>
            <w:r>
              <w:rPr>
                <w:rFonts w:ascii="Arial" w:cs="Arial" w:eastAsia="Arial" w:hAnsi="Arial"/>
                <w:sz w:val="11"/>
                <w:szCs w:val="11"/>
                <w:b w:val="1"/>
                <w:bCs w:val="1"/>
                <w:color w:val="auto"/>
                <w:w w:val="98"/>
              </w:rPr>
              <w:t>NINE MONTHS ENDED SEPTEMBER 30, 2026</w:t>
            </w:r>
          </w:p>
        </w:tc>
        <w:tc>
          <w:tcPr>
            <w:tcW w:w="1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00" w:type="dxa"/>
            <w:vAlign w:val="bottom"/>
            <w:tcBorders>
              <w:left w:val="single" w:sz="8" w:color="D9D9D9"/>
            </w:tcBorders>
            <w:shd w:val="clear" w:color="auto" w:fill="D9D9D9"/>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4"/>
            <w:vMerge w:val="restart"/>
          </w:tcPr>
          <w:p>
            <w:pPr>
              <w:jc w:val="center"/>
              <w:ind w:right="277"/>
              <w:spacing w:after="0"/>
              <w:rPr>
                <w:sz w:val="20"/>
                <w:szCs w:val="20"/>
                <w:color w:val="auto"/>
              </w:rPr>
            </w:pPr>
            <w:r>
              <w:rPr>
                <w:rFonts w:ascii="Arial" w:cs="Arial" w:eastAsia="Arial" w:hAnsi="Arial"/>
                <w:sz w:val="11"/>
                <w:szCs w:val="11"/>
                <w:b w:val="1"/>
                <w:bCs w:val="1"/>
                <w:color w:val="auto"/>
                <w:w w:val="96"/>
              </w:rPr>
              <w:t xml:space="preserve">Net </w:t>
            </w:r>
            <w:r>
              <w:rPr>
                <w:rFonts w:ascii="Times New Roman" w:cs="Times New Roman" w:eastAsia="Times New Roman" w:hAnsi="Times New Roman"/>
                <w:sz w:val="11"/>
                <w:szCs w:val="11"/>
                <w:b w:val="1"/>
                <w:bCs w:val="1"/>
                <w:color w:val="auto"/>
                <w:w w:val="96"/>
              </w:rPr>
              <w:t>Impact of</w:t>
            </w:r>
          </w:p>
        </w:tc>
        <w:tc>
          <w:tcPr>
            <w:tcW w:w="100" w:type="dxa"/>
            <w:vAlign w:val="bottom"/>
          </w:tcPr>
          <w:p>
            <w:pPr>
              <w:spacing w:after="0"/>
              <w:rPr>
                <w:sz w:val="9"/>
                <w:szCs w:val="9"/>
                <w:color w:val="auto"/>
              </w:rPr>
            </w:pPr>
          </w:p>
        </w:tc>
        <w:tc>
          <w:tcPr>
            <w:tcW w:w="980" w:type="dxa"/>
            <w:vAlign w:val="bottom"/>
            <w:gridSpan w:val="4"/>
          </w:tcPr>
          <w:p>
            <w:pPr>
              <w:jc w:val="center"/>
              <w:ind w:right="26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4"/>
          </w:tcPr>
          <w:p>
            <w:pPr>
              <w:jc w:val="center"/>
              <w:ind w:right="260"/>
              <w:spacing w:after="0" w:line="119" w:lineRule="exact"/>
              <w:rPr>
                <w:sz w:val="20"/>
                <w:szCs w:val="20"/>
                <w:color w:val="auto"/>
              </w:rPr>
            </w:pPr>
            <w:r>
              <w:rPr>
                <w:rFonts w:ascii="Arial" w:cs="Arial" w:eastAsia="Arial" w:hAnsi="Arial"/>
                <w:sz w:val="11"/>
                <w:szCs w:val="11"/>
                <w:b w:val="1"/>
                <w:bCs w:val="1"/>
                <w:color w:val="auto"/>
                <w:w w:val="98"/>
              </w:rPr>
              <w:t>Goodwill and</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tcPr>
          <w:p>
            <w:pPr>
              <w:jc w:val="center"/>
              <w:ind w:right="377"/>
              <w:spacing w:after="0" w:line="122" w:lineRule="exact"/>
              <w:rPr>
                <w:sz w:val="20"/>
                <w:szCs w:val="20"/>
                <w:color w:val="auto"/>
              </w:rPr>
            </w:pPr>
            <w:r>
              <w:rPr>
                <w:rFonts w:ascii="Times New Roman" w:cs="Times New Roman" w:eastAsia="Times New Roman" w:hAnsi="Times New Roman"/>
                <w:sz w:val="11"/>
                <w:szCs w:val="11"/>
                <w:b w:val="1"/>
                <w:bCs w:val="1"/>
                <w:color w:val="auto"/>
                <w:w w:val="81"/>
              </w:rPr>
              <w:t>Derivative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277"/>
              <w:spacing w:after="0"/>
              <w:rPr>
                <w:sz w:val="20"/>
                <w:szCs w:val="20"/>
                <w:color w:val="auto"/>
              </w:rPr>
            </w:pPr>
            <w:r>
              <w:rPr>
                <w:rFonts w:ascii="Times New Roman" w:cs="Times New Roman" w:eastAsia="Times New Roman" w:hAnsi="Times New Roman"/>
                <w:sz w:val="11"/>
                <w:szCs w:val="11"/>
                <w:b w:val="1"/>
                <w:bCs w:val="1"/>
                <w:color w:val="auto"/>
                <w:w w:val="96"/>
              </w:rPr>
              <w:t>Accounting</w:t>
            </w:r>
          </w:p>
        </w:tc>
        <w:tc>
          <w:tcPr>
            <w:tcW w:w="100" w:type="dxa"/>
            <w:vAlign w:val="bottom"/>
          </w:tcPr>
          <w:p>
            <w:pPr>
              <w:spacing w:after="0"/>
              <w:rPr>
                <w:sz w:val="11"/>
                <w:szCs w:val="11"/>
                <w:color w:val="auto"/>
              </w:rPr>
            </w:pPr>
          </w:p>
        </w:tc>
        <w:tc>
          <w:tcPr>
            <w:tcW w:w="9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6"/>
              </w:rPr>
              <w:t>Intangibles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ind w:left="20"/>
              <w:spacing w:after="0"/>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0" w:type="dxa"/>
            <w:vAlign w:val="bottom"/>
            <w:tcBorders>
              <w:right w:val="single" w:sz="8" w:color="CFF0FC"/>
            </w:tcBorders>
            <w:gridSpan w:val="11"/>
            <w:shd w:val="clear" w:color="auto" w:fill="CFF0FC"/>
          </w:tcPr>
          <w:p>
            <w:pPr>
              <w:spacing w:after="0" w:line="129" w:lineRule="exact"/>
              <w:rPr>
                <w:sz w:val="20"/>
                <w:szCs w:val="20"/>
                <w:color w:val="auto"/>
              </w:rPr>
            </w:pPr>
            <w:r>
              <w:rPr>
                <w:rFonts w:ascii="Arial" w:cs="Arial" w:eastAsia="Arial" w:hAnsi="Arial"/>
                <w:sz w:val="13"/>
                <w:szCs w:val="13"/>
                <w:color w:val="auto"/>
                <w:w w:val="96"/>
              </w:rPr>
              <w:t>Net interest income (loss) after provisions for loan losses</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8"/>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77"/>
              <w:spacing w:after="0" w:line="129" w:lineRule="exact"/>
              <w:rPr>
                <w:sz w:val="20"/>
                <w:szCs w:val="20"/>
                <w:color w:val="auto"/>
              </w:rPr>
            </w:pPr>
            <w:r>
              <w:rPr>
                <w:rFonts w:ascii="Arial" w:cs="Arial" w:eastAsia="Arial" w:hAnsi="Arial"/>
                <w:sz w:val="13"/>
                <w:szCs w:val="13"/>
                <w:color w:val="auto"/>
              </w:rPr>
              <w:t>(11)</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tcBorders>
              <w:right w:val="single" w:sz="8" w:color="CFF0FC"/>
            </w:tcBorders>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ind w:left="40"/>
              <w:spacing w:after="0" w:line="129"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(11)</w:t>
            </w:r>
          </w:p>
        </w:tc>
        <w:tc>
          <w:tcPr>
            <w:tcW w:w="100" w:type="dxa"/>
            <w:vAlign w:val="bottom"/>
            <w:tcBorders>
              <w:left w:val="single" w:sz="8" w:color="CFF0FC"/>
            </w:tcBorders>
            <w:shd w:val="clear" w:color="auto" w:fill="CFF0FC"/>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line="135" w:lineRule="exact"/>
              <w:rPr>
                <w:sz w:val="20"/>
                <w:szCs w:val="20"/>
                <w:color w:val="auto"/>
              </w:rPr>
            </w:pPr>
            <w:r>
              <w:rPr>
                <w:rFonts w:ascii="Arial" w:cs="Arial" w:eastAsia="Arial" w:hAnsi="Arial"/>
                <w:sz w:val="13"/>
                <w:szCs w:val="13"/>
                <w:color w:val="auto"/>
              </w:rPr>
              <w:t>Total other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160" w:type="dxa"/>
            <w:vAlign w:val="bottom"/>
            <w:gridSpan w:val="14"/>
            <w:shd w:val="clear" w:color="auto" w:fill="CFF0FC"/>
          </w:tcPr>
          <w:p>
            <w:pPr>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tcBorders>
              <w:right w:val="single" w:sz="8" w:color="CFF0FC"/>
            </w:tcBorders>
            <w:gridSpan w:val="2"/>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w:t>
            </w:r>
          </w:p>
        </w:tc>
        <w:tc>
          <w:tcPr>
            <w:tcW w:w="100" w:type="dxa"/>
            <w:vAlign w:val="bottom"/>
            <w:tcBorders>
              <w:left w:val="single" w:sz="8" w:color="CFF0FC"/>
            </w:tcBorders>
            <w:shd w:val="clear" w:color="auto" w:fill="CFF0FC"/>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80" w:type="dxa"/>
            <w:vAlign w:val="bottom"/>
            <w:gridSpan w:val="9"/>
          </w:tcPr>
          <w:p>
            <w:pPr>
              <w:spacing w:after="0" w:line="129" w:lineRule="exact"/>
              <w:rPr>
                <w:sz w:val="20"/>
                <w:szCs w:val="20"/>
                <w:color w:val="auto"/>
              </w:rPr>
            </w:pPr>
            <w:r>
              <w:rPr>
                <w:rFonts w:ascii="Arial" w:cs="Arial" w:eastAsia="Arial" w:hAnsi="Arial"/>
                <w:sz w:val="13"/>
                <w:szCs w:val="13"/>
                <w:color w:val="auto"/>
                <w:w w:val="96"/>
              </w:rPr>
              <w:t>Total Core Earnings adjustments to GAAP</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(22)</w:t>
            </w:r>
          </w:p>
        </w:tc>
        <w:tc>
          <w:tcPr>
            <w:tcW w:w="2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80" w:type="dxa"/>
            <w:vAlign w:val="bottom"/>
            <w:tcBorders>
              <w:right w:val="single" w:sz="8" w:color="CFF0FC"/>
            </w:tcBorders>
            <w:gridSpan w:val="8"/>
            <w:shd w:val="clear" w:color="auto" w:fill="CFF0FC"/>
          </w:tcPr>
          <w:p>
            <w:pPr>
              <w:spacing w:after="0" w:line="116" w:lineRule="exact"/>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60" w:type="dxa"/>
            <w:vAlign w:val="bottom"/>
            <w:gridSpan w:val="2"/>
            <w:shd w:val="clear" w:color="auto" w:fill="CFF0FC"/>
          </w:tcPr>
          <w:p>
            <w:pPr>
              <w:jc w:val="right"/>
              <w:spacing w:after="0" w:line="116" w:lineRule="exact"/>
              <w:rPr>
                <w:sz w:val="20"/>
                <w:szCs w:val="20"/>
                <w:color w:val="auto"/>
              </w:rPr>
            </w:pPr>
            <w:r>
              <w:rPr>
                <w:rFonts w:ascii="Arial" w:cs="Arial" w:eastAsia="Arial" w:hAnsi="Arial"/>
                <w:sz w:val="13"/>
                <w:szCs w:val="13"/>
                <w:color w:val="auto"/>
              </w:rPr>
              <w:t>(11)</w:t>
            </w:r>
          </w:p>
        </w:tc>
        <w:tc>
          <w:tcPr>
            <w:tcW w:w="100" w:type="dxa"/>
            <w:vAlign w:val="bottom"/>
            <w:tcBorders>
              <w:left w:val="single" w:sz="8" w:color="CFF0FC"/>
            </w:tcBorders>
            <w:shd w:val="clear" w:color="auto" w:fill="CFF0FC"/>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-3154045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-3154045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-3154045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-3154045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-3154045</wp:posOffset>
            </wp:positionV>
            <wp:extent cx="603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-3154045</wp:posOffset>
            </wp:positionV>
            <wp:extent cx="596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-3154045</wp:posOffset>
            </wp:positionV>
            <wp:extent cx="603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5870575</wp:posOffset>
            </wp:positionH>
            <wp:positionV relativeFrom="paragraph">
              <wp:posOffset>-3154045</wp:posOffset>
            </wp:positionV>
            <wp:extent cx="603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-3154045</wp:posOffset>
            </wp:positionV>
            <wp:extent cx="603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-2639695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-2639695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-2639695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-2639695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-2639695</wp:posOffset>
            </wp:positionV>
            <wp:extent cx="603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-2639695</wp:posOffset>
            </wp:positionV>
            <wp:extent cx="596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-2639695</wp:posOffset>
            </wp:positionV>
            <wp:extent cx="603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5870575</wp:posOffset>
            </wp:positionH>
            <wp:positionV relativeFrom="paragraph">
              <wp:posOffset>-2639695</wp:posOffset>
            </wp:positionV>
            <wp:extent cx="603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-2639695</wp:posOffset>
            </wp:positionV>
            <wp:extent cx="603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-1859280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-1859280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-1859280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-1859280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-1859280</wp:posOffset>
            </wp:positionV>
            <wp:extent cx="603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-1859280</wp:posOffset>
            </wp:positionV>
            <wp:extent cx="596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-1859280</wp:posOffset>
            </wp:positionV>
            <wp:extent cx="603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5870575</wp:posOffset>
            </wp:positionH>
            <wp:positionV relativeFrom="paragraph">
              <wp:posOffset>-1859280</wp:posOffset>
            </wp:positionV>
            <wp:extent cx="603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-1859280</wp:posOffset>
            </wp:positionV>
            <wp:extent cx="603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1626870</wp:posOffset>
            </wp:positionH>
            <wp:positionV relativeFrom="paragraph">
              <wp:posOffset>-1430655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-1430655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-1430655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3581400</wp:posOffset>
            </wp:positionH>
            <wp:positionV relativeFrom="paragraph">
              <wp:posOffset>-1430655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-1430655</wp:posOffset>
            </wp:positionV>
            <wp:extent cx="603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-1430655</wp:posOffset>
            </wp:positionV>
            <wp:extent cx="596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-1430655</wp:posOffset>
            </wp:positionV>
            <wp:extent cx="603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5870575</wp:posOffset>
            </wp:positionH>
            <wp:positionV relativeFrom="paragraph">
              <wp:posOffset>-1430655</wp:posOffset>
            </wp:positionV>
            <wp:extent cx="603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-1430655</wp:posOffset>
            </wp:positionV>
            <wp:extent cx="603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-325120</wp:posOffset>
            </wp:positionV>
            <wp:extent cx="514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-325120</wp:posOffset>
            </wp:positionV>
            <wp:extent cx="514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-325120</wp:posOffset>
            </wp:positionV>
            <wp:extent cx="514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-119380</wp:posOffset>
            </wp:positionV>
            <wp:extent cx="5143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4" w:lineRule="exact"/>
        <w:rPr>
          <w:sz w:val="20"/>
          <w:szCs w:val="20"/>
          <w:color w:val="auto"/>
        </w:rPr>
      </w:pPr>
    </w:p>
    <w:p>
      <w:pPr>
        <w:ind w:left="265" w:hanging="265"/>
        <w:spacing w:after="0"/>
        <w:tabs>
          <w:tab w:leader="none" w:pos="265" w:val="left"/>
        </w:tabs>
        <w:numPr>
          <w:ilvl w:val="0"/>
          <w:numId w:val="23"/>
        </w:numPr>
        <w:rPr>
          <w:rFonts w:ascii="Arial" w:cs="Arial" w:eastAsia="Arial" w:hAnsi="Arial"/>
          <w:sz w:val="8"/>
          <w:szCs w:val="8"/>
          <w:color w:val="auto"/>
        </w:rPr>
      </w:pPr>
      <w:r>
        <w:rPr>
          <w:rFonts w:ascii="Arial" w:cs="Arial" w:eastAsia="Arial" w:hAnsi="Arial"/>
          <w:sz w:val="14"/>
          <w:szCs w:val="14"/>
          <w:color w:val="auto"/>
        </w:rPr>
        <w:t>Income taxes are based on a percentage of net income before tax for the individual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925"/>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479425</wp:posOffset>
            </wp:positionV>
            <wp:extent cx="703770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999" w:right="1099" w:bottom="1440" w:gutter="0" w:footer="0" w:header="0"/>
        </w:sectPr>
      </w:pPr>
    </w:p>
    <w:bookmarkStart w:id="26" w:name="page27"/>
    <w:bookmarkEnd w:id="26"/>
    <w:tbl>
      <w:tblPr>
        <w:tblLayout w:type="fixed"/>
        <w:tblInd w:w="5"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5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2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72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140" w:type="dxa"/>
            <w:vAlign w:val="bottom"/>
            <w:shd w:val="clear" w:color="auto" w:fill="D9D9D9"/>
          </w:tcPr>
          <w:p>
            <w:pPr>
              <w:spacing w:after="0"/>
              <w:rPr>
                <w:sz w:val="10"/>
                <w:szCs w:val="10"/>
                <w:color w:val="auto"/>
              </w:rPr>
            </w:pPr>
          </w:p>
        </w:tc>
        <w:tc>
          <w:tcPr>
            <w:tcW w:w="2720" w:type="dxa"/>
            <w:vAlign w:val="bottom"/>
            <w:gridSpan w:val="12"/>
            <w:shd w:val="clear" w:color="auto" w:fill="D9D9D9"/>
          </w:tcPr>
          <w:p>
            <w:pPr>
              <w:jc w:val="right"/>
              <w:ind w:right="340"/>
              <w:spacing w:after="0"/>
              <w:rPr>
                <w:sz w:val="20"/>
                <w:szCs w:val="20"/>
                <w:color w:val="auto"/>
              </w:rPr>
            </w:pPr>
            <w:r>
              <w:rPr>
                <w:rFonts w:ascii="Arial" w:cs="Arial" w:eastAsia="Arial" w:hAnsi="Arial"/>
                <w:sz w:val="11"/>
                <w:szCs w:val="11"/>
                <w:b w:val="1"/>
                <w:bCs w:val="1"/>
                <w:color w:val="auto"/>
              </w:rPr>
              <w:t>NINE MONTHS ENDED SEPTEMBER 30, 2025</w:t>
            </w:r>
          </w:p>
        </w:tc>
        <w:tc>
          <w:tcPr>
            <w:tcW w:w="100" w:type="dxa"/>
            <w:vAlign w:val="bottom"/>
            <w:shd w:val="clear" w:color="auto" w:fill="D9D9D9"/>
          </w:tcPr>
          <w:p>
            <w:pPr>
              <w:spacing w:after="0"/>
              <w:rPr>
                <w:sz w:val="10"/>
                <w:szCs w:val="10"/>
                <w:color w:val="auto"/>
              </w:rPr>
            </w:pPr>
          </w:p>
        </w:tc>
        <w:tc>
          <w:tcPr>
            <w:tcW w:w="4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680" w:type="dxa"/>
            <w:vAlign w:val="bottom"/>
            <w:shd w:val="clear" w:color="auto" w:fill="D9D9D9"/>
          </w:tcPr>
          <w:p>
            <w:pPr>
              <w:spacing w:after="0"/>
              <w:rPr>
                <w:sz w:val="10"/>
                <w:szCs w:val="10"/>
                <w:color w:val="auto"/>
              </w:rPr>
            </w:pPr>
          </w:p>
        </w:tc>
        <w:tc>
          <w:tcPr>
            <w:tcW w:w="120" w:type="dxa"/>
            <w:vAlign w:val="bottom"/>
            <w:tcBorders>
              <w:left w:val="single" w:sz="8" w:color="D9D9D9"/>
            </w:tcBorders>
            <w:shd w:val="clear" w:color="auto" w:fill="D9D9D9"/>
          </w:tcPr>
          <w:p>
            <w:pPr>
              <w:spacing w:after="0"/>
              <w:rPr>
                <w:sz w:val="10"/>
                <w:szCs w:val="10"/>
                <w:color w:val="auto"/>
              </w:rPr>
            </w:pPr>
          </w:p>
        </w:tc>
        <w:tc>
          <w:tcPr>
            <w:tcW w:w="100" w:type="dxa"/>
            <w:vAlign w:val="bottom"/>
            <w:tcBorders>
              <w:right w:val="single" w:sz="8" w:color="D9D9D9"/>
            </w:tcBorders>
            <w:shd w:val="clear" w:color="auto" w:fill="D9D9D9"/>
          </w:tcPr>
          <w:p>
            <w:pPr>
              <w:spacing w:after="0"/>
              <w:rPr>
                <w:sz w:val="10"/>
                <w:szCs w:val="10"/>
                <w:color w:val="auto"/>
              </w:rPr>
            </w:pPr>
          </w:p>
        </w:tc>
        <w:tc>
          <w:tcPr>
            <w:tcW w:w="300" w:type="dxa"/>
            <w:vAlign w:val="bottom"/>
            <w:shd w:val="clear" w:color="auto" w:fill="D9D9D9"/>
          </w:tcPr>
          <w:p>
            <w:pPr>
              <w:spacing w:after="0"/>
              <w:rPr>
                <w:sz w:val="10"/>
                <w:szCs w:val="10"/>
                <w:color w:val="auto"/>
              </w:rPr>
            </w:pPr>
          </w:p>
        </w:tc>
        <w:tc>
          <w:tcPr>
            <w:tcW w:w="32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40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Adjustments</w:t>
            </w: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right w:val="single" w:sz="8" w:color="auto"/>
            </w:tcBorders>
            <w:gridSpan w:val="3"/>
            <w:vMerge w:val="restart"/>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right"/>
              <w:spacing w:after="0" w:line="122" w:lineRule="exact"/>
              <w:rPr>
                <w:sz w:val="20"/>
                <w:szCs w:val="20"/>
                <w:color w:val="auto"/>
              </w:rPr>
            </w:pPr>
            <w:r>
              <w:rPr>
                <w:rFonts w:ascii="Arial" w:cs="Arial" w:eastAsia="Arial" w:hAnsi="Arial"/>
                <w:sz w:val="11"/>
                <w:szCs w:val="11"/>
                <w:b w:val="1"/>
                <w:bCs w:val="1"/>
                <w:color w:val="auto"/>
              </w:rPr>
              <w:t>Reportable Segments</w:t>
            </w: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right w:val="single" w:sz="8" w:color="auto"/>
            </w:tcBorders>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96"/>
              </w:rPr>
              <w:t>Federal</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28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w w:val="99"/>
              </w:rPr>
              <w:t>Reclassi-</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280"/>
              <w:spacing w:after="0" w:line="108" w:lineRule="exact"/>
              <w:rPr>
                <w:sz w:val="20"/>
                <w:szCs w:val="20"/>
                <w:color w:val="auto"/>
              </w:rPr>
            </w:pPr>
            <w:r>
              <w:rPr>
                <w:rFonts w:ascii="Arial" w:cs="Arial" w:eastAsia="Arial" w:hAnsi="Arial"/>
                <w:sz w:val="11"/>
                <w:szCs w:val="11"/>
                <w:b w:val="1"/>
                <w:bCs w:val="1"/>
                <w:color w:val="auto"/>
              </w:rPr>
              <w:t>Additions/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right"/>
              <w:ind w:right="440"/>
              <w:spacing w:after="0" w:line="108"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right w:val="single" w:sz="8" w:color="auto"/>
            </w:tcBorders>
            <w:gridSpan w:val="3"/>
          </w:tcPr>
          <w:p>
            <w:pPr>
              <w:jc w:val="center"/>
              <w:ind w:right="240"/>
              <w:spacing w:after="0" w:line="108" w:lineRule="exact"/>
              <w:rPr>
                <w:sz w:val="20"/>
                <w:szCs w:val="20"/>
                <w:color w:val="auto"/>
              </w:rPr>
            </w:pPr>
            <w:r>
              <w:rPr>
                <w:rFonts w:ascii="Arial" w:cs="Arial" w:eastAsia="Arial" w:hAnsi="Arial"/>
                <w:sz w:val="11"/>
                <w:szCs w:val="11"/>
                <w:b w:val="1"/>
                <w:bCs w:val="1"/>
                <w:color w:val="auto"/>
                <w:w w:val="95"/>
              </w:rPr>
              <w:t>Core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tcPr>
          <w:p>
            <w:pPr>
              <w:jc w:val="right"/>
              <w:ind w:right="220"/>
              <w:spacing w:after="0" w:line="108" w:lineRule="exact"/>
              <w:rPr>
                <w:sz w:val="20"/>
                <w:szCs w:val="20"/>
                <w:color w:val="auto"/>
              </w:rPr>
            </w:pPr>
            <w:r>
              <w:rPr>
                <w:rFonts w:ascii="Arial" w:cs="Arial" w:eastAsia="Arial" w:hAnsi="Arial"/>
                <w:sz w:val="11"/>
                <w:szCs w:val="11"/>
                <w:b w:val="1"/>
                <w:bCs w:val="1"/>
                <w:color w:val="auto"/>
                <w:w w:val="99"/>
              </w:rPr>
              <w:t>Consumer</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7"/>
              </w:rPr>
              <w:t>Education</w:t>
            </w:r>
          </w:p>
        </w:tc>
        <w:tc>
          <w:tcPr>
            <w:tcW w:w="100" w:type="dxa"/>
            <w:vAlign w:val="bottom"/>
          </w:tcPr>
          <w:p>
            <w:pPr>
              <w:spacing w:after="0"/>
              <w:rPr>
                <w:sz w:val="9"/>
                <w:szCs w:val="9"/>
                <w:color w:val="auto"/>
              </w:rPr>
            </w:pPr>
          </w:p>
        </w:tc>
        <w:tc>
          <w:tcPr>
            <w:tcW w:w="620" w:type="dxa"/>
            <w:vAlign w:val="bottom"/>
            <w:gridSpan w:val="2"/>
          </w:tcPr>
          <w:p>
            <w:pPr>
              <w:jc w:val="right"/>
              <w:ind w:right="57"/>
              <w:spacing w:after="0" w:line="108" w:lineRule="exact"/>
              <w:rPr>
                <w:sz w:val="20"/>
                <w:szCs w:val="20"/>
                <w:color w:val="auto"/>
              </w:rPr>
            </w:pPr>
            <w:r>
              <w:rPr>
                <w:rFonts w:ascii="Arial" w:cs="Arial" w:eastAsia="Arial" w:hAnsi="Arial"/>
                <w:sz w:val="11"/>
                <w:szCs w:val="11"/>
                <w:b w:val="1"/>
                <w:bCs w:val="1"/>
                <w:color w:val="auto"/>
                <w:w w:val="98"/>
              </w:rPr>
              <w:t>Business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20" w:type="dxa"/>
            <w:vAlign w:val="bottom"/>
            <w:gridSpan w:val="7"/>
          </w:tcPr>
          <w:p>
            <w:pPr>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GAAP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fications</w:t>
            </w:r>
          </w:p>
        </w:tc>
        <w:tc>
          <w:tcPr>
            <w:tcW w:w="80" w:type="dxa"/>
            <w:vAlign w:val="bottom"/>
          </w:tcPr>
          <w:p>
            <w:pPr>
              <w:spacing w:after="0"/>
              <w:rPr>
                <w:sz w:val="12"/>
                <w:szCs w:val="12"/>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6"/>
              </w:rPr>
              <w:t>(Subtractions)</w:t>
            </w:r>
          </w:p>
        </w:tc>
        <w:tc>
          <w:tcPr>
            <w:tcW w:w="6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Arial" w:cs="Arial" w:eastAsia="Arial" w:hAnsi="Arial"/>
                <w:sz w:val="11"/>
                <w:szCs w:val="11"/>
                <w:b w:val="1"/>
                <w:bCs w:val="1"/>
                <w:color w:val="auto"/>
              </w:rPr>
              <w:t xml:space="preserve">Adjustments </w:t>
            </w:r>
            <w:r>
              <w:rPr>
                <w:rFonts w:ascii="Arial" w:cs="Arial" w:eastAsia="Arial" w:hAnsi="Arial"/>
                <w:sz w:val="14"/>
                <w:szCs w:val="14"/>
                <w:b w:val="1"/>
                <w:bCs w:val="1"/>
                <w:color w:val="auto"/>
                <w:vertAlign w:val="superscript"/>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1"/>
                <w:szCs w:val="11"/>
                <w:b w:val="1"/>
                <w:bCs w:val="1"/>
                <w:color w:val="auto"/>
                <w:w w:val="97"/>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Lending</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Loans</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Processing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rPr>
              <w:t>Other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shd w:val="clear" w:color="auto" w:fill="CFF0FC"/>
          </w:tcPr>
          <w:p>
            <w:pPr>
              <w:spacing w:after="0" w:line="129" w:lineRule="exact"/>
              <w:rPr>
                <w:sz w:val="20"/>
                <w:szCs w:val="20"/>
                <w:color w:val="auto"/>
              </w:rPr>
            </w:pPr>
            <w:r>
              <w:rPr>
                <w:rFonts w:ascii="Arial" w:cs="Arial" w:eastAsia="Arial" w:hAnsi="Arial"/>
                <w:sz w:val="13"/>
                <w:szCs w:val="13"/>
                <w:color w:val="auto"/>
              </w:rPr>
              <w:t>Interest income:</w:t>
            </w:r>
          </w:p>
        </w:tc>
        <w:tc>
          <w:tcPr>
            <w:tcW w:w="740" w:type="dxa"/>
            <w:vAlign w:val="bottom"/>
            <w:gridSpan w:val="3"/>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6"/>
          </w:tcPr>
          <w:p>
            <w:pPr>
              <w:ind w:left="60"/>
              <w:spacing w:after="0" w:line="135" w:lineRule="exact"/>
              <w:rPr>
                <w:sz w:val="20"/>
                <w:szCs w:val="20"/>
                <w:color w:val="auto"/>
              </w:rPr>
            </w:pPr>
            <w:r>
              <w:rPr>
                <w:rFonts w:ascii="Arial" w:cs="Arial" w:eastAsia="Arial" w:hAnsi="Arial"/>
                <w:sz w:val="13"/>
                <w:szCs w:val="13"/>
                <w:color w:val="auto"/>
              </w:rPr>
              <w:t>Education loans</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2,297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1,459</w:t>
            </w:r>
          </w:p>
        </w:tc>
        <w:tc>
          <w:tcPr>
            <w:tcW w:w="120" w:type="dxa"/>
            <w:vAlign w:val="bottom"/>
          </w:tcPr>
          <w:p>
            <w:pPr>
              <w:spacing w:after="0"/>
              <w:rPr>
                <w:sz w:val="11"/>
                <w:szCs w:val="11"/>
                <w:color w:val="auto"/>
              </w:rPr>
            </w:pPr>
          </w:p>
        </w:tc>
        <w:tc>
          <w:tcPr>
            <w:tcW w:w="400" w:type="dxa"/>
            <w:vAlign w:val="bottom"/>
            <w:gridSpan w:val="2"/>
          </w:tcPr>
          <w:p>
            <w:pPr>
              <w:jc w:val="right"/>
              <w:ind w:right="215"/>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CFF0FC"/>
            </w:tcBorders>
            <w:gridSpan w:val="6"/>
            <w:shd w:val="clear" w:color="auto" w:fill="CFF0FC"/>
          </w:tcPr>
          <w:p>
            <w:pPr>
              <w:ind w:left="60"/>
              <w:spacing w:after="0" w:line="135" w:lineRule="exact"/>
              <w:rPr>
                <w:sz w:val="20"/>
                <w:szCs w:val="20"/>
                <w:color w:val="auto"/>
              </w:rPr>
            </w:pPr>
            <w:r>
              <w:rPr>
                <w:rFonts w:ascii="Arial" w:cs="Arial" w:eastAsia="Arial" w:hAnsi="Arial"/>
                <w:sz w:val="13"/>
                <w:szCs w:val="13"/>
                <w:color w:val="auto"/>
              </w:rPr>
              <w:t>Cash and investments</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64</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15</w:t>
            </w: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30</w:t>
            </w:r>
          </w:p>
        </w:tc>
        <w:tc>
          <w:tcPr>
            <w:tcW w:w="120" w:type="dxa"/>
            <w:vAlign w:val="bottom"/>
            <w:tcBorders>
              <w:left w:val="single" w:sz="8" w:color="CFF0FC"/>
              <w:bottom w:val="single" w:sz="8" w:color="CFF0FC"/>
            </w:tcBorders>
            <w:shd w:val="clear" w:color="auto" w:fill="CFF0FC"/>
          </w:tcPr>
          <w:p>
            <w:pPr>
              <w:spacing w:after="0"/>
              <w:rPr>
                <w:sz w:val="11"/>
                <w:szCs w:val="11"/>
                <w:color w:val="auto"/>
              </w:rPr>
            </w:pP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6"/>
          </w:tcPr>
          <w:p>
            <w:pPr>
              <w:spacing w:after="0" w:line="129" w:lineRule="exact"/>
              <w:rPr>
                <w:sz w:val="20"/>
                <w:szCs w:val="20"/>
                <w:color w:val="auto"/>
              </w:rPr>
            </w:pPr>
            <w:r>
              <w:rPr>
                <w:rFonts w:ascii="Arial" w:cs="Arial" w:eastAsia="Arial" w:hAnsi="Arial"/>
                <w:sz w:val="13"/>
                <w:szCs w:val="13"/>
                <w:color w:val="auto"/>
              </w:rPr>
              <w:t>Total interest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2,361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853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1,489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bottom w:val="single" w:sz="8" w:color="CFF0FC"/>
            </w:tcBorders>
            <w:gridSpan w:val="6"/>
            <w:shd w:val="clear" w:color="auto" w:fill="CFF0FC"/>
          </w:tcPr>
          <w:p>
            <w:pPr>
              <w:spacing w:after="0" w:line="135" w:lineRule="exact"/>
              <w:rPr>
                <w:sz w:val="20"/>
                <w:szCs w:val="20"/>
                <w:color w:val="auto"/>
              </w:rPr>
            </w:pPr>
            <w:r>
              <w:rPr>
                <w:rFonts w:ascii="Arial" w:cs="Arial" w:eastAsia="Arial" w:hAnsi="Arial"/>
                <w:sz w:val="13"/>
                <w:szCs w:val="13"/>
                <w:color w:val="auto"/>
              </w:rPr>
              <w:t>Total interest expense</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1,961</w:t>
            </w: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547</w:t>
            </w: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1,321</w:t>
            </w:r>
          </w:p>
        </w:tc>
        <w:tc>
          <w:tcPr>
            <w:tcW w:w="120" w:type="dxa"/>
            <w:vAlign w:val="bottom"/>
            <w:tcBorders>
              <w:left w:val="single" w:sz="8" w:color="CFF0FC"/>
              <w:bottom w:val="single" w:sz="8" w:color="CFF0FC"/>
            </w:tcBorders>
            <w:shd w:val="clear" w:color="auto" w:fill="CFF0FC"/>
          </w:tcPr>
          <w:p>
            <w:pPr>
              <w:spacing w:after="0"/>
              <w:rPr>
                <w:sz w:val="11"/>
                <w:szCs w:val="11"/>
                <w:color w:val="auto"/>
              </w:rPr>
            </w:pPr>
          </w:p>
        </w:tc>
        <w:tc>
          <w:tcPr>
            <w:tcW w:w="100" w:type="dxa"/>
            <w:vAlign w:val="bottom"/>
            <w:tcBorders>
              <w:bottom w:val="single" w:sz="8" w:color="CFF0FC"/>
              <w:right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320" w:type="dxa"/>
            <w:vAlign w:val="bottom"/>
            <w:tcBorders>
              <w:bottom w:val="single" w:sz="8" w:color="auto"/>
            </w:tcBorders>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72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6"/>
          </w:tcPr>
          <w:p>
            <w:pPr>
              <w:spacing w:after="0" w:line="111" w:lineRule="exact"/>
              <w:rPr>
                <w:sz w:val="20"/>
                <w:szCs w:val="20"/>
                <w:color w:val="auto"/>
              </w:rPr>
            </w:pPr>
            <w:r>
              <w:rPr>
                <w:rFonts w:ascii="Arial" w:cs="Arial" w:eastAsia="Arial" w:hAnsi="Arial"/>
                <w:sz w:val="12"/>
                <w:szCs w:val="12"/>
                <w:color w:val="auto"/>
              </w:rPr>
              <w:t>Net interest income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color w:val="auto"/>
              </w:rPr>
              <w:t>(loss)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200" w:type="dxa"/>
            <w:vAlign w:val="bottom"/>
            <w:gridSpan w:val="2"/>
          </w:tcPr>
          <w:p>
            <w:pPr>
              <w:jc w:val="right"/>
              <w:ind w:right="2"/>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421</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306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6"/>
            <w:shd w:val="clear" w:color="auto" w:fill="CFF0FC"/>
          </w:tcPr>
          <w:p>
            <w:pPr>
              <w:spacing w:after="0" w:line="117" w:lineRule="exact"/>
              <w:rPr>
                <w:sz w:val="20"/>
                <w:szCs w:val="20"/>
                <w:color w:val="auto"/>
              </w:rPr>
            </w:pPr>
            <w:r>
              <w:rPr>
                <w:rFonts w:ascii="Arial" w:cs="Arial" w:eastAsia="Arial" w:hAnsi="Arial"/>
                <w:sz w:val="13"/>
                <w:szCs w:val="13"/>
                <w:color w:val="auto"/>
              </w:rPr>
              <w:t>Less: provisions for loan</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236</w:t>
            </w: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207</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40" w:type="dxa"/>
            <w:vAlign w:val="bottom"/>
            <w:gridSpan w:val="5"/>
            <w:shd w:val="clear" w:color="auto" w:fill="CFF0FC"/>
          </w:tcPr>
          <w:p>
            <w:pPr>
              <w:spacing w:after="0" w:line="139" w:lineRule="exact"/>
              <w:rPr>
                <w:sz w:val="20"/>
                <w:szCs w:val="20"/>
                <w:color w:val="auto"/>
              </w:rPr>
            </w:pPr>
            <w:r>
              <w:rPr>
                <w:rFonts w:ascii="Arial" w:cs="Arial" w:eastAsia="Arial" w:hAnsi="Arial"/>
                <w:sz w:val="13"/>
                <w:szCs w:val="13"/>
                <w:color w:val="auto"/>
              </w:rPr>
              <w:t>losses</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vMerge w:val="continue"/>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Borders>
              <w:top w:val="single" w:sz="8" w:color="CFF0FC"/>
            </w:tcBorders>
            <w:gridSpan w:val="6"/>
          </w:tcPr>
          <w:p>
            <w:pPr>
              <w:spacing w:after="0" w:line="111" w:lineRule="exact"/>
              <w:rPr>
                <w:sz w:val="20"/>
                <w:szCs w:val="20"/>
                <w:color w:val="auto"/>
              </w:rPr>
            </w:pPr>
            <w:r>
              <w:rPr>
                <w:rFonts w:ascii="Arial" w:cs="Arial" w:eastAsia="Arial" w:hAnsi="Arial"/>
                <w:sz w:val="12"/>
                <w:szCs w:val="12"/>
                <w:color w:val="auto"/>
              </w:rPr>
              <w:t>Net interest income</w:t>
            </w: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CFF0FC"/>
              <w:right w:val="single" w:sz="8" w:color="auto"/>
            </w:tcBorders>
          </w:tcPr>
          <w:p>
            <w:pPr>
              <w:spacing w:after="0"/>
              <w:rPr>
                <w:sz w:val="9"/>
                <w:szCs w:val="9"/>
                <w:color w:val="auto"/>
              </w:rPr>
            </w:pPr>
          </w:p>
        </w:tc>
        <w:tc>
          <w:tcPr>
            <w:tcW w:w="6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5"/>
          </w:tcPr>
          <w:p>
            <w:pPr>
              <w:spacing w:after="0" w:line="135" w:lineRule="exact"/>
              <w:rPr>
                <w:sz w:val="20"/>
                <w:szCs w:val="20"/>
                <w:color w:val="auto"/>
              </w:rPr>
            </w:pPr>
            <w:r>
              <w:rPr>
                <w:rFonts w:ascii="Arial" w:cs="Arial" w:eastAsia="Arial" w:hAnsi="Arial"/>
                <w:sz w:val="13"/>
                <w:szCs w:val="13"/>
                <w:color w:val="auto"/>
              </w:rPr>
              <w:t>(loss) after provisions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5"/>
          </w:tcPr>
          <w:p>
            <w:pPr>
              <w:spacing w:after="0"/>
              <w:rPr>
                <w:sz w:val="20"/>
                <w:szCs w:val="20"/>
                <w:color w:val="auto"/>
              </w:rPr>
            </w:pPr>
            <w:r>
              <w:rPr>
                <w:rFonts w:ascii="Arial" w:cs="Arial" w:eastAsia="Arial" w:hAnsi="Arial"/>
                <w:sz w:val="13"/>
                <w:szCs w:val="13"/>
                <w:color w:val="auto"/>
              </w:rPr>
              <w:t>for loan losses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6"/>
            <w:shd w:val="clear" w:color="auto" w:fill="CFF0FC"/>
          </w:tcPr>
          <w:p>
            <w:pPr>
              <w:spacing w:after="0" w:line="135" w:lineRule="exact"/>
              <w:rPr>
                <w:sz w:val="20"/>
                <w:szCs w:val="20"/>
                <w:color w:val="auto"/>
              </w:rPr>
            </w:pPr>
            <w:r>
              <w:rPr>
                <w:rFonts w:ascii="Arial" w:cs="Arial" w:eastAsia="Arial" w:hAnsi="Arial"/>
                <w:sz w:val="13"/>
                <w:szCs w:val="13"/>
                <w:color w:val="auto"/>
              </w:rPr>
              <w:t>Other income (loss):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6"/>
          </w:tcPr>
          <w:p>
            <w:pPr>
              <w:ind w:left="60"/>
              <w:spacing w:after="0" w:line="135" w:lineRule="exact"/>
              <w:rPr>
                <w:sz w:val="20"/>
                <w:szCs w:val="20"/>
                <w:color w:val="auto"/>
              </w:rPr>
            </w:pPr>
            <w:r>
              <w:rPr>
                <w:rFonts w:ascii="Arial" w:cs="Arial" w:eastAsia="Arial" w:hAnsi="Arial"/>
                <w:sz w:val="13"/>
                <w:szCs w:val="13"/>
                <w:color w:val="auto"/>
              </w:rPr>
              <w:t>Servicing revenue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6"/>
            <w:shd w:val="clear" w:color="auto" w:fill="CFF0FC"/>
          </w:tcPr>
          <w:p>
            <w:pPr>
              <w:ind w:left="60"/>
              <w:spacing w:after="0" w:line="117" w:lineRule="exact"/>
              <w:rPr>
                <w:sz w:val="20"/>
                <w:szCs w:val="20"/>
                <w:color w:val="auto"/>
              </w:rPr>
            </w:pPr>
            <w:r>
              <w:rPr>
                <w:rFonts w:ascii="Arial" w:cs="Arial" w:eastAsia="Arial" w:hAnsi="Arial"/>
                <w:sz w:val="13"/>
                <w:szCs w:val="13"/>
                <w:color w:val="auto"/>
              </w:rPr>
              <w:t>Asset recovery and</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business processing</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4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6"/>
          </w:tcPr>
          <w:p>
            <w:pPr>
              <w:ind w:left="60"/>
              <w:spacing w:after="0" w:line="135" w:lineRule="exact"/>
              <w:rPr>
                <w:sz w:val="20"/>
                <w:szCs w:val="20"/>
                <w:color w:val="auto"/>
              </w:rPr>
            </w:pPr>
            <w:r>
              <w:rPr>
                <w:rFonts w:ascii="Arial" w:cs="Arial" w:eastAsia="Arial" w:hAnsi="Arial"/>
                <w:sz w:val="13"/>
                <w:szCs w:val="13"/>
                <w:color w:val="auto"/>
              </w:rPr>
              <w:t>Other revenue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700" w:type="dxa"/>
            <w:vAlign w:val="bottom"/>
            <w:gridSpan w:val="6"/>
            <w:shd w:val="clear" w:color="auto" w:fill="CFF0FC"/>
          </w:tcPr>
          <w:p>
            <w:pPr>
              <w:spacing w:after="0" w:line="129" w:lineRule="exact"/>
              <w:rPr>
                <w:sz w:val="20"/>
                <w:szCs w:val="20"/>
                <w:color w:val="auto"/>
              </w:rPr>
            </w:pPr>
            <w:r>
              <w:rPr>
                <w:rFonts w:ascii="Arial" w:cs="Arial" w:eastAsia="Arial" w:hAnsi="Arial"/>
                <w:sz w:val="13"/>
                <w:szCs w:val="13"/>
                <w:color w:val="auto"/>
              </w:rPr>
              <w:t>Total other income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line="129" w:lineRule="exact"/>
              <w:rPr>
                <w:sz w:val="20"/>
                <w:szCs w:val="20"/>
                <w:color w:val="auto"/>
              </w:rPr>
            </w:pPr>
            <w:r>
              <w:rPr>
                <w:rFonts w:ascii="Arial" w:cs="Arial" w:eastAsia="Arial" w:hAnsi="Arial"/>
                <w:sz w:val="13"/>
                <w:szCs w:val="13"/>
                <w:color w:val="auto"/>
              </w:rPr>
              <w:t>(15)</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49</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107</w:t>
            </w: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9</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31</w:t>
            </w: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23</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6"/>
          </w:tcPr>
          <w:p>
            <w:pPr>
              <w:spacing w:after="0" w:line="135" w:lineRule="exact"/>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6"/>
            <w:shd w:val="clear" w:color="auto" w:fill="CFF0FC"/>
          </w:tcPr>
          <w:p>
            <w:pPr>
              <w:ind w:left="60"/>
              <w:spacing w:after="0" w:line="117" w:lineRule="exact"/>
              <w:rPr>
                <w:sz w:val="20"/>
                <w:szCs w:val="20"/>
                <w:color w:val="auto"/>
              </w:rPr>
            </w:pPr>
            <w:r>
              <w:rPr>
                <w:rFonts w:ascii="Arial" w:cs="Arial" w:eastAsia="Arial" w:hAnsi="Arial"/>
                <w:sz w:val="13"/>
                <w:szCs w:val="13"/>
                <w:color w:val="auto"/>
              </w:rPr>
              <w:t>Direct operating</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40" w:type="dxa"/>
            <w:vAlign w:val="bottom"/>
            <w:gridSpan w:val="5"/>
            <w:shd w:val="clear" w:color="auto" w:fill="CFF0FC"/>
          </w:tcPr>
          <w:p>
            <w:pPr>
              <w:ind w:left="100"/>
              <w:spacing w:after="0"/>
              <w:rPr>
                <w:sz w:val="20"/>
                <w:szCs w:val="20"/>
                <w:color w:val="auto"/>
              </w:rPr>
            </w:pPr>
            <w:r>
              <w:rPr>
                <w:rFonts w:ascii="Arial" w:cs="Arial" w:eastAsia="Arial" w:hAnsi="Arial"/>
                <w:sz w:val="13"/>
                <w:szCs w:val="13"/>
                <w:color w:val="auto"/>
              </w:rPr>
              <w:t>expenses</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w:t>
            </w:r>
          </w:p>
        </w:tc>
        <w:tc>
          <w:tcPr>
            <w:tcW w:w="120" w:type="dxa"/>
            <w:vAlign w:val="bottom"/>
            <w:tcBorders>
              <w:lef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6"/>
          </w:tcPr>
          <w:p>
            <w:pPr>
              <w:ind w:left="60"/>
              <w:spacing w:after="0" w:line="117" w:lineRule="exact"/>
              <w:rPr>
                <w:sz w:val="20"/>
                <w:szCs w:val="20"/>
                <w:color w:val="auto"/>
              </w:rPr>
            </w:pPr>
            <w:r>
              <w:rPr>
                <w:rFonts w:ascii="Arial" w:cs="Arial" w:eastAsia="Arial" w:hAnsi="Arial"/>
                <w:sz w:val="13"/>
                <w:szCs w:val="13"/>
                <w:color w:val="auto"/>
              </w:rPr>
              <w:t>Unallocated shared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5"/>
          </w:tcPr>
          <w:p>
            <w:pPr>
              <w:ind w:left="100"/>
              <w:spacing w:after="0" w:line="139" w:lineRule="exact"/>
              <w:rPr>
                <w:sz w:val="20"/>
                <w:szCs w:val="20"/>
                <w:color w:val="auto"/>
              </w:rPr>
            </w:pPr>
            <w:r>
              <w:rPr>
                <w:rFonts w:ascii="Arial" w:cs="Arial" w:eastAsia="Arial" w:hAnsi="Arial"/>
                <w:sz w:val="13"/>
                <w:szCs w:val="13"/>
                <w:color w:val="auto"/>
              </w:rPr>
              <w:t>services expenses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6"/>
            <w:shd w:val="clear" w:color="auto" w:fill="CFF0FC"/>
          </w:tcPr>
          <w:p>
            <w:pPr>
              <w:ind w:left="60"/>
              <w:spacing w:after="0" w:line="129" w:lineRule="exact"/>
              <w:rPr>
                <w:sz w:val="20"/>
                <w:szCs w:val="20"/>
                <w:color w:val="auto"/>
              </w:rPr>
            </w:pPr>
            <w:r>
              <w:rPr>
                <w:rFonts w:ascii="Arial" w:cs="Arial" w:eastAsia="Arial" w:hAnsi="Arial"/>
                <w:sz w:val="13"/>
                <w:szCs w:val="13"/>
                <w:color w:val="auto"/>
              </w:rPr>
              <w:t>Operating expenses</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333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333</w:t>
            </w: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115</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54</w:t>
            </w: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20</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144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6"/>
          </w:tcPr>
          <w:p>
            <w:pPr>
              <w:ind w:left="60"/>
              <w:spacing w:after="0" w:line="117" w:lineRule="exact"/>
              <w:rPr>
                <w:sz w:val="20"/>
                <w:szCs w:val="20"/>
                <w:color w:val="auto"/>
              </w:rPr>
            </w:pPr>
            <w:r>
              <w:rPr>
                <w:rFonts w:ascii="Arial" w:cs="Arial" w:eastAsia="Arial" w:hAnsi="Arial"/>
                <w:sz w:val="13"/>
                <w:szCs w:val="13"/>
                <w:color w:val="auto"/>
              </w:rPr>
              <w:t>Goodwill and acquired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intangible asset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5"/>
          </w:tcPr>
          <w:p>
            <w:pPr>
              <w:ind w:left="100"/>
              <w:spacing w:after="0" w:line="135" w:lineRule="exact"/>
              <w:rPr>
                <w:sz w:val="20"/>
                <w:szCs w:val="20"/>
                <w:color w:val="auto"/>
              </w:rPr>
            </w:pPr>
            <w:r>
              <w:rPr>
                <w:rFonts w:ascii="Arial" w:cs="Arial" w:eastAsia="Arial" w:hAnsi="Arial"/>
                <w:sz w:val="13"/>
                <w:szCs w:val="13"/>
                <w:color w:val="auto"/>
              </w:rPr>
              <w:t>impairment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5"/>
          </w:tcPr>
          <w:p>
            <w:pPr>
              <w:ind w:left="100"/>
              <w:spacing w:after="0"/>
              <w:rPr>
                <w:sz w:val="20"/>
                <w:szCs w:val="20"/>
                <w:color w:val="auto"/>
              </w:rPr>
            </w:pPr>
            <w:r>
              <w:rPr>
                <w:rFonts w:ascii="Arial" w:cs="Arial" w:eastAsia="Arial" w:hAnsi="Arial"/>
                <w:sz w:val="13"/>
                <w:szCs w:val="13"/>
                <w:color w:val="auto"/>
              </w:rPr>
              <w:t>amortization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6"/>
            <w:shd w:val="clear" w:color="auto" w:fill="CFF0FC"/>
          </w:tcPr>
          <w:p>
            <w:pPr>
              <w:ind w:left="60"/>
              <w:spacing w:after="0" w:line="117" w:lineRule="exact"/>
              <w:rPr>
                <w:sz w:val="20"/>
                <w:szCs w:val="20"/>
                <w:color w:val="auto"/>
              </w:rPr>
            </w:pPr>
            <w:r>
              <w:rPr>
                <w:rFonts w:ascii="Arial" w:cs="Arial" w:eastAsia="Arial" w:hAnsi="Arial"/>
                <w:sz w:val="13"/>
                <w:szCs w:val="13"/>
                <w:color w:val="auto"/>
              </w:rPr>
              <w:t>Restructuring/other</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40" w:type="dxa"/>
            <w:vAlign w:val="bottom"/>
            <w:gridSpan w:val="5"/>
            <w:shd w:val="clear" w:color="auto" w:fill="CFF0FC"/>
          </w:tcPr>
          <w:p>
            <w:pPr>
              <w:ind w:left="100"/>
              <w:spacing w:after="0" w:line="135" w:lineRule="exact"/>
              <w:rPr>
                <w:sz w:val="20"/>
                <w:szCs w:val="20"/>
                <w:color w:val="auto"/>
              </w:rPr>
            </w:pPr>
            <w:r>
              <w:rPr>
                <w:rFonts w:ascii="Arial" w:cs="Arial" w:eastAsia="Arial" w:hAnsi="Arial"/>
                <w:sz w:val="13"/>
                <w:szCs w:val="13"/>
                <w:color w:val="auto"/>
              </w:rPr>
              <w:t>reorganization</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FF0FC"/>
            </w:tcBorders>
            <w:vMerge w:val="restart"/>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40" w:type="dxa"/>
            <w:vAlign w:val="bottom"/>
            <w:tcBorders>
              <w:bottom w:val="single" w:sz="8" w:color="CFF0FC"/>
            </w:tcBorders>
            <w:gridSpan w:val="5"/>
            <w:shd w:val="clear" w:color="auto" w:fill="CFF0FC"/>
          </w:tcPr>
          <w:p>
            <w:pPr>
              <w:ind w:left="100"/>
              <w:spacing w:after="0" w:line="139" w:lineRule="exact"/>
              <w:rPr>
                <w:sz w:val="20"/>
                <w:szCs w:val="20"/>
                <w:color w:val="auto"/>
              </w:rPr>
            </w:pPr>
            <w:r>
              <w:rPr>
                <w:rFonts w:ascii="Arial" w:cs="Arial" w:eastAsia="Arial" w:hAnsi="Arial"/>
                <w:sz w:val="13"/>
                <w:szCs w:val="13"/>
                <w:color w:val="auto"/>
              </w:rPr>
              <w:t>expenses</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gridSpan w:val="2"/>
            <w:vMerge w:val="continue"/>
            <w:shd w:val="clear" w:color="auto" w:fill="CFF0FC"/>
          </w:tcPr>
          <w:p>
            <w:pPr>
              <w:spacing w:after="0"/>
              <w:rPr>
                <w:sz w:val="12"/>
                <w:szCs w:val="12"/>
                <w:color w:val="auto"/>
              </w:rPr>
            </w:pPr>
          </w:p>
        </w:tc>
        <w:tc>
          <w:tcPr>
            <w:tcW w:w="140" w:type="dxa"/>
            <w:vAlign w:val="bottom"/>
            <w:tcBorders>
              <w:bottom w:val="single" w:sz="8" w:color="CFF0FC"/>
              <w:right w:val="single" w:sz="8" w:color="auto"/>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vMerge w:val="continue"/>
            <w:shd w:val="clear" w:color="auto" w:fill="CFF0FC"/>
          </w:tcPr>
          <w:p>
            <w:pPr>
              <w:spacing w:after="0"/>
              <w:rPr>
                <w:sz w:val="12"/>
                <w:szCs w:val="12"/>
                <w:color w:val="auto"/>
              </w:rPr>
            </w:pPr>
          </w:p>
        </w:tc>
        <w:tc>
          <w:tcPr>
            <w:tcW w:w="40" w:type="dxa"/>
            <w:vAlign w:val="bottom"/>
            <w:tcBorders>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left w:val="single" w:sz="8" w:color="CFF0FC"/>
              <w:bottom w:val="single" w:sz="8" w:color="CFF0FC"/>
            </w:tcBorders>
            <w:vMerge w:val="continue"/>
            <w:shd w:val="clear" w:color="auto" w:fill="CFF0FC"/>
          </w:tcPr>
          <w:p>
            <w:pPr>
              <w:spacing w:after="0"/>
              <w:rPr>
                <w:sz w:val="12"/>
                <w:szCs w:val="12"/>
                <w:color w:val="auto"/>
              </w:rPr>
            </w:pP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320" w:type="dxa"/>
            <w:vAlign w:val="bottom"/>
            <w:tcBorders>
              <w:bottom w:val="single" w:sz="8" w:color="auto"/>
            </w:tcBorders>
            <w:vMerge w:val="continue"/>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gridSpan w:val="2"/>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6"/>
          </w:tcPr>
          <w:p>
            <w:pPr>
              <w:spacing w:after="0" w:line="129" w:lineRule="exact"/>
              <w:rPr>
                <w:sz w:val="20"/>
                <w:szCs w:val="20"/>
                <w:color w:val="auto"/>
              </w:rPr>
            </w:pPr>
            <w:r>
              <w:rPr>
                <w:rFonts w:ascii="Arial" w:cs="Arial" w:eastAsia="Arial" w:hAnsi="Arial"/>
                <w:sz w:val="13"/>
                <w:szCs w:val="13"/>
                <w:color w:val="auto"/>
              </w:rPr>
              <w:t>Total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341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339</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115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54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3"/>
                <w:szCs w:val="13"/>
                <w:color w:val="auto"/>
              </w:rPr>
              <w:t>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6"/>
            <w:shd w:val="clear" w:color="auto" w:fill="CFF0FC"/>
          </w:tcPr>
          <w:p>
            <w:pPr>
              <w:spacing w:after="0" w:line="111" w:lineRule="exact"/>
              <w:rPr>
                <w:sz w:val="20"/>
                <w:szCs w:val="20"/>
                <w:color w:val="auto"/>
              </w:rPr>
            </w:pPr>
            <w:r>
              <w:rPr>
                <w:rFonts w:ascii="Arial" w:cs="Arial" w:eastAsia="Arial" w:hAnsi="Arial"/>
                <w:sz w:val="12"/>
                <w:szCs w:val="12"/>
                <w:color w:val="auto"/>
              </w:rPr>
              <w:t>Income (loss) before</w:t>
            </w: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78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40" w:type="dxa"/>
            <w:vAlign w:val="bottom"/>
            <w:tcBorders>
              <w:right w:val="single" w:sz="8" w:color="auto"/>
            </w:tcBorders>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100" w:type="dxa"/>
            <w:vAlign w:val="bottom"/>
            <w:tcBorders>
              <w:right w:val="single" w:sz="8" w:color="CFF0FC"/>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320" w:type="dxa"/>
            <w:vAlign w:val="bottom"/>
            <w:tcBorders>
              <w:top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40" w:type="dxa"/>
            <w:vAlign w:val="bottom"/>
            <w:gridSpan w:val="5"/>
            <w:shd w:val="clear" w:color="auto" w:fill="CFF0FC"/>
          </w:tcPr>
          <w:p>
            <w:pPr>
              <w:spacing w:after="0" w:line="135" w:lineRule="exact"/>
              <w:rPr>
                <w:sz w:val="20"/>
                <w:szCs w:val="20"/>
                <w:color w:val="auto"/>
              </w:rPr>
            </w:pPr>
            <w:r>
              <w:rPr>
                <w:rFonts w:ascii="Arial" w:cs="Arial" w:eastAsia="Arial" w:hAnsi="Arial"/>
                <w:sz w:val="13"/>
                <w:szCs w:val="13"/>
                <w:color w:val="auto"/>
              </w:rPr>
              <w:t>income tax expense</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40" w:type="dxa"/>
            <w:vAlign w:val="bottom"/>
            <w:gridSpan w:val="5"/>
            <w:shd w:val="clear" w:color="auto" w:fill="CFF0FC"/>
          </w:tcPr>
          <w:p>
            <w:pPr>
              <w:spacing w:after="0"/>
              <w:rPr>
                <w:sz w:val="20"/>
                <w:szCs w:val="20"/>
                <w:color w:val="auto"/>
              </w:rPr>
            </w:pPr>
            <w:r>
              <w:rPr>
                <w:rFonts w:ascii="Arial" w:cs="Arial" w:eastAsia="Arial" w:hAnsi="Arial"/>
                <w:sz w:val="13"/>
                <w:szCs w:val="13"/>
                <w:color w:val="auto"/>
              </w:rPr>
              <w:t>(benefit)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(47)</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Borders>
              <w:lef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6"/>
          </w:tcPr>
          <w:p>
            <w:pPr>
              <w:spacing w:after="0" w:line="108" w:lineRule="exact"/>
              <w:rPr>
                <w:sz w:val="20"/>
                <w:szCs w:val="20"/>
                <w:color w:val="auto"/>
              </w:rPr>
            </w:pPr>
            <w:r>
              <w:rPr>
                <w:rFonts w:ascii="Arial" w:cs="Arial" w:eastAsia="Arial" w:hAnsi="Arial"/>
                <w:sz w:val="12"/>
                <w:szCs w:val="12"/>
                <w:color w:val="auto"/>
              </w:rPr>
              <w:t>Income tax expense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right w:val="single" w:sz="8" w:color="auto"/>
            </w:tcBorders>
            <w:gridSpan w:val="3"/>
            <w:vMerge w:val="restart"/>
          </w:tcPr>
          <w:p>
            <w:pPr>
              <w:jc w:val="right"/>
              <w:ind w:right="100"/>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5"/>
          </w:tcPr>
          <w:p>
            <w:pPr>
              <w:spacing w:after="0" w:line="148"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Borders>
              <w:bottom w:val="single" w:sz="8" w:color="CFF0FC"/>
            </w:tcBorders>
            <w:gridSpan w:val="6"/>
            <w:shd w:val="clear" w:color="auto" w:fill="CFF0FC"/>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(75)</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39</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
              <w:spacing w:after="0" w:line="115"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39</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gridSpan w:val="2"/>
            <w:shd w:val="clear" w:color="auto" w:fill="CFF0FC"/>
          </w:tcPr>
          <w:p>
            <w:pPr>
              <w:jc w:val="right"/>
              <w:spacing w:after="0" w:line="115" w:lineRule="exact"/>
              <w:rPr>
                <w:sz w:val="20"/>
                <w:szCs w:val="20"/>
                <w:color w:val="auto"/>
              </w:rPr>
            </w:pPr>
            <w:r>
              <w:rPr>
                <w:rFonts w:ascii="Arial" w:cs="Arial" w:eastAsia="Arial" w:hAnsi="Arial"/>
                <w:sz w:val="13"/>
                <w:szCs w:val="13"/>
                <w:color w:val="auto"/>
              </w:rPr>
              <w:t>(36)</w:t>
            </w:r>
          </w:p>
        </w:tc>
        <w:tc>
          <w:tcPr>
            <w:tcW w:w="140" w:type="dxa"/>
            <w:vAlign w:val="bottom"/>
            <w:tcBorders>
              <w:bottom w:val="single" w:sz="8" w:color="CFF0FC"/>
              <w:right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gridSpan w:val="2"/>
            <w:shd w:val="clear" w:color="auto" w:fill="CFF0FC"/>
          </w:tcPr>
          <w:p>
            <w:pPr>
              <w:jc w:val="right"/>
              <w:spacing w:after="0" w:line="115" w:lineRule="exact"/>
              <w:rPr>
                <w:sz w:val="20"/>
                <w:szCs w:val="20"/>
                <w:color w:val="auto"/>
              </w:rPr>
            </w:pPr>
            <w:r>
              <w:rPr>
                <w:rFonts w:ascii="Arial" w:cs="Arial" w:eastAsia="Arial" w:hAnsi="Arial"/>
                <w:sz w:val="13"/>
                <w:szCs w:val="13"/>
                <w:color w:val="auto"/>
              </w:rPr>
              <w:t>(4)</w:t>
            </w: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89</w:t>
            </w:r>
          </w:p>
        </w:tc>
        <w:tc>
          <w:tcPr>
            <w:tcW w:w="120" w:type="dxa"/>
            <w:vAlign w:val="bottom"/>
            <w:tcBorders>
              <w:left w:val="single" w:sz="8" w:color="CFF0FC"/>
              <w:bottom w:val="single" w:sz="8" w:color="CFF0FC"/>
            </w:tcBorders>
            <w:shd w:val="clear" w:color="auto" w:fill="CFF0FC"/>
          </w:tcPr>
          <w:p>
            <w:pPr>
              <w:spacing w:after="0"/>
              <w:rPr>
                <w:sz w:val="14"/>
                <w:szCs w:val="14"/>
                <w:color w:val="auto"/>
              </w:rPr>
            </w:pPr>
          </w:p>
        </w:tc>
        <w:tc>
          <w:tcPr>
            <w:tcW w:w="100" w:type="dxa"/>
            <w:vAlign w:val="bottom"/>
            <w:tcBorders>
              <w:bottom w:val="single" w:sz="8" w:color="CFF0FC"/>
              <w:right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jc w:val="right"/>
              <w:ind w:right="215"/>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rPr>
              <w:t>2</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gridSpan w:val="2"/>
            <w:shd w:val="clear" w:color="auto" w:fill="CFF0FC"/>
          </w:tcPr>
          <w:p>
            <w:pPr>
              <w:jc w:val="right"/>
              <w:spacing w:after="0" w:line="115" w:lineRule="exact"/>
              <w:rPr>
                <w:sz w:val="20"/>
                <w:szCs w:val="20"/>
                <w:color w:val="auto"/>
              </w:rPr>
            </w:pPr>
            <w:r>
              <w:rPr>
                <w:rFonts w:ascii="Arial" w:cs="Arial" w:eastAsia="Arial" w:hAnsi="Arial"/>
                <w:sz w:val="13"/>
                <w:szCs w:val="13"/>
                <w:color w:val="auto"/>
              </w:rPr>
              <w:t>(123)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gridSpan w:val="2"/>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00" w:type="dxa"/>
            <w:vAlign w:val="bottom"/>
            <w:gridSpan w:val="3"/>
          </w:tcPr>
          <w:p>
            <w:pPr>
              <w:spacing w:after="0"/>
              <w:rPr>
                <w:sz w:val="20"/>
                <w:szCs w:val="20"/>
                <w:color w:val="auto"/>
              </w:rPr>
            </w:pPr>
            <w:r>
              <w:rPr>
                <w:rFonts w:ascii="Arial" w:cs="Arial" w:eastAsia="Arial" w:hAnsi="Arial"/>
                <w:sz w:val="8"/>
                <w:szCs w:val="8"/>
                <w:color w:val="auto"/>
                <w:w w:val="81"/>
              </w:rPr>
              <w:t>(1)</w:t>
            </w:r>
          </w:p>
        </w:tc>
        <w:tc>
          <w:tcPr>
            <w:tcW w:w="2700" w:type="dxa"/>
            <w:vAlign w:val="bottom"/>
            <w:gridSpan w:val="11"/>
            <w:vMerge w:val="restart"/>
          </w:tcPr>
          <w:p>
            <w:pPr>
              <w:ind w:left="260"/>
              <w:spacing w:after="0"/>
              <w:rPr>
                <w:sz w:val="20"/>
                <w:szCs w:val="20"/>
                <w:color w:val="auto"/>
              </w:rPr>
            </w:pPr>
            <w:r>
              <w:rPr>
                <w:rFonts w:ascii="Arial" w:cs="Arial" w:eastAsia="Arial" w:hAnsi="Arial"/>
                <w:sz w:val="14"/>
                <w:szCs w:val="14"/>
                <w:color w:val="auto"/>
              </w:rPr>
              <w:t>Core Earnings adjustments to GAAP:</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700" w:type="dxa"/>
            <w:vAlign w:val="bottom"/>
            <w:gridSpan w:val="11"/>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6"/>
          </w:tcPr>
          <w:p>
            <w:pPr>
              <w:spacing w:after="0"/>
              <w:rPr>
                <w:sz w:val="14"/>
                <w:szCs w:val="14"/>
                <w:color w:val="auto"/>
              </w:rPr>
            </w:pPr>
          </w:p>
        </w:tc>
        <w:tc>
          <w:tcPr>
            <w:tcW w:w="220" w:type="dxa"/>
            <w:vAlign w:val="bottom"/>
            <w:gridSpan w:val="2"/>
          </w:tcPr>
          <w:p>
            <w:pPr>
              <w:spacing w:after="0"/>
              <w:rPr>
                <w:sz w:val="14"/>
                <w:szCs w:val="14"/>
                <w:color w:val="auto"/>
              </w:rPr>
            </w:pPr>
          </w:p>
        </w:tc>
        <w:tc>
          <w:tcPr>
            <w:tcW w:w="6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140" w:type="dxa"/>
            <w:vAlign w:val="bottom"/>
            <w:tcBorders>
              <w:right w:val="single" w:sz="8" w:color="D9D9D9"/>
            </w:tcBorders>
            <w:shd w:val="clear" w:color="auto" w:fill="D9D9D9"/>
          </w:tcPr>
          <w:p>
            <w:pPr>
              <w:spacing w:after="0"/>
              <w:rPr>
                <w:sz w:val="10"/>
                <w:szCs w:val="10"/>
                <w:color w:val="auto"/>
              </w:rPr>
            </w:pPr>
          </w:p>
        </w:tc>
        <w:tc>
          <w:tcPr>
            <w:tcW w:w="6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2520" w:type="dxa"/>
            <w:vAlign w:val="bottom"/>
            <w:gridSpan w:val="11"/>
            <w:shd w:val="clear" w:color="auto" w:fill="D9D9D9"/>
          </w:tcPr>
          <w:p>
            <w:pPr>
              <w:jc w:val="center"/>
              <w:ind w:right="17"/>
              <w:spacing w:after="0" w:line="122" w:lineRule="exact"/>
              <w:rPr>
                <w:sz w:val="20"/>
                <w:szCs w:val="20"/>
                <w:color w:val="auto"/>
              </w:rPr>
            </w:pPr>
            <w:r>
              <w:rPr>
                <w:rFonts w:ascii="Arial" w:cs="Arial" w:eastAsia="Arial" w:hAnsi="Arial"/>
                <w:sz w:val="11"/>
                <w:szCs w:val="11"/>
                <w:b w:val="1"/>
                <w:bCs w:val="1"/>
                <w:color w:val="auto"/>
                <w:w w:val="98"/>
              </w:rPr>
              <w:t>NINE MONTHS ENDED SEPTEMBER 30, 2025</w:t>
            </w:r>
          </w:p>
        </w:tc>
        <w:tc>
          <w:tcPr>
            <w:tcW w:w="180" w:type="dxa"/>
            <w:vAlign w:val="bottom"/>
            <w:shd w:val="clear" w:color="auto" w:fill="D9D9D9"/>
          </w:tcPr>
          <w:p>
            <w:pPr>
              <w:spacing w:after="0"/>
              <w:rPr>
                <w:sz w:val="10"/>
                <w:szCs w:val="10"/>
                <w:color w:val="auto"/>
              </w:rPr>
            </w:pPr>
          </w:p>
        </w:tc>
        <w:tc>
          <w:tcPr>
            <w:tcW w:w="12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4"/>
          </w:tcPr>
          <w:p>
            <w:pPr>
              <w:jc w:val="center"/>
              <w:ind w:right="200"/>
              <w:spacing w:after="0" w:line="109" w:lineRule="exact"/>
              <w:rPr>
                <w:sz w:val="20"/>
                <w:szCs w:val="20"/>
                <w:color w:val="auto"/>
              </w:rPr>
            </w:pPr>
            <w:r>
              <w:rPr>
                <w:rFonts w:ascii="Arial" w:cs="Arial" w:eastAsia="Arial" w:hAnsi="Arial"/>
                <w:sz w:val="11"/>
                <w:szCs w:val="11"/>
                <w:b w:val="1"/>
                <w:bCs w:val="1"/>
                <w:color w:val="auto"/>
                <w:w w:val="97"/>
              </w:rPr>
              <w:t>Net Impact of</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5"/>
          </w:tcPr>
          <w:p>
            <w:pPr>
              <w:jc w:val="center"/>
              <w:ind w:right="340"/>
              <w:spacing w:after="0" w:line="122" w:lineRule="exact"/>
              <w:rPr>
                <w:sz w:val="20"/>
                <w:szCs w:val="20"/>
                <w:color w:val="auto"/>
              </w:rPr>
            </w:pPr>
            <w:r>
              <w:rPr>
                <w:rFonts w:ascii="Arial" w:cs="Arial" w:eastAsia="Arial" w:hAnsi="Arial"/>
                <w:sz w:val="11"/>
                <w:szCs w:val="11"/>
                <w:b w:val="1"/>
                <w:bCs w:val="1"/>
                <w:color w:val="auto"/>
                <w:w w:val="83"/>
              </w:rPr>
              <w:t>Net Impact of</w:t>
            </w:r>
          </w:p>
        </w:tc>
        <w:tc>
          <w:tcPr>
            <w:tcW w:w="100" w:type="dxa"/>
            <w:vAlign w:val="bottom"/>
          </w:tcPr>
          <w:p>
            <w:pPr>
              <w:spacing w:after="0"/>
              <w:rPr>
                <w:sz w:val="10"/>
                <w:szCs w:val="10"/>
                <w:color w:val="auto"/>
              </w:rPr>
            </w:pPr>
          </w:p>
        </w:tc>
        <w:tc>
          <w:tcPr>
            <w:tcW w:w="92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Goodwill and</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5"/>
          </w:tcPr>
          <w:p>
            <w:pPr>
              <w:jc w:val="center"/>
              <w:ind w:right="420"/>
              <w:spacing w:after="0" w:line="122" w:lineRule="exact"/>
              <w:rPr>
                <w:sz w:val="20"/>
                <w:szCs w:val="20"/>
                <w:color w:val="auto"/>
              </w:rPr>
            </w:pPr>
            <w:r>
              <w:rPr>
                <w:rFonts w:ascii="Arial" w:cs="Arial" w:eastAsia="Arial" w:hAnsi="Arial"/>
                <w:sz w:val="11"/>
                <w:szCs w:val="11"/>
                <w:b w:val="1"/>
                <w:bCs w:val="1"/>
                <w:color w:val="auto"/>
                <w:w w:val="94"/>
              </w:rPr>
              <w:t>Derivative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rPr>
              <w:t>Acquired</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(Dollars in millions)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5"/>
          </w:tcPr>
          <w:p>
            <w:pPr>
              <w:jc w:val="center"/>
              <w:ind w:right="380"/>
              <w:spacing w:after="0"/>
              <w:rPr>
                <w:sz w:val="20"/>
                <w:szCs w:val="20"/>
                <w:color w:val="auto"/>
              </w:rPr>
            </w:pPr>
            <w:r>
              <w:rPr>
                <w:rFonts w:ascii="Arial" w:cs="Arial" w:eastAsia="Arial" w:hAnsi="Arial"/>
                <w:sz w:val="11"/>
                <w:szCs w:val="11"/>
                <w:b w:val="1"/>
                <w:bCs w:val="1"/>
                <w:color w:val="auto"/>
                <w:w w:val="89"/>
              </w:rPr>
              <w:t>Accounting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6"/>
              </w:rPr>
              <w:t>Intangibles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98"/>
              </w:rPr>
              <w:t>Total</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0" w:type="dxa"/>
            <w:vAlign w:val="bottom"/>
            <w:gridSpan w:val="14"/>
            <w:shd w:val="clear" w:color="auto" w:fill="CFF0FC"/>
          </w:tcPr>
          <w:p>
            <w:pPr>
              <w:spacing w:after="0" w:line="129" w:lineRule="exact"/>
              <w:rPr>
                <w:sz w:val="20"/>
                <w:szCs w:val="20"/>
                <w:color w:val="auto"/>
              </w:rPr>
            </w:pPr>
            <w:r>
              <w:rPr>
                <w:rFonts w:ascii="Arial" w:cs="Arial" w:eastAsia="Arial" w:hAnsi="Arial"/>
                <w:sz w:val="13"/>
                <w:szCs w:val="13"/>
                <w:color w:val="auto"/>
                <w:w w:val="97"/>
              </w:rPr>
              <w:t>Net interest income (loss) after provisions for loan losses</w:t>
            </w: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21</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FF0FC"/>
          </w:tcPr>
          <w:p>
            <w:pPr>
              <w:jc w:val="right"/>
              <w:ind w:right="195"/>
              <w:spacing w:after="0" w:line="129" w:lineRule="exact"/>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spacing w:after="0" w:line="129" w:lineRule="exact"/>
              <w:rPr>
                <w:sz w:val="20"/>
                <w:szCs w:val="20"/>
                <w:color w:val="auto"/>
              </w:rPr>
            </w:pPr>
            <w:r>
              <w:rPr>
                <w:rFonts w:ascii="Arial" w:cs="Arial" w:eastAsia="Arial" w:hAnsi="Arial"/>
                <w:sz w:val="13"/>
                <w:szCs w:val="13"/>
                <w:color w:val="auto"/>
              </w:rPr>
              <w:t>21</w:t>
            </w:r>
          </w:p>
        </w:tc>
        <w:tc>
          <w:tcPr>
            <w:tcW w:w="100" w:type="dxa"/>
            <w:vAlign w:val="bottom"/>
            <w:shd w:val="clear" w:color="auto" w:fill="CFF0FC"/>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line="135" w:lineRule="exact"/>
              <w:rPr>
                <w:sz w:val="20"/>
                <w:szCs w:val="20"/>
                <w:color w:val="auto"/>
              </w:rPr>
            </w:pPr>
            <w:r>
              <w:rPr>
                <w:rFonts w:ascii="Arial" w:cs="Arial" w:eastAsia="Arial" w:hAnsi="Arial"/>
                <w:sz w:val="13"/>
                <w:szCs w:val="13"/>
                <w:color w:val="auto"/>
              </w:rPr>
              <w:t>Total other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40" w:type="dxa"/>
            <w:vAlign w:val="bottom"/>
            <w:gridSpan w:val="16"/>
            <w:shd w:val="clear" w:color="auto" w:fill="CFF0FC"/>
          </w:tcPr>
          <w:p>
            <w:pPr>
              <w:spacing w:after="0" w:line="135" w:lineRule="exact"/>
              <w:rPr>
                <w:sz w:val="20"/>
                <w:szCs w:val="20"/>
                <w:color w:val="auto"/>
              </w:rPr>
            </w:pPr>
            <w:r>
              <w:rPr>
                <w:rFonts w:ascii="Arial" w:cs="Arial" w:eastAsia="Arial" w:hAnsi="Arial"/>
                <w:sz w:val="13"/>
                <w:szCs w:val="13"/>
                <w:color w:val="auto"/>
              </w:rPr>
              <w:t>Goodwill and acquired intangible asset impairment and amortization</w:t>
            </w: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100" w:type="dxa"/>
            <w:vAlign w:val="bottom"/>
            <w:tcBorders>
              <w:right w:val="single" w:sz="8" w:color="CFF0FC"/>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00" w:type="dxa"/>
            <w:vAlign w:val="bottom"/>
            <w:gridSpan w:val="3"/>
            <w:shd w:val="clear" w:color="auto" w:fill="CFF0FC"/>
          </w:tcPr>
          <w:p>
            <w:pPr>
              <w:jc w:val="right"/>
              <w:spacing w:after="0" w:line="135" w:lineRule="exact"/>
              <w:rPr>
                <w:sz w:val="20"/>
                <w:szCs w:val="20"/>
                <w:color w:val="auto"/>
              </w:rPr>
            </w:pPr>
            <w:r>
              <w:rPr>
                <w:rFonts w:ascii="Arial" w:cs="Arial" w:eastAsia="Arial" w:hAnsi="Arial"/>
                <w:sz w:val="13"/>
                <w:szCs w:val="13"/>
                <w:color w:val="auto"/>
              </w:rPr>
              <w:t>(2)</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40" w:type="dxa"/>
            <w:vAlign w:val="bottom"/>
            <w:tcBorders>
              <w:top w:val="single" w:sz="8" w:color="CFF0FC"/>
              <w:bottom w:val="single" w:sz="8" w:color="CFF0FC"/>
            </w:tcBorders>
            <w:gridSpan w:val="12"/>
          </w:tcPr>
          <w:p>
            <w:pPr>
              <w:spacing w:after="0" w:line="129" w:lineRule="exact"/>
              <w:rPr>
                <w:sz w:val="20"/>
                <w:szCs w:val="20"/>
                <w:color w:val="auto"/>
              </w:rPr>
            </w:pPr>
            <w:r>
              <w:rPr>
                <w:rFonts w:ascii="Arial" w:cs="Arial" w:eastAsia="Arial" w:hAnsi="Arial"/>
                <w:sz w:val="13"/>
                <w:szCs w:val="13"/>
                <w:color w:val="auto"/>
              </w:rPr>
              <w:t>Total Core Earnings adjustments to GAAP</w:t>
            </w: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7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7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54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55</w:t>
            </w:r>
          </w:p>
        </w:tc>
        <w:tc>
          <w:tcPr>
            <w:tcW w:w="160" w:type="dxa"/>
            <w:vAlign w:val="bottom"/>
            <w:tcBorders>
              <w:top w:val="single" w:sz="8" w:color="CFF0FC"/>
            </w:tcBorders>
          </w:tcPr>
          <w:p>
            <w:pPr>
              <w:spacing w:after="0"/>
              <w:rPr>
                <w:sz w:val="11"/>
                <w:szCs w:val="11"/>
                <w:color w:val="auto"/>
              </w:rPr>
            </w:pPr>
          </w:p>
        </w:tc>
        <w:tc>
          <w:tcPr>
            <w:tcW w:w="4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57</w:t>
            </w:r>
          </w:p>
        </w:tc>
        <w:tc>
          <w:tcPr>
            <w:tcW w:w="100" w:type="dxa"/>
            <w:vAlign w:val="bottom"/>
            <w:tcBorders>
              <w:top w:val="single" w:sz="8" w:color="CFF0FC"/>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40" w:type="dxa"/>
            <w:vAlign w:val="bottom"/>
            <w:tcBorders>
              <w:bottom w:val="single" w:sz="8" w:color="CFF0FC"/>
            </w:tcBorders>
            <w:gridSpan w:val="8"/>
            <w:shd w:val="clear" w:color="auto" w:fill="CFF0FC"/>
          </w:tcPr>
          <w:p>
            <w:pPr>
              <w:spacing w:after="0" w:line="116" w:lineRule="exact"/>
              <w:rPr>
                <w:sz w:val="20"/>
                <w:szCs w:val="20"/>
                <w:color w:val="auto"/>
              </w:rPr>
            </w:pPr>
            <w:r>
              <w:rPr>
                <w:rFonts w:ascii="Arial" w:cs="Arial" w:eastAsia="Arial" w:hAnsi="Arial"/>
                <w:sz w:val="13"/>
                <w:szCs w:val="13"/>
                <w:color w:val="auto"/>
              </w:rPr>
              <w:t>Income tax expense (benefit)</w:t>
            </w: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78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right w:val="single" w:sz="8" w:color="CFF0FC"/>
            </w:tcBorders>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left w:val="single" w:sz="8" w:color="CFF0FC"/>
              <w:bottom w:val="single" w:sz="8" w:color="CFF0FC"/>
            </w:tcBorders>
            <w:shd w:val="clear" w:color="auto" w:fill="CFF0FC"/>
          </w:tcPr>
          <w:p>
            <w:pPr>
              <w:spacing w:after="0"/>
              <w:rPr>
                <w:sz w:val="10"/>
                <w:szCs w:val="10"/>
                <w:color w:val="auto"/>
              </w:rPr>
            </w:pPr>
          </w:p>
        </w:tc>
        <w:tc>
          <w:tcPr>
            <w:tcW w:w="100" w:type="dxa"/>
            <w:vAlign w:val="bottom"/>
            <w:tcBorders>
              <w:bottom w:val="single" w:sz="8" w:color="CFF0FC"/>
              <w:right w:val="single" w:sz="8" w:color="CFF0FC"/>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gridSpan w:val="2"/>
            <w:shd w:val="clear" w:color="auto" w:fill="CFF0FC"/>
          </w:tcPr>
          <w:p>
            <w:pPr>
              <w:jc w:val="right"/>
              <w:spacing w:after="0" w:line="116" w:lineRule="exact"/>
              <w:rPr>
                <w:sz w:val="20"/>
                <w:szCs w:val="20"/>
                <w:color w:val="auto"/>
              </w:rPr>
            </w:pPr>
            <w:r>
              <w:rPr>
                <w:rFonts w:ascii="Arial" w:cs="Arial" w:eastAsia="Arial" w:hAnsi="Arial"/>
                <w:sz w:val="13"/>
                <w:szCs w:val="13"/>
                <w:color w:val="auto"/>
              </w:rPr>
              <w:t>18</w:t>
            </w:r>
          </w:p>
        </w:tc>
        <w:tc>
          <w:tcPr>
            <w:tcW w:w="100" w:type="dxa"/>
            <w:vAlign w:val="bottom"/>
            <w:tcBorders>
              <w:bottom w:val="single" w:sz="8" w:color="CFF0FC"/>
            </w:tcBorders>
            <w:shd w:val="clear" w:color="auto" w:fill="CFF0FC"/>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95"/>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3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39</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-4474210</wp:posOffset>
            </wp:positionV>
            <wp:extent cx="603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-4474210</wp:posOffset>
            </wp:positionV>
            <wp:extent cx="596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-4474210</wp:posOffset>
            </wp:positionV>
            <wp:extent cx="603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-4474210</wp:posOffset>
            </wp:positionV>
            <wp:extent cx="603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-4474210</wp:posOffset>
            </wp:positionV>
            <wp:extent cx="596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-4474210</wp:posOffset>
            </wp:positionV>
            <wp:extent cx="596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-4474210</wp:posOffset>
            </wp:positionV>
            <wp:extent cx="603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-4474210</wp:posOffset>
            </wp:positionV>
            <wp:extent cx="603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-4474210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-4293870</wp:posOffset>
            </wp:positionV>
            <wp:extent cx="603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-4293870</wp:posOffset>
            </wp:positionV>
            <wp:extent cx="596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-4293870</wp:posOffset>
            </wp:positionV>
            <wp:extent cx="603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-4293870</wp:posOffset>
            </wp:positionV>
            <wp:extent cx="603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-4293870</wp:posOffset>
            </wp:positionV>
            <wp:extent cx="596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-4293870</wp:posOffset>
            </wp:positionV>
            <wp:extent cx="596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-4293870</wp:posOffset>
            </wp:positionV>
            <wp:extent cx="603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-4293870</wp:posOffset>
            </wp:positionV>
            <wp:extent cx="603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-4293870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-3950970</wp:posOffset>
            </wp:positionV>
            <wp:extent cx="603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-3950970</wp:posOffset>
            </wp:positionV>
            <wp:extent cx="596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-3950970</wp:posOffset>
            </wp:positionV>
            <wp:extent cx="603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-3950970</wp:posOffset>
            </wp:positionV>
            <wp:extent cx="603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-3950970</wp:posOffset>
            </wp:positionV>
            <wp:extent cx="596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-3950970</wp:posOffset>
            </wp:positionV>
            <wp:extent cx="596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-3950970</wp:posOffset>
            </wp:positionV>
            <wp:extent cx="6032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-3950970</wp:posOffset>
            </wp:positionV>
            <wp:extent cx="6032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-3950970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-1971040</wp:posOffset>
            </wp:positionV>
            <wp:extent cx="603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-1971040</wp:posOffset>
            </wp:positionV>
            <wp:extent cx="596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-1971040</wp:posOffset>
            </wp:positionV>
            <wp:extent cx="603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-1971040</wp:posOffset>
            </wp:positionV>
            <wp:extent cx="603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-1971040</wp:posOffset>
            </wp:positionV>
            <wp:extent cx="596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-1971040</wp:posOffset>
            </wp:positionV>
            <wp:extent cx="596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-1971040</wp:posOffset>
            </wp:positionV>
            <wp:extent cx="603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-1971040</wp:posOffset>
            </wp:positionV>
            <wp:extent cx="603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-1971040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-1353820</wp:posOffset>
            </wp:positionV>
            <wp:extent cx="603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1609725</wp:posOffset>
            </wp:positionH>
            <wp:positionV relativeFrom="paragraph">
              <wp:posOffset>-1336675</wp:posOffset>
            </wp:positionV>
            <wp:extent cx="6032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-1353820</wp:posOffset>
            </wp:positionV>
            <wp:extent cx="596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2175510</wp:posOffset>
            </wp:positionH>
            <wp:positionV relativeFrom="paragraph">
              <wp:posOffset>-1336675</wp:posOffset>
            </wp:positionV>
            <wp:extent cx="596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-1353820</wp:posOffset>
            </wp:positionV>
            <wp:extent cx="6032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-1336675</wp:posOffset>
            </wp:positionV>
            <wp:extent cx="6032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-1353820</wp:posOffset>
            </wp:positionV>
            <wp:extent cx="603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3504565</wp:posOffset>
            </wp:positionH>
            <wp:positionV relativeFrom="paragraph">
              <wp:posOffset>-1336675</wp:posOffset>
            </wp:positionV>
            <wp:extent cx="6032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-1353820</wp:posOffset>
            </wp:positionV>
            <wp:extent cx="596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-1336675</wp:posOffset>
            </wp:positionV>
            <wp:extent cx="596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-1353820</wp:posOffset>
            </wp:positionV>
            <wp:extent cx="596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-1336675</wp:posOffset>
            </wp:positionV>
            <wp:extent cx="596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-1353820</wp:posOffset>
            </wp:positionV>
            <wp:extent cx="6032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-1336675</wp:posOffset>
            </wp:positionV>
            <wp:extent cx="6032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-1353820</wp:posOffset>
            </wp:positionV>
            <wp:extent cx="603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-1336675</wp:posOffset>
            </wp:positionV>
            <wp:extent cx="6032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-1353820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6350635</wp:posOffset>
            </wp:positionH>
            <wp:positionV relativeFrom="paragraph">
              <wp:posOffset>-1336675</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-325120</wp:posOffset>
            </wp:positionV>
            <wp:extent cx="514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5330190</wp:posOffset>
            </wp:positionH>
            <wp:positionV relativeFrom="paragraph">
              <wp:posOffset>-325120</wp:posOffset>
            </wp:positionV>
            <wp:extent cx="5143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-325120</wp:posOffset>
            </wp:positionV>
            <wp:extent cx="5143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6042025</wp:posOffset>
            </wp:positionH>
            <wp:positionV relativeFrom="paragraph">
              <wp:posOffset>-119380</wp:posOffset>
            </wp:positionV>
            <wp:extent cx="514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ind w:left="265" w:hanging="265"/>
        <w:spacing w:after="0"/>
        <w:tabs>
          <w:tab w:leader="none" w:pos="265" w:val="left"/>
        </w:tabs>
        <w:numPr>
          <w:ilvl w:val="0"/>
          <w:numId w:val="24"/>
        </w:numPr>
        <w:rPr>
          <w:rFonts w:ascii="Arial" w:cs="Arial" w:eastAsia="Arial" w:hAnsi="Arial"/>
          <w:sz w:val="8"/>
          <w:szCs w:val="8"/>
          <w:color w:val="auto"/>
        </w:rPr>
      </w:pPr>
      <w:r>
        <w:rPr>
          <w:rFonts w:ascii="Arial" w:cs="Arial" w:eastAsia="Arial" w:hAnsi="Arial"/>
          <w:sz w:val="14"/>
          <w:szCs w:val="14"/>
          <w:color w:val="auto"/>
        </w:rPr>
        <w:t>Income taxes are based on a percentage of net income before tax for the individual reportable segment.</w:t>
      </w:r>
    </w:p>
    <w:p>
      <w:pPr>
        <w:spacing w:after="0" w:line="212" w:lineRule="exact"/>
        <w:rPr>
          <w:sz w:val="20"/>
          <w:szCs w:val="20"/>
          <w:color w:val="auto"/>
        </w:rPr>
      </w:pPr>
    </w:p>
    <w:p>
      <w:pPr>
        <w:ind w:left="9925"/>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479425</wp:posOffset>
            </wp:positionV>
            <wp:extent cx="703770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999" w:right="1099" w:bottom="1440" w:gutter="0" w:footer="0" w:header="0"/>
        </w:sectPr>
      </w:pPr>
    </w:p>
    <w:bookmarkStart w:id="27" w:name="page28"/>
    <w:bookmarkEnd w:id="27"/>
    <w:p>
      <w:pPr>
        <w:ind w:left="5" w:right="300"/>
        <w:spacing w:after="0" w:line="286" w:lineRule="auto"/>
        <w:rPr>
          <w:sz w:val="20"/>
          <w:szCs w:val="20"/>
          <w:color w:val="auto"/>
        </w:rPr>
      </w:pPr>
      <w:r>
        <w:rPr>
          <w:rFonts w:ascii="Arial" w:cs="Arial" w:eastAsia="Arial" w:hAnsi="Arial"/>
          <w:sz w:val="16"/>
          <w:szCs w:val="16"/>
          <w:color w:val="auto"/>
        </w:rPr>
        <w:t>The following discussion summarizes the differences between GAAP and Core Earnings net income and details each specific adjustment required to reconcile our GAAP earnings to our Core Earnings segment presentation.</w:t>
      </w:r>
    </w:p>
    <w:p>
      <w:pPr>
        <w:spacing w:after="0" w:line="278" w:lineRule="exact"/>
        <w:rPr>
          <w:sz w:val="20"/>
          <w:szCs w:val="20"/>
          <w:color w:val="auto"/>
        </w:rPr>
      </w:pPr>
    </w:p>
    <w:tbl>
      <w:tblPr>
        <w:tblLayout w:type="fixed"/>
        <w:tblInd w:w="5" w:type="dxa"/>
        <w:tblCellMar>
          <w:top w:w="0" w:type="dxa"/>
          <w:left w:w="0" w:type="dxa"/>
          <w:bottom w:w="0" w:type="dxa"/>
          <w:right w:w="0" w:type="dxa"/>
        </w:tblCellMar>
      </w:tblPr>
      <w:tr>
        <w:trPr>
          <w:trHeight w:val="162"/>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90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460" w:type="dxa"/>
            <w:vAlign w:val="bottom"/>
            <w:gridSpan w:val="4"/>
            <w:shd w:val="clear" w:color="auto" w:fill="D9D9D9"/>
          </w:tcPr>
          <w:p>
            <w:pPr>
              <w:jc w:val="right"/>
              <w:ind w:right="80"/>
              <w:spacing w:after="0"/>
              <w:rPr>
                <w:sz w:val="20"/>
                <w:szCs w:val="20"/>
                <w:color w:val="auto"/>
              </w:rPr>
            </w:pPr>
            <w:r>
              <w:rPr>
                <w:rFonts w:ascii="Arial" w:cs="Arial" w:eastAsia="Arial" w:hAnsi="Arial"/>
                <w:sz w:val="14"/>
                <w:szCs w:val="14"/>
                <w:b w:val="1"/>
                <w:bCs w:val="1"/>
                <w:color w:val="auto"/>
              </w:rPr>
              <w:t>QUARTERS ENDED</w:t>
            </w:r>
          </w:p>
        </w:tc>
        <w:tc>
          <w:tcPr>
            <w:tcW w:w="80" w:type="dxa"/>
            <w:vAlign w:val="bottom"/>
            <w:shd w:val="clear" w:color="auto" w:fill="D9D9D9"/>
          </w:tcPr>
          <w:p>
            <w:pPr>
              <w:spacing w:after="0"/>
              <w:rPr>
                <w:sz w:val="14"/>
                <w:szCs w:val="14"/>
                <w:color w:val="auto"/>
              </w:rPr>
            </w:pPr>
          </w:p>
        </w:tc>
        <w:tc>
          <w:tcPr>
            <w:tcW w:w="24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860" w:type="dxa"/>
            <w:vAlign w:val="bottom"/>
            <w:gridSpan w:val="4"/>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4"/>
              <w:spacing w:after="0" w:line="155" w:lineRule="exact"/>
              <w:rPr>
                <w:sz w:val="20"/>
                <w:szCs w:val="20"/>
                <w:color w:val="auto"/>
              </w:rPr>
            </w:pPr>
            <w:r>
              <w:rPr>
                <w:rFonts w:ascii="Arial" w:cs="Arial" w:eastAsia="Arial" w:hAnsi="Arial"/>
                <w:sz w:val="14"/>
                <w:szCs w:val="14"/>
                <w:b w:val="1"/>
                <w:bCs w:val="1"/>
                <w:color w:val="auto"/>
              </w:rPr>
              <w:t>June 30, 2026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5"/>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GAAP net income</w:t>
            </w:r>
          </w:p>
        </w:tc>
        <w:tc>
          <w:tcPr>
            <w:tcW w:w="560" w:type="dxa"/>
            <w:vAlign w:val="bottom"/>
            <w:gridSpan w:val="2"/>
            <w:shd w:val="clear" w:color="auto" w:fill="CFF0FC"/>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15</w:t>
            </w:r>
          </w:p>
        </w:tc>
        <w:tc>
          <w:tcPr>
            <w:tcW w:w="8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25</w:t>
            </w:r>
          </w:p>
        </w:tc>
        <w:tc>
          <w:tcPr>
            <w:tcW w:w="1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88"/>
              <w:spacing w:after="0" w:line="156"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(86)</w:t>
            </w:r>
          </w:p>
        </w:tc>
        <w:tc>
          <w:tcPr>
            <w:tcW w:w="340" w:type="dxa"/>
            <w:vAlign w:val="bottom"/>
            <w:gridSpan w:val="2"/>
            <w:shd w:val="clear" w:color="auto" w:fill="CFF0FC"/>
          </w:tcPr>
          <w:p>
            <w:pPr>
              <w:jc w:val="right"/>
              <w:ind w:right="68"/>
              <w:spacing w:after="0" w:line="156"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56</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28"/>
              <w:spacing w:after="0" w:line="156" w:lineRule="exact"/>
              <w:rPr>
                <w:sz w:val="20"/>
                <w:szCs w:val="20"/>
                <w:color w:val="auto"/>
              </w:rPr>
            </w:pPr>
            <w:r>
              <w:rPr>
                <w:rFonts w:ascii="Arial" w:cs="Arial" w:eastAsia="Arial" w:hAnsi="Arial"/>
                <w:sz w:val="15"/>
                <w:szCs w:val="15"/>
                <w:color w:val="auto"/>
              </w:rPr>
              <w:t>$</w:t>
            </w:r>
          </w:p>
        </w:tc>
        <w:tc>
          <w:tcPr>
            <w:tcW w:w="42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tcPr>
          <w:p>
            <w:pPr>
              <w:spacing w:after="0" w:line="162" w:lineRule="exact"/>
              <w:rPr>
                <w:sz w:val="20"/>
                <w:szCs w:val="20"/>
                <w:color w:val="auto"/>
              </w:rPr>
            </w:pPr>
            <w:r>
              <w:rPr>
                <w:rFonts w:ascii="Arial" w:cs="Arial" w:eastAsia="Arial" w:hAnsi="Arial"/>
                <w:sz w:val="15"/>
                <w:szCs w:val="15"/>
                <w:color w:val="auto"/>
              </w:rPr>
              <w:t>Core Earnings adjustments to GAAP:</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Net impact of derivative accounting</w:t>
            </w: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line="162" w:lineRule="exact"/>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8</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80"/>
              <w:spacing w:after="0" w:line="162" w:lineRule="exact"/>
              <w:rPr>
                <w:sz w:val="20"/>
                <w:szCs w:val="20"/>
                <w:color w:val="auto"/>
              </w:rPr>
            </w:pPr>
            <w:r>
              <w:rPr>
                <w:rFonts w:ascii="Arial" w:cs="Arial" w:eastAsia="Arial" w:hAnsi="Arial"/>
                <w:sz w:val="15"/>
                <w:szCs w:val="15"/>
                <w:color w:val="auto"/>
              </w:rPr>
              <w:t>(22)</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80" w:type="dxa"/>
            <w:vAlign w:val="bottom"/>
            <w:gridSpan w:val="2"/>
          </w:tcPr>
          <w:p>
            <w:pPr>
              <w:spacing w:after="0" w:line="145" w:lineRule="exact"/>
              <w:rPr>
                <w:sz w:val="20"/>
                <w:szCs w:val="20"/>
                <w:color w:val="auto"/>
              </w:rPr>
            </w:pPr>
            <w:r>
              <w:rPr>
                <w:rFonts w:ascii="Arial" w:cs="Arial" w:eastAsia="Arial" w:hAnsi="Arial"/>
                <w:sz w:val="15"/>
                <w:szCs w:val="15"/>
                <w:color w:val="auto"/>
              </w:rPr>
              <w:t>Net impact of goodwill and acquired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80" w:type="dxa"/>
            <w:vAlign w:val="bottom"/>
            <w:gridSpan w:val="2"/>
          </w:tcPr>
          <w:p>
            <w:pPr>
              <w:ind w:left="60"/>
              <w:spacing w:after="0"/>
              <w:rPr>
                <w:sz w:val="20"/>
                <w:szCs w:val="20"/>
                <w:color w:val="auto"/>
              </w:rPr>
            </w:pPr>
            <w:r>
              <w:rPr>
                <w:rFonts w:ascii="Arial" w:cs="Arial" w:eastAsia="Arial" w:hAnsi="Arial"/>
                <w:sz w:val="15"/>
                <w:szCs w:val="15"/>
                <w:color w:val="auto"/>
              </w:rPr>
              <w:t>intangible assets</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gridSpan w:val="2"/>
            <w:shd w:val="clear" w:color="auto" w:fill="CFF0FC"/>
          </w:tcPr>
          <w:p>
            <w:pPr>
              <w:spacing w:after="0" w:line="162" w:lineRule="exact"/>
              <w:rPr>
                <w:sz w:val="20"/>
                <w:szCs w:val="20"/>
                <w:color w:val="auto"/>
              </w:rPr>
            </w:pPr>
            <w:r>
              <w:rPr>
                <w:rFonts w:ascii="Arial" w:cs="Arial" w:eastAsia="Arial" w:hAnsi="Arial"/>
                <w:sz w:val="15"/>
                <w:szCs w:val="15"/>
                <w:color w:val="auto"/>
              </w:rPr>
              <w:t>Net tax effect</w:t>
            </w: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(6)</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Arial" w:cs="Arial" w:eastAsia="Arial" w:hAnsi="Arial"/>
                <w:sz w:val="15"/>
                <w:szCs w:val="15"/>
                <w:color w:val="auto"/>
              </w:rPr>
              <w:t>11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180" w:type="dxa"/>
            <w:vAlign w:val="bottom"/>
            <w:gridSpan w:val="2"/>
          </w:tcPr>
          <w:p>
            <w:pPr>
              <w:spacing w:after="0" w:line="156" w:lineRule="exact"/>
              <w:rPr>
                <w:sz w:val="20"/>
                <w:szCs w:val="20"/>
                <w:color w:val="auto"/>
              </w:rPr>
            </w:pPr>
            <w:r>
              <w:rPr>
                <w:rFonts w:ascii="Arial" w:cs="Arial" w:eastAsia="Arial" w:hAnsi="Arial"/>
                <w:sz w:val="15"/>
                <w:szCs w:val="15"/>
                <w:color w:val="auto"/>
              </w:rPr>
              <w:t>Total Core Earnings adjustments to GAAP</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40"/>
              <w:spacing w:after="0" w:line="156" w:lineRule="exact"/>
              <w:rPr>
                <w:sz w:val="20"/>
                <w:szCs w:val="20"/>
                <w:color w:val="auto"/>
              </w:rPr>
            </w:pPr>
            <w:r>
              <w:rPr>
                <w:rFonts w:ascii="Arial" w:cs="Arial" w:eastAsia="Arial" w:hAnsi="Arial"/>
                <w:sz w:val="15"/>
                <w:szCs w:val="15"/>
                <w:color w:val="auto"/>
              </w:rPr>
              <w:t>(12)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line="156" w:lineRule="exact"/>
              <w:rPr>
                <w:sz w:val="20"/>
                <w:szCs w:val="20"/>
                <w:color w:val="auto"/>
              </w:rPr>
            </w:pPr>
            <w:r>
              <w:rPr>
                <w:rFonts w:ascii="Arial" w:cs="Arial" w:eastAsia="Arial" w:hAnsi="Arial"/>
                <w:sz w:val="15"/>
                <w:szCs w:val="15"/>
                <w:color w:val="auto"/>
              </w:rPr>
              <w:t>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5"/>
                <w:szCs w:val="15"/>
                <w:color w:val="auto"/>
              </w:rPr>
              <w:t>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80"/>
              <w:spacing w:after="0" w:line="156" w:lineRule="exact"/>
              <w:rPr>
                <w:sz w:val="20"/>
                <w:szCs w:val="20"/>
                <w:color w:val="auto"/>
              </w:rPr>
            </w:pPr>
            <w:r>
              <w:rPr>
                <w:rFonts w:ascii="Arial" w:cs="Arial" w:eastAsia="Arial" w:hAnsi="Arial"/>
                <w:sz w:val="15"/>
                <w:szCs w:val="15"/>
                <w:color w:val="auto"/>
              </w:rPr>
              <w:t>(6)</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jc w:val="right"/>
              <w:spacing w:after="0" w:line="156" w:lineRule="exact"/>
              <w:rPr>
                <w:sz w:val="20"/>
                <w:szCs w:val="20"/>
                <w:color w:val="auto"/>
              </w:rPr>
            </w:pPr>
            <w:r>
              <w:rPr>
                <w:rFonts w:ascii="Arial" w:cs="Arial" w:eastAsia="Arial" w:hAnsi="Arial"/>
                <w:sz w:val="15"/>
                <w:szCs w:val="15"/>
                <w:color w:val="auto"/>
              </w:rPr>
              <w:t>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gridSpan w:val="2"/>
            <w:shd w:val="clear" w:color="auto" w:fill="CFF0FC"/>
          </w:tcPr>
          <w:p>
            <w:pPr>
              <w:spacing w:after="0" w:line="156" w:lineRule="exact"/>
              <w:rPr>
                <w:sz w:val="20"/>
                <w:szCs w:val="20"/>
                <w:color w:val="auto"/>
              </w:rPr>
            </w:pPr>
            <w:r>
              <w:rPr>
                <w:rFonts w:ascii="Arial" w:cs="Arial" w:eastAsia="Arial" w:hAnsi="Arial"/>
                <w:sz w:val="15"/>
                <w:szCs w:val="15"/>
                <w:b w:val="1"/>
                <w:bCs w:val="1"/>
                <w:color w:val="auto"/>
              </w:rPr>
              <w:t>Core Earnings net income</w:t>
            </w:r>
          </w:p>
        </w:tc>
        <w:tc>
          <w:tcPr>
            <w:tcW w:w="3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6"/>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56" w:lineRule="exact"/>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27</w:t>
            </w:r>
          </w:p>
        </w:tc>
        <w:tc>
          <w:tcPr>
            <w:tcW w:w="1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88"/>
              <w:spacing w:after="0" w:line="156"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(83)</w:t>
            </w:r>
          </w:p>
        </w:tc>
        <w:tc>
          <w:tcPr>
            <w:tcW w:w="340" w:type="dxa"/>
            <w:vAlign w:val="bottom"/>
            <w:gridSpan w:val="2"/>
            <w:shd w:val="clear" w:color="auto" w:fill="CFF0FC"/>
          </w:tcPr>
          <w:p>
            <w:pPr>
              <w:jc w:val="right"/>
              <w:ind w:right="68"/>
              <w:spacing w:after="0" w:line="156"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50</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28"/>
              <w:spacing w:after="0" w:line="156" w:lineRule="exact"/>
              <w:rPr>
                <w:sz w:val="20"/>
                <w:szCs w:val="20"/>
                <w:color w:val="auto"/>
              </w:rPr>
            </w:pPr>
            <w:r>
              <w:rPr>
                <w:rFonts w:ascii="Arial" w:cs="Arial" w:eastAsia="Arial" w:hAnsi="Arial"/>
                <w:sz w:val="15"/>
                <w:szCs w:val="15"/>
                <w:color w:val="auto"/>
              </w:rPr>
              <w:t>$</w:t>
            </w:r>
          </w:p>
        </w:tc>
        <w:tc>
          <w:tcPr>
            <w:tcW w:w="420" w:type="dxa"/>
            <w:vAlign w:val="bottom"/>
            <w:gridSpan w:val="2"/>
            <w:shd w:val="clear" w:color="auto" w:fill="CFF0FC"/>
          </w:tcPr>
          <w:p>
            <w:pPr>
              <w:jc w:val="right"/>
              <w:ind w:right="40"/>
              <w:spacing w:after="0" w:line="156"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-247650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-247650</wp:posOffset>
            </wp:positionV>
            <wp:extent cx="6032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-247650</wp:posOffset>
            </wp:positionV>
            <wp:extent cx="6032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-247650</wp:posOffset>
            </wp:positionV>
            <wp:extent cx="6032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-247650</wp:posOffset>
            </wp:positionV>
            <wp:extent cx="6032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-24765</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-7620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-24765</wp:posOffset>
            </wp:positionV>
            <wp:extent cx="603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-7620</wp:posOffset>
            </wp:positionV>
            <wp:extent cx="603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-24765</wp:posOffset>
            </wp:positionV>
            <wp:extent cx="603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-7620</wp:posOffset>
            </wp:positionV>
            <wp:extent cx="603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03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03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-24765</wp:posOffset>
            </wp:positionV>
            <wp:extent cx="6032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-7620</wp:posOffset>
            </wp:positionV>
            <wp:extent cx="6032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ind w:left="445" w:right="100" w:hanging="445"/>
        <w:spacing w:after="0" w:line="244" w:lineRule="auto"/>
        <w:tabs>
          <w:tab w:leader="none" w:pos="351" w:val="left"/>
        </w:tabs>
        <w:numPr>
          <w:ilvl w:val="0"/>
          <w:numId w:val="25"/>
        </w:numPr>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Derivative Accounting: </w:t>
      </w:r>
      <w:r>
        <w:rPr>
          <w:rFonts w:ascii="Arial" w:cs="Arial" w:eastAsia="Arial" w:hAnsi="Arial"/>
          <w:sz w:val="16"/>
          <w:szCs w:val="16"/>
          <w:color w:val="auto"/>
        </w:rPr>
        <w:t>Core Earnings exclude periodic gains and losses that are caused by the mark-to-market valuations on</w:t>
      </w:r>
      <w:r>
        <w:rPr>
          <w:rFonts w:ascii="Arial" w:cs="Arial" w:eastAsia="Arial" w:hAnsi="Arial"/>
          <w:sz w:val="16"/>
          <w:szCs w:val="16"/>
          <w:b w:val="1"/>
          <w:bCs w:val="1"/>
          <w:color w:val="auto"/>
        </w:rPr>
        <w:t xml:space="preserve"> </w:t>
      </w:r>
      <w:r>
        <w:rPr>
          <w:rFonts w:ascii="Arial" w:cs="Arial" w:eastAsia="Arial" w:hAnsi="Arial"/>
          <w:sz w:val="16"/>
          <w:szCs w:val="16"/>
          <w:color w:val="auto"/>
        </w:rPr>
        <w:t>derivatives that do not qualify for hedge accounting treatment under GAAP, as well as the periodic mark-to-market gains and losses that are a result of ineffectiveness recognized related to effective hedges under GAAP. Under GAAP, for our derivatives that are held to maturity, the mark-to-market gain or loss over the life of the contract will equal $0. In our Core Earnings presentation, we recognize the economic effect of these hedges, which generally results in any net settlement cash paid or received being recognized ratably as an interest expense or revenue over the hedged item’s life.</w:t>
      </w:r>
    </w:p>
    <w:p>
      <w:pPr>
        <w:spacing w:after="0" w:line="4" w:lineRule="exact"/>
        <w:rPr>
          <w:sz w:val="20"/>
          <w:szCs w:val="20"/>
          <w:color w:val="auto"/>
        </w:rPr>
      </w:pPr>
    </w:p>
    <w:p>
      <w:pPr>
        <w:ind w:left="9925"/>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469265</wp:posOffset>
            </wp:positionV>
            <wp:extent cx="703770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989" w:right="1099" w:bottom="1440" w:gutter="0" w:footer="0" w:header="0"/>
        </w:sectPr>
      </w:pPr>
    </w:p>
    <w:bookmarkStart w:id="28" w:name="page29"/>
    <w:bookmarkEnd w:id="28"/>
    <w:p>
      <w:pPr>
        <w:ind w:left="8"/>
        <w:spacing w:after="0"/>
        <w:rPr>
          <w:sz w:val="20"/>
          <w:szCs w:val="20"/>
          <w:color w:val="auto"/>
        </w:rPr>
      </w:pPr>
      <w:r>
        <w:rPr>
          <w:rFonts w:ascii="Arial" w:cs="Arial" w:eastAsia="Arial" w:hAnsi="Arial"/>
          <w:sz w:val="16"/>
          <w:szCs w:val="16"/>
          <w:color w:val="auto"/>
        </w:rPr>
        <w:t>The table below quantifies the adjustments for derivative accounting between GAAP and Core Earnings net income.</w:t>
      </w:r>
    </w:p>
    <w:p>
      <w:pPr>
        <w:sectPr>
          <w:pgSz w:w="11900" w:h="16838" w:orient="portrait"/>
          <w:cols w:equalWidth="0" w:num="1">
            <w:col w:w="10108"/>
          </w:cols>
          <w:pgMar w:left="692" w:top="109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(Dollars in millions)</w:t>
      </w:r>
    </w:p>
    <w:p>
      <w:pPr>
        <w:spacing w:after="0" w:line="18" w:lineRule="exact"/>
        <w:rPr>
          <w:sz w:val="20"/>
          <w:szCs w:val="20"/>
          <w:color w:val="auto"/>
        </w:rPr>
      </w:pPr>
    </w:p>
    <w:p>
      <w:pPr>
        <w:jc w:val="center"/>
        <w:ind w:left="8" w:right="100"/>
        <w:spacing w:after="0" w:line="241" w:lineRule="auto"/>
        <w:rPr>
          <w:sz w:val="20"/>
          <w:szCs w:val="20"/>
          <w:color w:val="auto"/>
        </w:rPr>
      </w:pPr>
      <w:r>
        <w:rPr>
          <w:rFonts w:ascii="Arial" w:cs="Arial" w:eastAsia="Arial" w:hAnsi="Arial"/>
          <w:sz w:val="14"/>
          <w:szCs w:val="14"/>
          <w:b w:val="1"/>
          <w:bCs w:val="1"/>
          <w:color w:val="auto"/>
        </w:rPr>
        <w:t xml:space="preserve">Core Earnings derivative adjustments: </w:t>
      </w:r>
      <w:r>
        <w:rPr>
          <w:rFonts w:ascii="Arial" w:cs="Arial" w:eastAsia="Arial" w:hAnsi="Arial"/>
          <w:sz w:val="14"/>
          <w:szCs w:val="14"/>
          <w:color w:val="auto"/>
        </w:rPr>
        <w:t>(Gains) losses on derivative and hedging activities, net, included in other income Plus: (Gains) losses on fair value hedging activity included in interest expense</w:t>
      </w:r>
    </w:p>
    <w:p>
      <w:pPr>
        <w:spacing w:after="0" w:line="2" w:lineRule="exact"/>
        <w:rPr>
          <w:sz w:val="20"/>
          <w:szCs w:val="20"/>
          <w:color w:val="auto"/>
        </w:rPr>
      </w:pPr>
    </w:p>
    <w:p>
      <w:pPr>
        <w:ind w:left="8" w:right="40"/>
        <w:spacing w:after="0" w:line="241" w:lineRule="auto"/>
        <w:rPr>
          <w:sz w:val="20"/>
          <w:szCs w:val="20"/>
          <w:color w:val="auto"/>
        </w:rPr>
      </w:pPr>
      <w:r>
        <w:rPr>
          <w:rFonts w:ascii="Arial" w:cs="Arial" w:eastAsia="Arial" w:hAnsi="Arial"/>
          <w:sz w:val="14"/>
          <w:szCs w:val="14"/>
          <w:color w:val="auto"/>
        </w:rPr>
        <w:t>Total (gains) losses in GAAP net income Plus: Reclassification of settlement income</w:t>
      </w:r>
    </w:p>
    <w:p>
      <w:pPr>
        <w:spacing w:after="0" w:line="1" w:lineRule="exact"/>
        <w:rPr>
          <w:sz w:val="20"/>
          <w:szCs w:val="20"/>
          <w:color w:val="auto"/>
        </w:rPr>
      </w:pPr>
    </w:p>
    <w:p>
      <w:pPr>
        <w:ind w:left="128" w:right="320"/>
        <w:spacing w:after="0" w:line="221" w:lineRule="auto"/>
        <w:rPr>
          <w:sz w:val="20"/>
          <w:szCs w:val="20"/>
          <w:color w:val="auto"/>
        </w:rPr>
      </w:pPr>
      <w:r>
        <w:rPr>
          <w:rFonts w:ascii="Arial" w:cs="Arial" w:eastAsia="Arial" w:hAnsi="Arial"/>
          <w:sz w:val="14"/>
          <w:szCs w:val="14"/>
          <w:color w:val="auto"/>
        </w:rPr>
        <w:t>(expense) on derivative and hedging activities, net</w:t>
      </w:r>
      <w:r>
        <w:rPr>
          <w:rFonts w:ascii="Arial" w:cs="Arial" w:eastAsia="Arial" w:hAnsi="Arial"/>
          <w:sz w:val="19"/>
          <w:szCs w:val="19"/>
          <w:color w:val="auto"/>
          <w:vertAlign w:val="superscript"/>
        </w:rPr>
        <w:t>(1)</w:t>
      </w:r>
    </w:p>
    <w:p>
      <w:pPr>
        <w:spacing w:after="0" w:line="2" w:lineRule="exact"/>
        <w:rPr>
          <w:sz w:val="20"/>
          <w:szCs w:val="20"/>
          <w:color w:val="auto"/>
        </w:rPr>
      </w:pPr>
    </w:p>
    <w:p>
      <w:pPr>
        <w:ind w:left="128" w:hanging="119"/>
        <w:spacing w:after="0" w:line="206" w:lineRule="auto"/>
        <w:rPr>
          <w:sz w:val="20"/>
          <w:szCs w:val="20"/>
          <w:color w:val="auto"/>
        </w:rPr>
      </w:pPr>
      <w:r>
        <w:rPr>
          <w:rFonts w:ascii="Arial" w:cs="Arial" w:eastAsia="Arial" w:hAnsi="Arial"/>
          <w:sz w:val="14"/>
          <w:szCs w:val="14"/>
          <w:color w:val="auto"/>
        </w:rPr>
        <w:t>Mark-to-market (gains) losses on derivative and hedging activities, net</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92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1500" w:type="dxa"/>
            <w:vAlign w:val="bottom"/>
            <w:gridSpan w:val="4"/>
            <w:shd w:val="clear" w:color="auto" w:fill="D9D9D9"/>
          </w:tcPr>
          <w:p>
            <w:pPr>
              <w:jc w:val="right"/>
              <w:ind w:right="140"/>
              <w:spacing w:after="0"/>
              <w:rPr>
                <w:sz w:val="20"/>
                <w:szCs w:val="20"/>
                <w:color w:val="auto"/>
              </w:rPr>
            </w:pPr>
            <w:r>
              <w:rPr>
                <w:rFonts w:ascii="Arial" w:cs="Arial" w:eastAsia="Arial" w:hAnsi="Arial"/>
                <w:sz w:val="13"/>
                <w:szCs w:val="13"/>
                <w:b w:val="1"/>
                <w:bCs w:val="1"/>
                <w:color w:val="auto"/>
              </w:rPr>
              <w:t>QUARTERS ENDED</w:t>
            </w:r>
          </w:p>
        </w:tc>
        <w:tc>
          <w:tcPr>
            <w:tcW w:w="120" w:type="dxa"/>
            <w:vAlign w:val="bottom"/>
            <w:shd w:val="clear" w:color="auto" w:fill="D9D9D9"/>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9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2000" w:type="dxa"/>
            <w:vAlign w:val="bottom"/>
            <w:gridSpan w:val="4"/>
            <w:shd w:val="clear" w:color="auto" w:fill="D9D9D9"/>
          </w:tcPr>
          <w:p>
            <w:pPr>
              <w:jc w:val="right"/>
              <w:ind w:right="188"/>
              <w:spacing w:after="0"/>
              <w:rPr>
                <w:sz w:val="20"/>
                <w:szCs w:val="20"/>
                <w:color w:val="auto"/>
              </w:rPr>
            </w:pPr>
            <w:r>
              <w:rPr>
                <w:rFonts w:ascii="Arial" w:cs="Arial" w:eastAsia="Arial" w:hAnsi="Arial"/>
                <w:sz w:val="13"/>
                <w:szCs w:val="13"/>
                <w:b w:val="1"/>
                <w:bCs w:val="1"/>
                <w:color w:val="auto"/>
              </w:rPr>
              <w:t>NINE MONTHS ENDED</w:t>
            </w:r>
          </w:p>
        </w:tc>
        <w:tc>
          <w:tcPr>
            <w:tcW w:w="28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12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right"/>
              <w:ind w:right="22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2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June 30, 2026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498"/>
        </w:trPr>
        <w:tc>
          <w:tcPr>
            <w:tcW w:w="240" w:type="dxa"/>
            <w:vAlign w:val="bottom"/>
            <w:gridSpan w:val="2"/>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96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r>
      <w:tr>
        <w:trPr>
          <w:trHeight w:val="29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4"/>
        </w:trPr>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r>
      <w:tr>
        <w:trPr>
          <w:trHeight w:val="471"/>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r>
      <w:tr>
        <w:trPr>
          <w:trHeight w:val="32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-1964055</wp:posOffset>
            </wp:positionH>
            <wp:positionV relativeFrom="paragraph">
              <wp:posOffset>-1152525</wp:posOffset>
            </wp:positionV>
            <wp:extent cx="6412230" cy="10287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412230" cy="10287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-843915</wp:posOffset>
            </wp:positionV>
            <wp:extent cx="6412230" cy="2057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412230" cy="205740"/>
                    </a:xfrm>
                    <a:prstGeom prst="rect">
                      <a:avLst/>
                    </a:prstGeom>
                    <a:noFill/>
                  </pic:spPr>
                </pic:pic>
              </a:graphicData>
            </a:graphic>
          </wp:anchor>
        </w:drawing>
        <w:drawing>
          <wp:anchor simplePos="0" relativeHeight="251657728" behindDoc="1" locked="0" layoutInCell="0" allowOverlap="1">
            <wp:simplePos x="0" y="0"/>
            <wp:positionH relativeFrom="column">
              <wp:posOffset>-1964055</wp:posOffset>
            </wp:positionH>
            <wp:positionV relativeFrom="paragraph">
              <wp:posOffset>-535305</wp:posOffset>
            </wp:positionV>
            <wp:extent cx="6412230" cy="3257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412230" cy="3257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68" w:space="340"/>
            <w:col w:w="7000"/>
          </w:cols>
          <w:pgMar w:left="692" w:top="1097" w:right="1099" w:bottom="1440" w:gutter="0" w:footer="0" w:header="0"/>
          <w:type w:val="continuous"/>
        </w:sectPr>
      </w:pPr>
    </w:p>
    <w:tbl>
      <w:tblPr>
        <w:tblLayout w:type="fixed"/>
        <w:tblInd w:w="8"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tcBorders>
              <w:bottom w:val="single" w:sz="8" w:color="CFF0FC"/>
            </w:tcBorders>
            <w:gridSpan w:val="2"/>
            <w:shd w:val="clear" w:color="auto" w:fill="CFF0FC"/>
          </w:tcPr>
          <w:p>
            <w:pPr>
              <w:spacing w:after="0" w:line="195" w:lineRule="exact"/>
              <w:rPr>
                <w:sz w:val="20"/>
                <w:szCs w:val="20"/>
                <w:color w:val="auto"/>
              </w:rPr>
            </w:pPr>
            <w:r>
              <w:rPr>
                <w:rFonts w:ascii="Arial" w:cs="Arial" w:eastAsia="Arial" w:hAnsi="Arial"/>
                <w:sz w:val="14"/>
                <w:szCs w:val="14"/>
                <w:color w:val="auto"/>
              </w:rPr>
              <w:t>Other derivative accounting adjustments</w:t>
            </w:r>
            <w:r>
              <w:rPr>
                <w:rFonts w:ascii="Arial" w:cs="Arial" w:eastAsia="Arial" w:hAnsi="Arial"/>
                <w:sz w:val="19"/>
                <w:szCs w:val="19"/>
                <w:color w:val="auto"/>
                <w:vertAlign w:val="superscript"/>
              </w:rPr>
              <w:t>(3)</w:t>
            </w: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080" w:type="dxa"/>
            <w:vAlign w:val="bottom"/>
            <w:gridSpan w:val="2"/>
          </w:tcPr>
          <w:p>
            <w:pPr>
              <w:spacing w:after="0" w:line="155" w:lineRule="exact"/>
              <w:rPr>
                <w:sz w:val="20"/>
                <w:szCs w:val="20"/>
                <w:color w:val="auto"/>
              </w:rPr>
            </w:pPr>
            <w:r>
              <w:rPr>
                <w:rFonts w:ascii="Arial" w:cs="Arial" w:eastAsia="Arial" w:hAnsi="Arial"/>
                <w:sz w:val="14"/>
                <w:szCs w:val="14"/>
                <w:color w:val="auto"/>
              </w:rPr>
              <w:t>Total net impact of derivative accounting</w:t>
            </w:r>
          </w:p>
        </w:tc>
        <w:tc>
          <w:tcPr>
            <w:tcW w:w="54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w:t>
            </w:r>
          </w:p>
        </w:tc>
        <w:tc>
          <w:tcPr>
            <w:tcW w:w="6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w:t>
            </w:r>
          </w:p>
        </w:tc>
        <w:tc>
          <w:tcPr>
            <w:tcW w:w="68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w:t>
            </w:r>
          </w:p>
        </w:tc>
        <w:tc>
          <w:tcPr>
            <w:tcW w:w="7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(22)</w:t>
            </w:r>
          </w:p>
        </w:tc>
        <w:tc>
          <w:tcPr>
            <w:tcW w:w="6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55</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-231140</wp:posOffset>
            </wp:positionV>
            <wp:extent cx="685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-231140</wp:posOffset>
            </wp:positionV>
            <wp:extent cx="6858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-231140</wp:posOffset>
            </wp:positionV>
            <wp:extent cx="6858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-231140</wp:posOffset>
            </wp:positionV>
            <wp:extent cx="6032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6360795</wp:posOffset>
            </wp:positionH>
            <wp:positionV relativeFrom="paragraph">
              <wp:posOffset>-231140</wp:posOffset>
            </wp:positionV>
            <wp:extent cx="6032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5" w:lineRule="exact"/>
        <w:rPr>
          <w:sz w:val="20"/>
          <w:szCs w:val="20"/>
          <w:color w:val="auto"/>
        </w:rPr>
      </w:pPr>
    </w:p>
    <w:p>
      <w:pPr>
        <w:ind w:left="328" w:right="20" w:hanging="328"/>
        <w:spacing w:after="0" w:line="248" w:lineRule="auto"/>
        <w:tabs>
          <w:tab w:leader="none" w:pos="328" w:val="left"/>
        </w:tabs>
        <w:numPr>
          <w:ilvl w:val="0"/>
          <w:numId w:val="26"/>
        </w:numPr>
        <w:rPr>
          <w:rFonts w:ascii="Arial" w:cs="Arial" w:eastAsia="Arial" w:hAnsi="Arial"/>
          <w:sz w:val="8"/>
          <w:szCs w:val="8"/>
          <w:color w:val="auto"/>
        </w:rPr>
      </w:pPr>
      <w:r>
        <w:rPr>
          <w:rFonts w:ascii="Arial" w:cs="Arial" w:eastAsia="Arial" w:hAnsi="Arial"/>
          <w:sz w:val="14"/>
          <w:szCs w:val="14"/>
          <w:color w:val="auto"/>
        </w:rPr>
        <w:t>Derivative accounting requires net settlement income/expense on derivatives that do not qualify as hedges to be recorded in a separate income statement line item below net interest income. Under our Core Earnings presentation, these settlements are reclassified to the income statement line item of the economically hedged item. For our Core Earnings net interest income, this would primarily include reclassifying the net settlement</w:t>
      </w:r>
    </w:p>
    <w:p>
      <w:pPr>
        <w:ind w:left="328" w:right="440"/>
        <w:spacing w:after="0" w:line="264" w:lineRule="auto"/>
        <w:rPr>
          <w:rFonts w:ascii="Arial" w:cs="Arial" w:eastAsia="Arial" w:hAnsi="Arial"/>
          <w:sz w:val="8"/>
          <w:szCs w:val="8"/>
          <w:color w:val="auto"/>
        </w:rPr>
      </w:pPr>
      <w:r>
        <w:rPr>
          <w:rFonts w:ascii="Arial" w:cs="Arial" w:eastAsia="Arial" w:hAnsi="Arial"/>
          <w:sz w:val="14"/>
          <w:szCs w:val="14"/>
          <w:color w:val="auto"/>
        </w:rPr>
        <w:t>amounts related to certain of our interest rate swaps to debt interest expense. The table below summarizes these net settlements on derivative and hedging activities and the associated reclassification on a Core Earnings basis.</w:t>
      </w:r>
    </w:p>
    <w:p>
      <w:pPr>
        <w:spacing w:after="0" w:line="126" w:lineRule="exact"/>
        <w:rPr>
          <w:sz w:val="20"/>
          <w:szCs w:val="20"/>
          <w:color w:val="auto"/>
        </w:rPr>
      </w:pPr>
    </w:p>
    <w:tbl>
      <w:tblPr>
        <w:tblLayout w:type="fixed"/>
        <w:tblInd w:w="508"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1800" w:type="dxa"/>
            <w:vAlign w:val="bottom"/>
            <w:gridSpan w:val="4"/>
            <w:shd w:val="clear" w:color="auto" w:fill="D9D9D9"/>
          </w:tcPr>
          <w:p>
            <w:pPr>
              <w:ind w:left="260"/>
              <w:spacing w:after="0"/>
              <w:rPr>
                <w:sz w:val="20"/>
                <w:szCs w:val="20"/>
                <w:color w:val="auto"/>
              </w:rPr>
            </w:pPr>
            <w:r>
              <w:rPr>
                <w:rFonts w:ascii="Arial" w:cs="Arial" w:eastAsia="Arial" w:hAnsi="Arial"/>
                <w:sz w:val="13"/>
                <w:szCs w:val="13"/>
                <w:b w:val="1"/>
                <w:bCs w:val="1"/>
                <w:color w:val="auto"/>
              </w:rPr>
              <w:t>QUARTERS ENDED</w:t>
            </w:r>
          </w:p>
        </w:tc>
        <w:tc>
          <w:tcPr>
            <w:tcW w:w="220" w:type="dxa"/>
            <w:vAlign w:val="bottom"/>
            <w:shd w:val="clear" w:color="auto" w:fill="D9D9D9"/>
          </w:tcPr>
          <w:p>
            <w:pPr>
              <w:spacing w:after="0"/>
              <w:rPr>
                <w:sz w:val="13"/>
                <w:szCs w:val="13"/>
                <w:color w:val="auto"/>
              </w:rPr>
            </w:pPr>
          </w:p>
        </w:tc>
        <w:tc>
          <w:tcPr>
            <w:tcW w:w="86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2240" w:type="dxa"/>
            <w:vAlign w:val="bottom"/>
            <w:gridSpan w:val="5"/>
            <w:shd w:val="clear" w:color="auto" w:fill="D9D9D9"/>
          </w:tcPr>
          <w:p>
            <w:pPr>
              <w:ind w:left="2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June 30, 2026</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30, 2025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480" w:type="dxa"/>
            <w:vAlign w:val="bottom"/>
            <w:gridSpan w:val="2"/>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Reclassification of settlements</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gridSpan w:val="2"/>
            <w:shd w:val="clear" w:color="auto" w:fill="CFF0FC"/>
          </w:tcPr>
          <w:p>
            <w:pPr>
              <w:ind w:left="120"/>
              <w:spacing w:after="0"/>
              <w:rPr>
                <w:sz w:val="20"/>
                <w:szCs w:val="20"/>
                <w:color w:val="auto"/>
              </w:rPr>
            </w:pPr>
            <w:r>
              <w:rPr>
                <w:rFonts w:ascii="Arial" w:cs="Arial" w:eastAsia="Arial" w:hAnsi="Arial"/>
                <w:sz w:val="14"/>
                <w:szCs w:val="14"/>
                <w:b w:val="1"/>
                <w:bCs w:val="1"/>
                <w:color w:val="auto"/>
              </w:rPr>
              <w:t>on derivative and hedging</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gridSpan w:val="2"/>
            <w:shd w:val="clear" w:color="auto" w:fill="CFF0FC"/>
          </w:tcPr>
          <w:p>
            <w:pPr>
              <w:ind w:left="120"/>
              <w:spacing w:after="0"/>
              <w:rPr>
                <w:sz w:val="20"/>
                <w:szCs w:val="20"/>
                <w:color w:val="auto"/>
              </w:rPr>
            </w:pPr>
            <w:r>
              <w:rPr>
                <w:rFonts w:ascii="Arial" w:cs="Arial" w:eastAsia="Arial" w:hAnsi="Arial"/>
                <w:sz w:val="14"/>
                <w:szCs w:val="14"/>
                <w:b w:val="1"/>
                <w:bCs w:val="1"/>
                <w:color w:val="auto"/>
              </w:rPr>
              <w:t>activities:</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80" w:type="dxa"/>
            <w:vAlign w:val="bottom"/>
            <w:gridSpan w:val="2"/>
          </w:tcPr>
          <w:p>
            <w:pPr>
              <w:spacing w:after="0" w:line="153" w:lineRule="exact"/>
              <w:rPr>
                <w:sz w:val="20"/>
                <w:szCs w:val="20"/>
                <w:color w:val="auto"/>
              </w:rPr>
            </w:pPr>
            <w:r>
              <w:rPr>
                <w:rFonts w:ascii="Arial" w:cs="Arial" w:eastAsia="Arial" w:hAnsi="Arial"/>
                <w:sz w:val="14"/>
                <w:szCs w:val="14"/>
                <w:color w:val="auto"/>
              </w:rPr>
              <w:t>Net settlement income (expense)</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gridSpan w:val="2"/>
          </w:tcPr>
          <w:p>
            <w:pPr>
              <w:ind w:left="120"/>
              <w:spacing w:after="0"/>
              <w:rPr>
                <w:sz w:val="20"/>
                <w:szCs w:val="20"/>
                <w:color w:val="auto"/>
              </w:rPr>
            </w:pPr>
            <w:r>
              <w:rPr>
                <w:rFonts w:ascii="Arial" w:cs="Arial" w:eastAsia="Arial" w:hAnsi="Arial"/>
                <w:sz w:val="14"/>
                <w:szCs w:val="14"/>
                <w:color w:val="auto"/>
              </w:rPr>
              <w:t>on interest rate swaps</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gridSpan w:val="2"/>
          </w:tcPr>
          <w:p>
            <w:pPr>
              <w:ind w:left="120"/>
              <w:spacing w:after="0"/>
              <w:rPr>
                <w:sz w:val="20"/>
                <w:szCs w:val="20"/>
                <w:color w:val="auto"/>
              </w:rPr>
            </w:pPr>
            <w:r>
              <w:rPr>
                <w:rFonts w:ascii="Arial" w:cs="Arial" w:eastAsia="Arial" w:hAnsi="Arial"/>
                <w:sz w:val="14"/>
                <w:szCs w:val="14"/>
                <w:color w:val="auto"/>
              </w:rPr>
              <w:t>reclassified to net interest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ind w:left="700"/>
              <w:spacing w:after="0"/>
              <w:rPr>
                <w:sz w:val="20"/>
                <w:szCs w:val="20"/>
                <w:color w:val="auto"/>
              </w:rPr>
            </w:pPr>
            <w:r>
              <w:rPr>
                <w:rFonts w:ascii="Arial" w:cs="Arial" w:eastAsia="Arial" w:hAnsi="Arial"/>
                <w:sz w:val="14"/>
                <w:szCs w:val="14"/>
                <w:color w:val="auto"/>
                <w:w w:val="85"/>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80" w:type="dxa"/>
            <w:vAlign w:val="bottom"/>
            <w:tcBorders>
              <w:top w:val="single" w:sz="8" w:color="CFF0FC"/>
            </w:tcBorders>
            <w:gridSpan w:val="2"/>
            <w:shd w:val="clear" w:color="auto" w:fill="CFF0FC"/>
          </w:tcPr>
          <w:p>
            <w:pPr>
              <w:spacing w:after="0" w:line="133" w:lineRule="exact"/>
              <w:rPr>
                <w:sz w:val="20"/>
                <w:szCs w:val="20"/>
                <w:color w:val="auto"/>
              </w:rPr>
            </w:pPr>
            <w:r>
              <w:rPr>
                <w:rFonts w:ascii="Arial" w:cs="Arial" w:eastAsia="Arial" w:hAnsi="Arial"/>
                <w:sz w:val="14"/>
                <w:szCs w:val="14"/>
                <w:color w:val="auto"/>
              </w:rPr>
              <w:t>Total reclassifications of settlement</w:t>
            </w:r>
          </w:p>
        </w:tc>
        <w:tc>
          <w:tcPr>
            <w:tcW w:w="24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3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income (expense) on derivative</w:t>
            </w:r>
          </w:p>
        </w:tc>
        <w:tc>
          <w:tcPr>
            <w:tcW w:w="2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FF0FC"/>
          </w:tcPr>
          <w:p>
            <w:pPr>
              <w:ind w:left="700"/>
              <w:spacing w:after="0"/>
              <w:rPr>
                <w:sz w:val="20"/>
                <w:szCs w:val="20"/>
                <w:color w:val="auto"/>
              </w:rPr>
            </w:pPr>
            <w:r>
              <w:rPr>
                <w:rFonts w:ascii="Arial" w:cs="Arial" w:eastAsia="Arial" w:hAnsi="Arial"/>
                <w:sz w:val="14"/>
                <w:szCs w:val="14"/>
                <w:color w:val="auto"/>
                <w:w w:val="85"/>
              </w:rPr>
              <w:t>—</w:t>
            </w:r>
          </w:p>
        </w:tc>
        <w:tc>
          <w:tcPr>
            <w:tcW w:w="36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Borders>
              <w:bottom w:val="single" w:sz="8" w:color="CFF0FC"/>
            </w:tcBorders>
            <w:gridSpan w:val="2"/>
            <w:shd w:val="clear" w:color="auto" w:fill="CFF0FC"/>
          </w:tcPr>
          <w:p>
            <w:pPr>
              <w:ind w:left="120"/>
              <w:spacing w:after="0" w:line="125" w:lineRule="exact"/>
              <w:rPr>
                <w:sz w:val="20"/>
                <w:szCs w:val="20"/>
                <w:color w:val="auto"/>
              </w:rPr>
            </w:pPr>
            <w:r>
              <w:rPr>
                <w:rFonts w:ascii="Arial" w:cs="Arial" w:eastAsia="Arial" w:hAnsi="Arial"/>
                <w:sz w:val="14"/>
                <w:szCs w:val="14"/>
                <w:color w:val="auto"/>
              </w:rPr>
              <w:t>and hedging activities</w:t>
            </w:r>
          </w:p>
        </w:tc>
        <w:tc>
          <w:tcPr>
            <w:tcW w:w="24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2588895</wp:posOffset>
            </wp:positionH>
            <wp:positionV relativeFrom="paragraph">
              <wp:posOffset>-24765</wp:posOffset>
            </wp:positionV>
            <wp:extent cx="596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2588895</wp:posOffset>
            </wp:positionH>
            <wp:positionV relativeFrom="paragraph">
              <wp:posOffset>-7620</wp:posOffset>
            </wp:positionV>
            <wp:extent cx="596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2588895</wp:posOffset>
            </wp:positionH>
            <wp:positionV relativeFrom="paragraph">
              <wp:posOffset>-307975</wp:posOffset>
            </wp:positionV>
            <wp:extent cx="596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-24765</wp:posOffset>
            </wp:positionV>
            <wp:extent cx="5143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-7620</wp:posOffset>
            </wp:positionV>
            <wp:extent cx="514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3549015</wp:posOffset>
            </wp:positionH>
            <wp:positionV relativeFrom="paragraph">
              <wp:posOffset>-307975</wp:posOffset>
            </wp:positionV>
            <wp:extent cx="514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514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514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-307975</wp:posOffset>
            </wp:positionV>
            <wp:extent cx="514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5212080</wp:posOffset>
            </wp:positionH>
            <wp:positionV relativeFrom="paragraph">
              <wp:posOffset>-24765</wp:posOffset>
            </wp:positionV>
            <wp:extent cx="514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5212080</wp:posOffset>
            </wp:positionH>
            <wp:positionV relativeFrom="paragraph">
              <wp:posOffset>-7620</wp:posOffset>
            </wp:positionV>
            <wp:extent cx="514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5212080</wp:posOffset>
            </wp:positionH>
            <wp:positionV relativeFrom="paragraph">
              <wp:posOffset>-307975</wp:posOffset>
            </wp:positionV>
            <wp:extent cx="514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-24765</wp:posOffset>
            </wp:positionV>
            <wp:extent cx="5143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-7620</wp:posOffset>
            </wp:positionV>
            <wp:extent cx="514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6043930</wp:posOffset>
            </wp:positionH>
            <wp:positionV relativeFrom="paragraph">
              <wp:posOffset>-307975</wp:posOffset>
            </wp:positionV>
            <wp:extent cx="5143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9" w:lineRule="exact"/>
        <w:rPr>
          <w:sz w:val="20"/>
          <w:szCs w:val="20"/>
          <w:color w:val="auto"/>
        </w:rPr>
      </w:pPr>
    </w:p>
    <w:p>
      <w:pPr>
        <w:ind w:left="368" w:hanging="365"/>
        <w:spacing w:after="0"/>
        <w:tabs>
          <w:tab w:leader="none" w:pos="368" w:val="left"/>
        </w:tabs>
        <w:numPr>
          <w:ilvl w:val="0"/>
          <w:numId w:val="27"/>
        </w:numPr>
        <w:rPr>
          <w:rFonts w:ascii="Arial" w:cs="Arial" w:eastAsia="Arial" w:hAnsi="Arial"/>
          <w:sz w:val="8"/>
          <w:szCs w:val="8"/>
          <w:color w:val="auto"/>
        </w:rPr>
      </w:pPr>
      <w:r>
        <w:rPr>
          <w:rFonts w:ascii="Arial" w:cs="Arial" w:eastAsia="Arial" w:hAnsi="Arial"/>
          <w:sz w:val="14"/>
          <w:szCs w:val="14"/>
          <w:color w:val="auto"/>
        </w:rPr>
        <w:t>“Mark-to-market (gains) on derivative and hedging activities, net” is comprised of the following:</w:t>
      </w:r>
    </w:p>
    <w:p>
      <w:pPr>
        <w:sectPr>
          <w:pgSz w:w="11900" w:h="16838" w:orient="portrait"/>
          <w:cols w:equalWidth="0" w:num="1">
            <w:col w:w="10108"/>
          </w:cols>
          <w:pgMar w:left="692" w:top="1097" w:right="109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508"/>
        <w:spacing w:after="0"/>
        <w:rPr>
          <w:sz w:val="20"/>
          <w:szCs w:val="20"/>
          <w:color w:val="auto"/>
        </w:rPr>
      </w:pPr>
      <w:r>
        <w:rPr>
          <w:rFonts w:ascii="Arial" w:cs="Arial" w:eastAsia="Arial" w:hAnsi="Arial"/>
          <w:sz w:val="13"/>
          <w:szCs w:val="13"/>
          <w:b w:val="1"/>
          <w:bCs w:val="1"/>
          <w:u w:val="single" w:color="auto"/>
          <w:color w:val="auto"/>
        </w:rPr>
        <w:t>(Dollars in millions)</w:t>
      </w:r>
    </w:p>
    <w:p>
      <w:pPr>
        <w:spacing w:after="0" w:line="18" w:lineRule="exact"/>
        <w:rPr>
          <w:sz w:val="20"/>
          <w:szCs w:val="20"/>
          <w:color w:val="auto"/>
        </w:rPr>
      </w:pPr>
    </w:p>
    <w:p>
      <w:pPr>
        <w:ind w:left="508"/>
        <w:spacing w:after="0"/>
        <w:rPr>
          <w:sz w:val="20"/>
          <w:szCs w:val="20"/>
          <w:color w:val="auto"/>
        </w:rPr>
      </w:pPr>
      <w:r>
        <w:rPr>
          <w:rFonts w:ascii="Arial" w:cs="Arial" w:eastAsia="Arial" w:hAnsi="Arial"/>
          <w:sz w:val="14"/>
          <w:szCs w:val="14"/>
          <w:color w:val="auto"/>
        </w:rPr>
        <w:t>Fair value hedges</w:t>
      </w:r>
    </w:p>
    <w:p>
      <w:pPr>
        <w:spacing w:after="0" w:line="1" w:lineRule="exact"/>
        <w:rPr>
          <w:sz w:val="20"/>
          <w:szCs w:val="20"/>
          <w:color w:val="auto"/>
        </w:rPr>
      </w:pPr>
    </w:p>
    <w:p>
      <w:pPr>
        <w:ind w:left="508" w:right="220"/>
        <w:spacing w:after="0" w:line="221" w:lineRule="auto"/>
        <w:rPr>
          <w:sz w:val="20"/>
          <w:szCs w:val="20"/>
          <w:color w:val="auto"/>
        </w:rPr>
      </w:pPr>
      <w:r>
        <w:rPr>
          <w:rFonts w:ascii="Arial" w:cs="Arial" w:eastAsia="Arial" w:hAnsi="Arial"/>
          <w:sz w:val="14"/>
          <w:szCs w:val="14"/>
          <w:color w:val="auto"/>
        </w:rPr>
        <w:t xml:space="preserve">Foreign currency hedges Other </w:t>
      </w:r>
      <w:r>
        <w:rPr>
          <w:rFonts w:ascii="Arial" w:cs="Arial" w:eastAsia="Arial" w:hAnsi="Arial"/>
          <w:sz w:val="19"/>
          <w:szCs w:val="19"/>
          <w:color w:val="auto"/>
          <w:vertAlign w:val="superscript"/>
        </w:rPr>
        <w:t>(a)</w:t>
      </w:r>
    </w:p>
    <w:p>
      <w:pPr>
        <w:spacing w:after="0" w:line="2" w:lineRule="exact"/>
        <w:rPr>
          <w:sz w:val="20"/>
          <w:szCs w:val="20"/>
          <w:color w:val="auto"/>
        </w:rPr>
      </w:pPr>
    </w:p>
    <w:p>
      <w:pPr>
        <w:ind w:left="628" w:hanging="119"/>
        <w:spacing w:after="0" w:line="252" w:lineRule="auto"/>
        <w:rPr>
          <w:sz w:val="20"/>
          <w:szCs w:val="20"/>
          <w:color w:val="auto"/>
        </w:rPr>
      </w:pPr>
      <w:r>
        <w:rPr>
          <w:rFonts w:ascii="Arial" w:cs="Arial" w:eastAsia="Arial" w:hAnsi="Arial"/>
          <w:sz w:val="14"/>
          <w:szCs w:val="14"/>
          <w:color w:val="auto"/>
        </w:rPr>
        <w:t>Total mark-to-market (gains) losses on derivative and hedging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69215</wp:posOffset>
            </wp:positionV>
            <wp:extent cx="6940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1520" w:type="dxa"/>
            <w:vAlign w:val="bottom"/>
            <w:gridSpan w:val="4"/>
            <w:shd w:val="clear" w:color="auto" w:fill="D9D9D9"/>
          </w:tcPr>
          <w:p>
            <w:pPr>
              <w:jc w:val="right"/>
              <w:ind w:right="160"/>
              <w:spacing w:after="0"/>
              <w:rPr>
                <w:sz w:val="20"/>
                <w:szCs w:val="20"/>
                <w:color w:val="auto"/>
              </w:rPr>
            </w:pPr>
            <w:r>
              <w:rPr>
                <w:rFonts w:ascii="Arial" w:cs="Arial" w:eastAsia="Arial" w:hAnsi="Arial"/>
                <w:sz w:val="13"/>
                <w:szCs w:val="13"/>
                <w:b w:val="1"/>
                <w:bCs w:val="1"/>
                <w:color w:val="auto"/>
              </w:rPr>
              <w:t>QUARTERS ENDED</w:t>
            </w:r>
          </w:p>
        </w:tc>
        <w:tc>
          <w:tcPr>
            <w:tcW w:w="240" w:type="dxa"/>
            <w:vAlign w:val="bottom"/>
            <w:shd w:val="clear" w:color="auto" w:fill="D9D9D9"/>
          </w:tcPr>
          <w:p>
            <w:pPr>
              <w:spacing w:after="0"/>
              <w:rPr>
                <w:sz w:val="12"/>
                <w:szCs w:val="12"/>
                <w:color w:val="auto"/>
              </w:rPr>
            </w:pPr>
          </w:p>
        </w:tc>
        <w:tc>
          <w:tcPr>
            <w:tcW w:w="8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2220" w:type="dxa"/>
            <w:vAlign w:val="bottom"/>
            <w:gridSpan w:val="3"/>
            <w:shd w:val="clear" w:color="auto" w:fill="D9D9D9"/>
          </w:tcPr>
          <w:p>
            <w:pPr>
              <w:jc w:val="right"/>
              <w:ind w:right="208"/>
              <w:spacing w:after="0"/>
              <w:rPr>
                <w:sz w:val="20"/>
                <w:szCs w:val="20"/>
                <w:color w:val="auto"/>
              </w:rPr>
            </w:pPr>
            <w:r>
              <w:rPr>
                <w:rFonts w:ascii="Arial" w:cs="Arial" w:eastAsia="Arial" w:hAnsi="Arial"/>
                <w:sz w:val="13"/>
                <w:szCs w:val="13"/>
                <w:b w:val="1"/>
                <w:bCs w:val="1"/>
                <w:color w:val="auto"/>
              </w:rPr>
              <w:t>NINE MONTHS ENDED</w:t>
            </w:r>
          </w:p>
        </w:tc>
        <w:tc>
          <w:tcPr>
            <w:tcW w:w="30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r>
      <w:tr>
        <w:trPr>
          <w:trHeight w:val="153"/>
        </w:trPr>
        <w:tc>
          <w:tcPr>
            <w:tcW w:w="116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jc w:val="right"/>
              <w:ind w:right="16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 2026</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20" w:type="dxa"/>
            <w:vAlign w:val="bottom"/>
          </w:tcPr>
          <w:p>
            <w:pPr>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10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(1)</w:t>
            </w:r>
          </w:p>
        </w:tc>
        <w:tc>
          <w:tcPr>
            <w:tcW w:w="240" w:type="dxa"/>
            <w:vAlign w:val="bottom"/>
          </w:tcPr>
          <w:p>
            <w:pPr>
              <w:jc w:val="right"/>
              <w:ind w:right="88"/>
              <w:spacing w:after="0" w:line="147"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7"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840" w:type="dxa"/>
            <w:vAlign w:val="bottom"/>
          </w:tcPr>
          <w:p>
            <w:pPr>
              <w:jc w:val="right"/>
              <w:ind w:right="688"/>
              <w:spacing w:after="0" w:line="147"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7"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r>
      <w:tr>
        <w:trPr>
          <w:trHeight w:val="176"/>
        </w:trPr>
        <w:tc>
          <w:tcPr>
            <w:tcW w:w="22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840" w:type="dxa"/>
            <w:vAlign w:val="bottom"/>
          </w:tcPr>
          <w:p>
            <w:pPr>
              <w:spacing w:after="0"/>
              <w:rPr>
                <w:sz w:val="15"/>
                <w:szCs w:val="15"/>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r>
      <w:tr>
        <w:trPr>
          <w:trHeight w:val="171"/>
        </w:trPr>
        <w:tc>
          <w:tcPr>
            <w:tcW w:w="2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(8)</w:t>
            </w:r>
          </w:p>
        </w:tc>
        <w:tc>
          <w:tcPr>
            <w:tcW w:w="8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4"/>
                <w:szCs w:val="14"/>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(29)</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-633730</wp:posOffset>
            </wp:positionV>
            <wp:extent cx="5768975" cy="10287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768975" cy="102870"/>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-427990</wp:posOffset>
            </wp:positionV>
            <wp:extent cx="5768975" cy="1200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768975" cy="12001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2328" w:space="520"/>
            <w:col w:w="7260"/>
          </w:cols>
          <w:pgMar w:left="692" w:top="1097" w:right="1099" w:bottom="1440" w:gutter="0" w:footer="0" w:header="0"/>
          <w:type w:val="continuous"/>
        </w:sectPr>
      </w:pPr>
    </w:p>
    <w:p>
      <w:pPr>
        <w:ind w:left="588" w:right="80" w:hanging="131"/>
        <w:spacing w:after="0" w:line="271" w:lineRule="auto"/>
        <w:tabs>
          <w:tab w:leader="none" w:pos="593" w:val="left"/>
        </w:tabs>
        <w:numPr>
          <w:ilvl w:val="1"/>
          <w:numId w:val="28"/>
        </w:numPr>
        <w:rPr>
          <w:rFonts w:ascii="Arial" w:cs="Arial" w:eastAsia="Arial" w:hAnsi="Arial"/>
          <w:sz w:val="9"/>
          <w:szCs w:val="9"/>
          <w:color w:val="auto"/>
        </w:rPr>
      </w:pPr>
      <w:r>
        <w:rPr>
          <w:rFonts w:ascii="Arial" w:cs="Arial" w:eastAsia="Arial" w:hAnsi="Arial"/>
          <w:sz w:val="14"/>
          <w:szCs w:val="14"/>
          <w:color w:val="auto"/>
        </w:rPr>
        <w:t>Primarily derivatives that are used to economically hedge the origination of fixed rate Private Education Loans that don’t qualify for hedge accounting. We believe that these derivatives are effective economic hedges,and as such, are a critical element of our interest rate risk management strategy.</w:t>
      </w:r>
    </w:p>
    <w:p>
      <w:pPr>
        <w:spacing w:after="0" w:line="230" w:lineRule="exact"/>
        <w:rPr>
          <w:rFonts w:ascii="Arial" w:cs="Arial" w:eastAsia="Arial" w:hAnsi="Arial"/>
          <w:sz w:val="9"/>
          <w:szCs w:val="9"/>
          <w:color w:val="auto"/>
        </w:rPr>
      </w:pPr>
    </w:p>
    <w:p>
      <w:pPr>
        <w:ind w:left="228" w:right="80" w:hanging="225"/>
        <w:spacing w:after="0" w:line="263" w:lineRule="auto"/>
        <w:tabs>
          <w:tab w:leader="none" w:pos="367" w:val="left"/>
        </w:tabs>
        <w:numPr>
          <w:ilvl w:val="0"/>
          <w:numId w:val="29"/>
        </w:numPr>
        <w:rPr>
          <w:rFonts w:ascii="Arial" w:cs="Arial" w:eastAsia="Arial" w:hAnsi="Arial"/>
          <w:sz w:val="8"/>
          <w:szCs w:val="8"/>
          <w:color w:val="auto"/>
        </w:rPr>
      </w:pPr>
      <w:r>
        <w:rPr>
          <w:rFonts w:ascii="Arial" w:cs="Arial" w:eastAsia="Arial" w:hAnsi="Arial"/>
          <w:sz w:val="14"/>
          <w:szCs w:val="14"/>
          <w:color w:val="auto"/>
        </w:rPr>
        <w:t>Other derivative accounting adjustments consist of adjustments related to certain terminated derivatives that did not receive hedge accounting treatment under GAAP but were economic hedges under Core Earnings and, as a result, such gains or losses are amortized into Core Earnings over the life of the hedged item:</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479425</wp:posOffset>
            </wp:positionV>
            <wp:extent cx="703770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8"/>
          </w:cols>
          <w:pgMar w:left="692" w:top="1097" w:right="1099" w:bottom="1440" w:gutter="0" w:footer="0" w:header="0"/>
          <w:type w:val="continuous"/>
        </w:sectPr>
      </w:pPr>
    </w:p>
    <w:bookmarkStart w:id="29" w:name="page30"/>
    <w:bookmarkEnd w:id="29"/>
    <w:p>
      <w:pPr>
        <w:ind w:left="8"/>
        <w:spacing w:after="0"/>
        <w:rPr>
          <w:sz w:val="20"/>
          <w:szCs w:val="20"/>
          <w:color w:val="auto"/>
        </w:rPr>
      </w:pPr>
      <w:r>
        <w:rPr>
          <w:rFonts w:ascii="Arial" w:cs="Arial" w:eastAsia="Arial" w:hAnsi="Arial"/>
          <w:sz w:val="16"/>
          <w:szCs w:val="16"/>
          <w:i w:val="1"/>
          <w:iCs w:val="1"/>
          <w:color w:val="auto"/>
        </w:rPr>
        <w:t>Cumulative Impact of Derivative Accounting under GAAP compared to Core Earnings</w:t>
      </w:r>
    </w:p>
    <w:p>
      <w:pPr>
        <w:spacing w:after="0" w:line="111" w:lineRule="exact"/>
        <w:rPr>
          <w:sz w:val="20"/>
          <w:szCs w:val="20"/>
          <w:color w:val="auto"/>
        </w:rPr>
      </w:pPr>
    </w:p>
    <w:p>
      <w:pPr>
        <w:ind w:left="8" w:right="160"/>
        <w:spacing w:after="0" w:line="266" w:lineRule="auto"/>
        <w:rPr>
          <w:sz w:val="20"/>
          <w:szCs w:val="20"/>
          <w:color w:val="auto"/>
        </w:rPr>
      </w:pPr>
      <w:r>
        <w:rPr>
          <w:rFonts w:ascii="Arial" w:cs="Arial" w:eastAsia="Arial" w:hAnsi="Arial"/>
          <w:sz w:val="16"/>
          <w:szCs w:val="16"/>
          <w:color w:val="auto"/>
        </w:rPr>
        <w:t>As of September 30, 2026, derivative accounting has increased GAAP equity by approximately $35 million as a result of cumulative net mark-to-market losses (after tax) recognized under GAAP, but not in Core Earnings. The following table rolls forward the cumulative impact to GAAP equity due to these after-tax mark-to-market net gains and losses related to derivative accounting.</w:t>
      </w:r>
    </w:p>
    <w:p>
      <w:pPr>
        <w:sectPr>
          <w:pgSz w:w="11900" w:h="16838" w:orient="portrait"/>
          <w:cols w:equalWidth="0" w:num="1">
            <w:col w:w="10108"/>
          </w:cols>
          <w:pgMar w:left="692" w:top="131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8890</wp:posOffset>
            </wp:positionV>
            <wp:extent cx="1663065" cy="2057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663065" cy="205740"/>
                    </a:xfrm>
                    <a:prstGeom prst="rect">
                      <a:avLst/>
                    </a:prstGeom>
                    <a:noFill/>
                  </pic:spPr>
                </pic:pic>
              </a:graphicData>
            </a:graphic>
          </wp:anchor>
        </w:drawing>
      </w:r>
    </w:p>
    <w:p>
      <w:pPr>
        <w:jc w:val="right"/>
        <w:ind w:left="8" w:right="180"/>
        <w:spacing w:after="0" w:line="241" w:lineRule="auto"/>
        <w:rPr>
          <w:sz w:val="20"/>
          <w:szCs w:val="20"/>
          <w:color w:val="auto"/>
        </w:rPr>
      </w:pPr>
      <w:r>
        <w:rPr>
          <w:rFonts w:ascii="Arial" w:cs="Arial" w:eastAsia="Arial" w:hAnsi="Arial"/>
          <w:sz w:val="14"/>
          <w:szCs w:val="14"/>
          <w:color w:val="auto"/>
        </w:rPr>
        <w:t>Beginning impact of derivative accounting on GAAP equity</w:t>
      </w:r>
    </w:p>
    <w:p>
      <w:pPr>
        <w:spacing w:after="0" w:line="1" w:lineRule="exact"/>
        <w:rPr>
          <w:sz w:val="20"/>
          <w:szCs w:val="20"/>
          <w:color w:val="auto"/>
        </w:rPr>
      </w:pPr>
    </w:p>
    <w:p>
      <w:pPr>
        <w:jc w:val="both"/>
        <w:ind w:left="128" w:hanging="119"/>
        <w:spacing w:after="0" w:line="227" w:lineRule="auto"/>
        <w:rPr>
          <w:sz w:val="20"/>
          <w:szCs w:val="20"/>
          <w:color w:val="auto"/>
        </w:rPr>
      </w:pPr>
      <w:r>
        <w:rPr>
          <w:rFonts w:ascii="Arial" w:cs="Arial" w:eastAsia="Arial" w:hAnsi="Arial"/>
          <w:sz w:val="14"/>
          <w:szCs w:val="14"/>
          <w:color w:val="auto"/>
        </w:rPr>
        <w:t>Net impact of net mark-to-market gains (losses) under derivative accounting</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wp:posOffset>
            </wp:positionV>
            <wp:extent cx="1663065" cy="2057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663065" cy="205740"/>
                    </a:xfrm>
                    <a:prstGeom prst="rect">
                      <a:avLst/>
                    </a:prstGeom>
                    <a:noFill/>
                  </pic:spPr>
                </pic:pic>
              </a:graphicData>
            </a:graphic>
          </wp:anchor>
        </w:drawing>
      </w:r>
    </w:p>
    <w:p>
      <w:pPr>
        <w:ind w:left="128" w:right="220" w:hanging="119"/>
        <w:spacing w:after="0" w:line="264" w:lineRule="auto"/>
        <w:rPr>
          <w:sz w:val="20"/>
          <w:szCs w:val="20"/>
          <w:color w:val="auto"/>
        </w:rPr>
      </w:pPr>
      <w:r>
        <w:rPr>
          <w:rFonts w:ascii="Arial" w:cs="Arial" w:eastAsia="Arial" w:hAnsi="Arial"/>
          <w:sz w:val="14"/>
          <w:szCs w:val="14"/>
          <w:color w:val="auto"/>
        </w:rPr>
        <w:t>Ending impact of derivative accounting on GAAP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9855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1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560" w:type="dxa"/>
            <w:vAlign w:val="bottom"/>
            <w:gridSpan w:val="4"/>
            <w:shd w:val="clear" w:color="auto" w:fill="D9D9D9"/>
          </w:tcPr>
          <w:p>
            <w:pPr>
              <w:jc w:val="right"/>
              <w:ind w:right="180"/>
              <w:spacing w:after="0"/>
              <w:rPr>
                <w:sz w:val="20"/>
                <w:szCs w:val="20"/>
                <w:color w:val="auto"/>
              </w:rPr>
            </w:pPr>
            <w:r>
              <w:rPr>
                <w:rFonts w:ascii="Arial" w:cs="Arial" w:eastAsia="Arial" w:hAnsi="Arial"/>
                <w:sz w:val="13"/>
                <w:szCs w:val="13"/>
                <w:b w:val="1"/>
                <w:bCs w:val="1"/>
                <w:color w:val="auto"/>
              </w:rPr>
              <w:t>QUARTERS ENDED</w:t>
            </w:r>
          </w:p>
        </w:tc>
        <w:tc>
          <w:tcPr>
            <w:tcW w:w="14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1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shd w:val="clear" w:color="auto" w:fill="D9D9D9"/>
          </w:tcPr>
          <w:p>
            <w:pPr>
              <w:spacing w:after="0"/>
              <w:rPr>
                <w:sz w:val="13"/>
                <w:szCs w:val="13"/>
                <w:color w:val="auto"/>
              </w:rPr>
            </w:pPr>
          </w:p>
        </w:tc>
        <w:tc>
          <w:tcPr>
            <w:tcW w:w="2100" w:type="dxa"/>
            <w:vAlign w:val="bottom"/>
            <w:gridSpan w:val="4"/>
            <w:shd w:val="clear" w:color="auto" w:fill="D9D9D9"/>
          </w:tcPr>
          <w:p>
            <w:pPr>
              <w:jc w:val="right"/>
              <w:ind w:right="228"/>
              <w:spacing w:after="0"/>
              <w:rPr>
                <w:sz w:val="20"/>
                <w:szCs w:val="20"/>
                <w:color w:val="auto"/>
              </w:rPr>
            </w:pPr>
            <w:r>
              <w:rPr>
                <w:rFonts w:ascii="Arial" w:cs="Arial" w:eastAsia="Arial" w:hAnsi="Arial"/>
                <w:sz w:val="13"/>
                <w:szCs w:val="13"/>
                <w:b w:val="1"/>
                <w:bCs w:val="1"/>
                <w:color w:val="auto"/>
              </w:rPr>
              <w:t>NINE MONTHS ENDED</w:t>
            </w:r>
          </w:p>
        </w:tc>
        <w:tc>
          <w:tcPr>
            <w:tcW w:w="32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53"/>
        </w:trPr>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360" w:type="dxa"/>
            <w:vAlign w:val="bottom"/>
            <w:gridSpan w:val="3"/>
          </w:tcPr>
          <w:p>
            <w:pPr>
              <w:jc w:val="right"/>
              <w:ind w:right="30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80" w:type="dxa"/>
            <w:vAlign w:val="bottom"/>
            <w:gridSpan w:val="3"/>
          </w:tcPr>
          <w:p>
            <w:pPr>
              <w:jc w:val="right"/>
              <w:ind w:right="22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June 30, 2026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(39)</w:t>
            </w:r>
          </w:p>
        </w:tc>
        <w:tc>
          <w:tcPr>
            <w:tcW w:w="98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24"/>
                <w:szCs w:val="24"/>
                <w:color w:val="auto"/>
              </w:rPr>
            </w:pPr>
          </w:p>
        </w:tc>
      </w:tr>
      <w:tr>
        <w:trPr>
          <w:trHeight w:val="499"/>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r>
      <w:tr>
        <w:trPr>
          <w:trHeight w:val="20"/>
        </w:trPr>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7"/>
        </w:trPr>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w:t>
            </w:r>
          </w:p>
        </w:tc>
        <w:tc>
          <w:tcPr>
            <w:tcW w:w="4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(37)</w:t>
            </w:r>
          </w:p>
        </w:tc>
      </w:tr>
      <w:tr>
        <w:trPr>
          <w:trHeight w:val="20"/>
        </w:trPr>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-25400</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-7620</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-25400</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-7620</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-25400</wp:posOffset>
            </wp:positionV>
            <wp:extent cx="6032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-7620</wp:posOffset>
            </wp:positionV>
            <wp:extent cx="6032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-25400</wp:posOffset>
            </wp:positionV>
            <wp:extent cx="6032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-7620</wp:posOffset>
            </wp:positionV>
            <wp:extent cx="6032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-25400</wp:posOffset>
            </wp:positionV>
            <wp:extent cx="6032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-7620</wp:posOffset>
            </wp:positionV>
            <wp:extent cx="6032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2108" w:space="520"/>
            <w:col w:w="7480"/>
          </w:cols>
          <w:pgMar w:left="692" w:top="1315" w:right="1099" w:bottom="1440" w:gutter="0" w:footer="0" w:header="0"/>
          <w:type w:val="continuous"/>
        </w:sectPr>
      </w:pPr>
    </w:p>
    <w:p>
      <w:pPr>
        <w:ind w:left="328" w:hanging="328"/>
        <w:spacing w:after="0"/>
        <w:tabs>
          <w:tab w:leader="none" w:pos="328" w:val="left"/>
        </w:tabs>
        <w:numPr>
          <w:ilvl w:val="0"/>
          <w:numId w:val="30"/>
        </w:numPr>
        <w:rPr>
          <w:rFonts w:ascii="Arial" w:cs="Arial" w:eastAsia="Arial" w:hAnsi="Arial"/>
          <w:sz w:val="8"/>
          <w:szCs w:val="8"/>
          <w:color w:val="auto"/>
        </w:rPr>
      </w:pPr>
      <w:r>
        <w:rPr>
          <w:rFonts w:ascii="Arial" w:cs="Arial" w:eastAsia="Arial" w:hAnsi="Arial"/>
          <w:sz w:val="14"/>
          <w:szCs w:val="14"/>
          <w:color w:val="auto"/>
        </w:rPr>
        <w:t>Net impact of net mark-to-market gains (losses) under derivative accounting is composed of the following:</w:t>
      </w:r>
    </w:p>
    <w:p>
      <w:pPr>
        <w:sectPr>
          <w:pgSz w:w="11900" w:h="16838" w:orient="portrait"/>
          <w:cols w:equalWidth="0" w:num="1">
            <w:col w:w="10108"/>
          </w:cols>
          <w:pgMar w:left="692" w:top="131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8"/>
        <w:spacing w:after="0"/>
        <w:rPr>
          <w:sz w:val="20"/>
          <w:szCs w:val="20"/>
          <w:color w:val="auto"/>
        </w:rPr>
      </w:pPr>
      <w:r>
        <w:rPr>
          <w:rFonts w:ascii="Arial" w:cs="Arial" w:eastAsia="Arial" w:hAnsi="Arial"/>
          <w:sz w:val="13"/>
          <w:szCs w:val="13"/>
          <w:b w:val="1"/>
          <w:bCs w:val="1"/>
          <w:u w:val="single" w:color="auto"/>
          <w:color w:val="auto"/>
        </w:rPr>
        <w:t>(Dollars in millions)</w:t>
      </w:r>
    </w:p>
    <w:p>
      <w:pPr>
        <w:spacing w:after="0" w:line="18" w:lineRule="exact"/>
        <w:rPr>
          <w:sz w:val="20"/>
          <w:szCs w:val="20"/>
          <w:color w:val="auto"/>
        </w:rPr>
      </w:pPr>
    </w:p>
    <w:p>
      <w:pPr>
        <w:ind w:left="508"/>
        <w:spacing w:after="0"/>
        <w:rPr>
          <w:sz w:val="20"/>
          <w:szCs w:val="20"/>
          <w:color w:val="auto"/>
        </w:rPr>
      </w:pPr>
      <w:r>
        <w:rPr>
          <w:rFonts w:ascii="Arial" w:cs="Arial" w:eastAsia="Arial" w:hAnsi="Arial"/>
          <w:sz w:val="14"/>
          <w:szCs w:val="14"/>
          <w:color w:val="auto"/>
        </w:rPr>
        <w:t>Total pre-tax net impact of derivative</w:t>
      </w:r>
    </w:p>
    <w:p>
      <w:pPr>
        <w:spacing w:after="0" w:line="1" w:lineRule="exact"/>
        <w:rPr>
          <w:sz w:val="20"/>
          <w:szCs w:val="20"/>
          <w:color w:val="auto"/>
        </w:rPr>
      </w:pPr>
    </w:p>
    <w:p>
      <w:pPr>
        <w:ind w:left="628" w:right="400"/>
        <w:spacing w:after="0" w:line="221" w:lineRule="auto"/>
        <w:rPr>
          <w:sz w:val="20"/>
          <w:szCs w:val="20"/>
          <w:color w:val="auto"/>
        </w:rPr>
      </w:pPr>
      <w:r>
        <w:rPr>
          <w:rFonts w:ascii="Arial" w:cs="Arial" w:eastAsia="Arial" w:hAnsi="Arial"/>
          <w:sz w:val="14"/>
          <w:szCs w:val="14"/>
          <w:color w:val="auto"/>
        </w:rPr>
        <w:t>accounting recognized in net income</w:t>
      </w:r>
      <w:r>
        <w:rPr>
          <w:rFonts w:ascii="Arial" w:cs="Arial" w:eastAsia="Arial" w:hAnsi="Arial"/>
          <w:sz w:val="19"/>
          <w:szCs w:val="19"/>
          <w:color w:val="auto"/>
          <w:vertAlign w:val="superscript"/>
        </w:rPr>
        <w:t>(2)</w:t>
      </w:r>
    </w:p>
    <w:p>
      <w:pPr>
        <w:spacing w:after="0" w:line="2" w:lineRule="exact"/>
        <w:rPr>
          <w:sz w:val="20"/>
          <w:szCs w:val="20"/>
          <w:color w:val="auto"/>
        </w:rPr>
      </w:pPr>
    </w:p>
    <w:p>
      <w:pPr>
        <w:ind w:left="628" w:right="120" w:hanging="119"/>
        <w:spacing w:after="0" w:line="241" w:lineRule="auto"/>
        <w:rPr>
          <w:sz w:val="20"/>
          <w:szCs w:val="20"/>
          <w:color w:val="auto"/>
        </w:rPr>
      </w:pPr>
      <w:r>
        <w:rPr>
          <w:rFonts w:ascii="Arial" w:cs="Arial" w:eastAsia="Arial" w:hAnsi="Arial"/>
          <w:sz w:val="14"/>
          <w:szCs w:val="14"/>
          <w:color w:val="auto"/>
        </w:rPr>
        <w:t>Tax and other impacts of derivative accounting adjustments</w:t>
      </w:r>
    </w:p>
    <w:p>
      <w:pPr>
        <w:spacing w:after="0" w:line="1" w:lineRule="exact"/>
        <w:rPr>
          <w:sz w:val="20"/>
          <w:szCs w:val="20"/>
          <w:color w:val="auto"/>
        </w:rPr>
      </w:pPr>
    </w:p>
    <w:p>
      <w:pPr>
        <w:ind w:left="628" w:hanging="119"/>
        <w:spacing w:after="0" w:line="241" w:lineRule="auto"/>
        <w:rPr>
          <w:sz w:val="20"/>
          <w:szCs w:val="20"/>
          <w:color w:val="auto"/>
        </w:rPr>
      </w:pPr>
      <w:r>
        <w:rPr>
          <w:rFonts w:ascii="Arial" w:cs="Arial" w:eastAsia="Arial" w:hAnsi="Arial"/>
          <w:sz w:val="14"/>
          <w:szCs w:val="14"/>
          <w:color w:val="auto"/>
        </w:rPr>
        <w:t>Change in mark-to-market gains (losses) on derivatives, net of tax recognized in other comprehensive income</w:t>
      </w:r>
    </w:p>
    <w:p>
      <w:pPr>
        <w:spacing w:after="0" w:line="1" w:lineRule="exact"/>
        <w:rPr>
          <w:sz w:val="20"/>
          <w:szCs w:val="20"/>
          <w:color w:val="auto"/>
        </w:rPr>
      </w:pPr>
    </w:p>
    <w:p>
      <w:pPr>
        <w:jc w:val="both"/>
        <w:ind w:left="628" w:right="260" w:hanging="119"/>
        <w:spacing w:after="0" w:line="252" w:lineRule="auto"/>
        <w:rPr>
          <w:sz w:val="20"/>
          <w:szCs w:val="20"/>
          <w:color w:val="auto"/>
        </w:rPr>
      </w:pPr>
      <w:r>
        <w:rPr>
          <w:rFonts w:ascii="Arial" w:cs="Arial" w:eastAsia="Arial" w:hAnsi="Arial"/>
          <w:sz w:val="14"/>
          <w:szCs w:val="14"/>
          <w:color w:val="auto"/>
        </w:rPr>
        <w:t>Net impact of net mark-to-market gains (losses) under derivative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78105</wp:posOffset>
            </wp:positionV>
            <wp:extent cx="104584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0" w:type="dxa"/>
            <w:vAlign w:val="bottom"/>
            <w:shd w:val="clear" w:color="auto" w:fill="D9D9D9"/>
          </w:tcPr>
          <w:p>
            <w:pPr>
              <w:spacing w:after="0"/>
              <w:rPr>
                <w:sz w:val="13"/>
                <w:szCs w:val="13"/>
                <w:color w:val="auto"/>
              </w:rPr>
            </w:pPr>
          </w:p>
        </w:tc>
        <w:tc>
          <w:tcPr>
            <w:tcW w:w="84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1520" w:type="dxa"/>
            <w:vAlign w:val="bottom"/>
            <w:gridSpan w:val="4"/>
            <w:shd w:val="clear" w:color="auto" w:fill="D9D9D9"/>
          </w:tcPr>
          <w:p>
            <w:pPr>
              <w:jc w:val="right"/>
              <w:ind w:right="200"/>
              <w:spacing w:after="0"/>
              <w:rPr>
                <w:sz w:val="20"/>
                <w:szCs w:val="20"/>
                <w:color w:val="auto"/>
              </w:rPr>
            </w:pPr>
            <w:r>
              <w:rPr>
                <w:rFonts w:ascii="Arial" w:cs="Arial" w:eastAsia="Arial" w:hAnsi="Arial"/>
                <w:sz w:val="13"/>
                <w:szCs w:val="13"/>
                <w:b w:val="1"/>
                <w:bCs w:val="1"/>
                <w:color w:val="auto"/>
              </w:rPr>
              <w:t>QUARTERS ENDED</w:t>
            </w:r>
          </w:p>
        </w:tc>
        <w:tc>
          <w:tcPr>
            <w:tcW w:w="220" w:type="dxa"/>
            <w:vAlign w:val="bottom"/>
            <w:shd w:val="clear" w:color="auto" w:fill="D9D9D9"/>
          </w:tcPr>
          <w:p>
            <w:pPr>
              <w:spacing w:after="0"/>
              <w:rPr>
                <w:sz w:val="13"/>
                <w:szCs w:val="13"/>
                <w:color w:val="auto"/>
              </w:rPr>
            </w:pPr>
          </w:p>
        </w:tc>
        <w:tc>
          <w:tcPr>
            <w:tcW w:w="82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1820" w:type="dxa"/>
            <w:vAlign w:val="bottom"/>
            <w:gridSpan w:val="3"/>
            <w:shd w:val="clear" w:color="auto" w:fill="D9D9D9"/>
          </w:tcPr>
          <w:p>
            <w:pPr>
              <w:jc w:val="right"/>
              <w:ind w:right="88"/>
              <w:spacing w:after="0"/>
              <w:rPr>
                <w:sz w:val="20"/>
                <w:szCs w:val="20"/>
                <w:color w:val="auto"/>
              </w:rPr>
            </w:pPr>
            <w:r>
              <w:rPr>
                <w:rFonts w:ascii="Arial" w:cs="Arial" w:eastAsia="Arial" w:hAnsi="Arial"/>
                <w:sz w:val="13"/>
                <w:szCs w:val="13"/>
                <w:b w:val="1"/>
                <w:bCs w:val="1"/>
                <w:color w:val="auto"/>
              </w:rPr>
              <w:t>NINE MONTHS ENDED</w:t>
            </w:r>
          </w:p>
        </w:tc>
        <w:tc>
          <w:tcPr>
            <w:tcW w:w="28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r>
      <w:tr>
        <w:trPr>
          <w:trHeight w:val="153"/>
        </w:trPr>
        <w:tc>
          <w:tcPr>
            <w:tcW w:w="116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30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2026</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525"/>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66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(8)</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(55)</w:t>
            </w:r>
          </w:p>
        </w:tc>
      </w:tr>
      <w:tr>
        <w:trPr>
          <w:trHeight w:val="324"/>
        </w:trPr>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r>
      <w:tr>
        <w:trPr>
          <w:trHeight w:val="615"/>
        </w:trPr>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r>
      <w:tr>
        <w:trPr>
          <w:trHeight w:val="20"/>
        </w:trPr>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4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74</w:t>
            </w:r>
          </w:p>
        </w:tc>
        <w:tc>
          <w:tcPr>
            <w:tcW w:w="2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-1250950</wp:posOffset>
            </wp:positionV>
            <wp:extent cx="5768975" cy="3257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768975" cy="3257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-719455</wp:posOffset>
            </wp:positionV>
            <wp:extent cx="5768975" cy="41148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768975" cy="41148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2868" w:space="340"/>
            <w:col w:w="6900"/>
          </w:cols>
          <w:pgMar w:left="692" w:top="1315" w:right="1099" w:bottom="1440" w:gutter="0" w:footer="0" w:header="0"/>
          <w:type w:val="continuous"/>
        </w:sectPr>
      </w:pPr>
    </w:p>
    <w:p>
      <w:pPr>
        <w:spacing w:after="0" w:line="35" w:lineRule="exact"/>
        <w:rPr>
          <w:sz w:val="20"/>
          <w:szCs w:val="20"/>
          <w:color w:val="auto"/>
        </w:rPr>
      </w:pPr>
    </w:p>
    <w:p>
      <w:pPr>
        <w:ind w:left="808" w:hanging="351"/>
        <w:spacing w:after="0"/>
        <w:tabs>
          <w:tab w:leader="none" w:pos="808" w:val="left"/>
        </w:tabs>
        <w:numPr>
          <w:ilvl w:val="0"/>
          <w:numId w:val="31"/>
        </w:numPr>
        <w:rPr>
          <w:rFonts w:ascii="Arial" w:cs="Arial" w:eastAsia="Arial" w:hAnsi="Arial"/>
          <w:sz w:val="8"/>
          <w:szCs w:val="8"/>
          <w:color w:val="auto"/>
        </w:rPr>
      </w:pPr>
      <w:r>
        <w:rPr>
          <w:rFonts w:ascii="Arial" w:cs="Arial" w:eastAsia="Arial" w:hAnsi="Arial"/>
          <w:sz w:val="14"/>
          <w:szCs w:val="14"/>
          <w:color w:val="auto"/>
        </w:rPr>
        <w:t>See “Core Earnings derivative adjustments” table above.</w:t>
      </w:r>
    </w:p>
    <w:p>
      <w:pPr>
        <w:spacing w:after="0" w:line="282" w:lineRule="exact"/>
        <w:rPr>
          <w:sz w:val="20"/>
          <w:szCs w:val="20"/>
          <w:color w:val="auto"/>
        </w:rPr>
      </w:pPr>
    </w:p>
    <w:p>
      <w:pPr>
        <w:ind w:left="8"/>
        <w:spacing w:after="0"/>
        <w:rPr>
          <w:sz w:val="20"/>
          <w:szCs w:val="20"/>
          <w:color w:val="auto"/>
        </w:rPr>
      </w:pPr>
      <w:r>
        <w:rPr>
          <w:rFonts w:ascii="Arial" w:cs="Arial" w:eastAsia="Arial" w:hAnsi="Arial"/>
          <w:sz w:val="16"/>
          <w:szCs w:val="16"/>
          <w:i w:val="1"/>
          <w:iCs w:val="1"/>
          <w:color w:val="auto"/>
        </w:rPr>
        <w:t>Hedging Embedded Floor Income</w:t>
      </w:r>
    </w:p>
    <w:p>
      <w:pPr>
        <w:spacing w:after="0" w:line="111" w:lineRule="exact"/>
        <w:rPr>
          <w:sz w:val="20"/>
          <w:szCs w:val="20"/>
          <w:color w:val="auto"/>
        </w:rPr>
      </w:pPr>
    </w:p>
    <w:p>
      <w:pPr>
        <w:jc w:val="both"/>
        <w:ind w:left="8" w:right="120"/>
        <w:spacing w:after="0" w:line="259" w:lineRule="auto"/>
        <w:rPr>
          <w:sz w:val="20"/>
          <w:szCs w:val="20"/>
          <w:color w:val="auto"/>
        </w:rPr>
      </w:pPr>
      <w:r>
        <w:rPr>
          <w:rFonts w:ascii="Arial" w:cs="Arial" w:eastAsia="Arial" w:hAnsi="Arial"/>
          <w:sz w:val="16"/>
          <w:szCs w:val="16"/>
          <w:color w:val="auto"/>
        </w:rPr>
        <w:t>We use pay-fixed swaps and fixed rate debt to economically hedge embedded Floor Income in our FFELP loans. Historically, we have used these instruments on a periodic basis and depending upon market conditions and pricing, we may enter into additional hedges in the future. Under GAAP, the pay-fixed swaps are accounted for as cash flow hedges. The table below shows the amount of Hedged Floor Income that will be recognized in Core Earnings in future periods based on these hedge strategies.</w:t>
      </w: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center"/>
              <w:ind w:left="16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228"/>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millions)</w:t>
            </w:r>
          </w:p>
        </w:tc>
        <w:tc>
          <w:tcPr>
            <w:tcW w:w="2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2026</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96"/>
        </w:trPr>
        <w:tc>
          <w:tcPr>
            <w:tcW w:w="4160" w:type="dxa"/>
            <w:vAlign w:val="bottom"/>
            <w:gridSpan w:val="2"/>
            <w:shd w:val="clear" w:color="auto" w:fill="CFF0FC"/>
          </w:tcPr>
          <w:p>
            <w:pPr>
              <w:spacing w:after="0" w:line="196" w:lineRule="exact"/>
              <w:rPr>
                <w:sz w:val="20"/>
                <w:szCs w:val="20"/>
                <w:color w:val="auto"/>
              </w:rPr>
            </w:pPr>
            <w:r>
              <w:rPr>
                <w:rFonts w:ascii="Arial" w:cs="Arial" w:eastAsia="Arial" w:hAnsi="Arial"/>
                <w:sz w:val="16"/>
                <w:szCs w:val="16"/>
                <w:color w:val="auto"/>
              </w:rPr>
              <w:t>Total hedged Floor Income, net of tax</w:t>
            </w:r>
            <w:r>
              <w:rPr>
                <w:rFonts w:ascii="Arial" w:cs="Arial" w:eastAsia="Arial" w:hAnsi="Arial"/>
                <w:sz w:val="21"/>
                <w:szCs w:val="21"/>
                <w:color w:val="auto"/>
                <w:vertAlign w:val="superscript"/>
              </w:rPr>
              <w:t>(1)(2)</w:t>
            </w:r>
          </w:p>
        </w:tc>
        <w:tc>
          <w:tcPr>
            <w:tcW w:w="2500" w:type="dxa"/>
            <w:vAlign w:val="bottom"/>
            <w:gridSpan w:val="2"/>
            <w:shd w:val="clear" w:color="auto" w:fill="CFF0FC"/>
          </w:tcPr>
          <w:p>
            <w:pPr>
              <w:jc w:val="right"/>
              <w:ind w:right="1148"/>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80" w:type="dxa"/>
            <w:vAlign w:val="bottom"/>
            <w:gridSpan w:val="2"/>
            <w:shd w:val="clear" w:color="auto" w:fill="CFF0FC"/>
          </w:tcPr>
          <w:p>
            <w:pPr>
              <w:jc w:val="right"/>
              <w:ind w:right="928"/>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98552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173" w:lineRule="exact"/>
        <w:rPr>
          <w:sz w:val="20"/>
          <w:szCs w:val="20"/>
          <w:color w:val="auto"/>
        </w:rPr>
      </w:pPr>
    </w:p>
    <w:p>
      <w:pPr>
        <w:ind w:left="368" w:hanging="365"/>
        <w:spacing w:after="0"/>
        <w:tabs>
          <w:tab w:leader="none" w:pos="368" w:val="left"/>
        </w:tabs>
        <w:numPr>
          <w:ilvl w:val="0"/>
          <w:numId w:val="32"/>
        </w:numPr>
        <w:rPr>
          <w:rFonts w:ascii="Arial" w:cs="Arial" w:eastAsia="Arial" w:hAnsi="Arial"/>
          <w:sz w:val="8"/>
          <w:szCs w:val="8"/>
          <w:color w:val="auto"/>
        </w:rPr>
      </w:pPr>
      <w:r>
        <w:rPr>
          <w:rFonts w:ascii="Arial" w:cs="Arial" w:eastAsia="Arial" w:hAnsi="Arial"/>
          <w:sz w:val="14"/>
          <w:szCs w:val="14"/>
          <w:color w:val="auto"/>
        </w:rPr>
        <w:t>$21 million, $26 million and $41 million on a pre-tax basis as of September 30, 2026, June 30, 2026, and September 30, 2025, respectively.</w:t>
      </w:r>
    </w:p>
    <w:p>
      <w:pPr>
        <w:spacing w:after="0" w:line="68" w:lineRule="exact"/>
        <w:rPr>
          <w:rFonts w:ascii="Arial" w:cs="Arial" w:eastAsia="Arial" w:hAnsi="Arial"/>
          <w:sz w:val="8"/>
          <w:szCs w:val="8"/>
          <w:color w:val="auto"/>
        </w:rPr>
      </w:pPr>
    </w:p>
    <w:p>
      <w:pPr>
        <w:ind w:left="368" w:hanging="365"/>
        <w:spacing w:after="0"/>
        <w:tabs>
          <w:tab w:leader="none" w:pos="368" w:val="left"/>
        </w:tabs>
        <w:numPr>
          <w:ilvl w:val="0"/>
          <w:numId w:val="32"/>
        </w:numPr>
        <w:rPr>
          <w:rFonts w:ascii="Arial" w:cs="Arial" w:eastAsia="Arial" w:hAnsi="Arial"/>
          <w:sz w:val="8"/>
          <w:szCs w:val="8"/>
          <w:color w:val="auto"/>
        </w:rPr>
      </w:pPr>
      <w:r>
        <w:rPr>
          <w:rFonts w:ascii="Arial" w:cs="Arial" w:eastAsia="Arial" w:hAnsi="Arial"/>
          <w:sz w:val="14"/>
          <w:szCs w:val="14"/>
          <w:color w:val="auto"/>
        </w:rPr>
        <w:t>Of the $16 million as of September 30, 2026, approximately $3 million, $7 million and $6 million will be recognized as part of Core</w:t>
      </w:r>
    </w:p>
    <w:p>
      <w:pPr>
        <w:spacing w:after="0" w:line="15" w:lineRule="exact"/>
        <w:rPr>
          <w:sz w:val="20"/>
          <w:szCs w:val="20"/>
          <w:color w:val="auto"/>
        </w:rPr>
      </w:pPr>
    </w:p>
    <w:p>
      <w:pPr>
        <w:ind w:left="328"/>
        <w:spacing w:after="0"/>
        <w:rPr>
          <w:sz w:val="20"/>
          <w:szCs w:val="20"/>
          <w:color w:val="auto"/>
        </w:rPr>
      </w:pPr>
      <w:r>
        <w:rPr>
          <w:rFonts w:ascii="Arial" w:cs="Arial" w:eastAsia="Arial" w:hAnsi="Arial"/>
          <w:sz w:val="14"/>
          <w:szCs w:val="14"/>
          <w:color w:val="auto"/>
        </w:rPr>
        <w:t>Earnings net income in the remainder of 2026, 2027 and 2028, respectively.</w:t>
      </w:r>
    </w:p>
    <w:p>
      <w:pPr>
        <w:spacing w:after="0" w:line="252" w:lineRule="exact"/>
        <w:rPr>
          <w:sz w:val="20"/>
          <w:szCs w:val="20"/>
          <w:color w:val="auto"/>
        </w:rPr>
      </w:pPr>
    </w:p>
    <w:p>
      <w:pPr>
        <w:ind w:left="328" w:right="60" w:hanging="325"/>
        <w:spacing w:after="0" w:line="286" w:lineRule="auto"/>
        <w:tabs>
          <w:tab w:leader="none" w:pos="36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Acquired Intangible Assets: </w:t>
      </w:r>
      <w:r>
        <w:rPr>
          <w:rFonts w:ascii="Arial" w:cs="Arial" w:eastAsia="Arial" w:hAnsi="Arial"/>
          <w:sz w:val="16"/>
          <w:szCs w:val="16"/>
          <w:color w:val="auto"/>
        </w:rPr>
        <w:t>Our Core Earnings exclude goodwill and intangible asset impairment and the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acquired intangible assets. The following table summarizes the goodwill and acquired intangible asset adjustments.</w:t>
      </w:r>
    </w:p>
    <w:p>
      <w:pPr>
        <w:spacing w:after="0" w:line="359"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shd w:val="clear" w:color="auto" w:fill="D9D9D9"/>
          </w:tcPr>
          <w:p>
            <w:pPr>
              <w:spacing w:after="0"/>
              <w:rPr>
                <w:sz w:val="14"/>
                <w:szCs w:val="14"/>
                <w:color w:val="auto"/>
              </w:rPr>
            </w:pPr>
          </w:p>
        </w:tc>
        <w:tc>
          <w:tcPr>
            <w:tcW w:w="900" w:type="dxa"/>
            <w:vAlign w:val="bottom"/>
            <w:shd w:val="clear" w:color="auto" w:fill="D9D9D9"/>
          </w:tcPr>
          <w:p>
            <w:pPr>
              <w:spacing w:after="0"/>
              <w:rPr>
                <w:sz w:val="14"/>
                <w:szCs w:val="14"/>
                <w:color w:val="auto"/>
              </w:rPr>
            </w:pPr>
          </w:p>
        </w:tc>
        <w:tc>
          <w:tcPr>
            <w:tcW w:w="1660" w:type="dxa"/>
            <w:vAlign w:val="bottom"/>
            <w:gridSpan w:val="4"/>
            <w:shd w:val="clear" w:color="auto" w:fill="D9D9D9"/>
          </w:tcPr>
          <w:p>
            <w:pPr>
              <w:jc w:val="center"/>
              <w:ind w:left="46"/>
              <w:spacing w:after="0"/>
              <w:rPr>
                <w:sz w:val="20"/>
                <w:szCs w:val="20"/>
                <w:color w:val="auto"/>
              </w:rPr>
            </w:pPr>
            <w:r>
              <w:rPr>
                <w:rFonts w:ascii="Arial" w:cs="Arial" w:eastAsia="Arial" w:hAnsi="Arial"/>
                <w:sz w:val="13"/>
                <w:szCs w:val="13"/>
                <w:b w:val="1"/>
                <w:bCs w:val="1"/>
                <w:color w:val="auto"/>
              </w:rPr>
              <w:t>QUARTERS ENDED</w:t>
            </w:r>
          </w:p>
        </w:tc>
        <w:tc>
          <w:tcPr>
            <w:tcW w:w="140" w:type="dxa"/>
            <w:vAlign w:val="bottom"/>
            <w:shd w:val="clear" w:color="auto" w:fill="D9D9D9"/>
          </w:tcPr>
          <w:p>
            <w:pPr>
              <w:spacing w:after="0"/>
              <w:rPr>
                <w:sz w:val="14"/>
                <w:szCs w:val="14"/>
                <w:color w:val="auto"/>
              </w:rPr>
            </w:pPr>
          </w:p>
        </w:tc>
        <w:tc>
          <w:tcPr>
            <w:tcW w:w="104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4"/>
            <w:shd w:val="clear" w:color="auto" w:fill="D9D9D9"/>
          </w:tcPr>
          <w:p>
            <w:pPr>
              <w:jc w:val="right"/>
              <w:ind w:right="408"/>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r>
      <w:tr>
        <w:trPr>
          <w:trHeight w:val="153"/>
        </w:trPr>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millions)</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June 30, 2026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820" w:type="dxa"/>
            <w:vAlign w:val="bottom"/>
            <w:gridSpan w:val="2"/>
            <w:shd w:val="clear" w:color="auto" w:fill="CFF0FC"/>
          </w:tcPr>
          <w:p>
            <w:pPr>
              <w:spacing w:after="0" w:line="168" w:lineRule="exact"/>
              <w:rPr>
                <w:sz w:val="20"/>
                <w:szCs w:val="20"/>
                <w:color w:val="auto"/>
              </w:rPr>
            </w:pPr>
            <w:r>
              <w:rPr>
                <w:rFonts w:ascii="Arial" w:cs="Arial" w:eastAsia="Arial" w:hAnsi="Arial"/>
                <w:sz w:val="16"/>
                <w:szCs w:val="16"/>
                <w:color w:val="auto"/>
              </w:rPr>
              <w:t>Core Earnings goodwill and acquired</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3"/>
        </w:trPr>
        <w:tc>
          <w:tcPr>
            <w:tcW w:w="28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intangible asset adjustments</w:t>
            </w:r>
          </w:p>
        </w:tc>
        <w:tc>
          <w:tcPr>
            <w:tcW w:w="42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ind w:left="9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86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w:t>
            </w:r>
          </w:p>
        </w:tc>
        <w:tc>
          <w:tcPr>
            <w:tcW w:w="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9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5</w:t>
            </w:r>
          </w:p>
        </w:tc>
        <w:tc>
          <w:tcPr>
            <w:tcW w:w="1340" w:type="dxa"/>
            <w:vAlign w:val="bottom"/>
            <w:gridSpan w:val="2"/>
            <w:shd w:val="clear" w:color="auto" w:fill="CFF0FC"/>
          </w:tcPr>
          <w:p>
            <w:pPr>
              <w:jc w:val="right"/>
              <w:ind w:right="888"/>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FF0FC"/>
          </w:tcPr>
          <w:p>
            <w:pPr>
              <w:spacing w:after="0"/>
              <w:rPr>
                <w:sz w:val="17"/>
                <w:szCs w:val="17"/>
                <w:color w:val="auto"/>
              </w:rPr>
            </w:pPr>
          </w:p>
        </w:tc>
      </w:tr>
    </w:tbl>
    <w:p>
      <w:pPr>
        <w:spacing w:after="0" w:line="3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479425</wp:posOffset>
            </wp:positionV>
            <wp:extent cx="703770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8"/>
          </w:cols>
          <w:pgMar w:left="692" w:top="1315" w:right="10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2. Tangible Equity and Adjusted Tangible Equity Ratio</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Adjusted Tangible Equity measures the ratio of Navient’s Tangible Equity to its tangible assets. We adjust this ratio to exclude the assets and equity associated with our FFELP Loan portfolio because FFELP Loans are no longer originated and the FFELP Loan portfolio bears a 3% maximum loss exposure under the terms of the federal guaranty. Management believes that excluding this portfolio from the ratio enhances its usefulness to investors. Management uses this ratio, in addition to other metrics, for analysis and decision making related to capital allocation decisions. The Adjusted Tangible Equity Ratio is calculated 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(Dollars in millions)</w:t>
            </w:r>
          </w:p>
        </w:tc>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2026</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June 30, 2026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Stockholders' equity</w:t>
            </w:r>
          </w:p>
        </w:tc>
        <w:tc>
          <w:tcPr>
            <w:tcW w:w="1200" w:type="dxa"/>
            <w:vAlign w:val="bottom"/>
            <w:gridSpan w:val="2"/>
            <w:shd w:val="clear" w:color="auto" w:fill="CFF0FC"/>
          </w:tcPr>
          <w:p>
            <w:pPr>
              <w:ind w:left="72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2,435</w:t>
            </w:r>
          </w:p>
        </w:tc>
        <w:tc>
          <w:tcPr>
            <w:tcW w:w="3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2,398</w:t>
            </w:r>
          </w:p>
        </w:tc>
        <w:tc>
          <w:tcPr>
            <w:tcW w:w="3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ind w:left="18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2,439</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Less: Goodwill and acquired intangible assets</w:t>
            </w:r>
          </w:p>
        </w:tc>
        <w:tc>
          <w:tcPr>
            <w:tcW w:w="7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Tangible Equity</w:t>
            </w:r>
          </w:p>
        </w:tc>
        <w:tc>
          <w:tcPr>
            <w:tcW w:w="7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2,005</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1,968</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2,004</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Less: Equity held for FFELP Loans</w:t>
            </w:r>
          </w:p>
        </w:tc>
        <w:tc>
          <w:tcPr>
            <w:tcW w:w="7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Adjusted Tangible Equity</w:t>
            </w:r>
          </w:p>
        </w:tc>
        <w:tc>
          <w:tcPr>
            <w:tcW w:w="1200" w:type="dxa"/>
            <w:vAlign w:val="bottom"/>
            <w:gridSpan w:val="2"/>
            <w:shd w:val="clear" w:color="auto" w:fill="CFF0FC"/>
          </w:tcPr>
          <w:p>
            <w:pPr>
              <w:ind w:left="72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1,876</w:t>
            </w:r>
          </w:p>
        </w:tc>
        <w:tc>
          <w:tcPr>
            <w:tcW w:w="3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1,835</w:t>
            </w:r>
          </w:p>
        </w:tc>
        <w:tc>
          <w:tcPr>
            <w:tcW w:w="3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ind w:left="18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1,859</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tcBorders>
              <w:top w:val="single" w:sz="8" w:color="CFF0FC"/>
            </w:tcBorders>
            <w:gridSpan w:val="2"/>
          </w:tcPr>
          <w:p>
            <w:pPr>
              <w:spacing w:after="0" w:line="170" w:lineRule="exact"/>
              <w:rPr>
                <w:sz w:val="20"/>
                <w:szCs w:val="20"/>
                <w:color w:val="auto"/>
              </w:rPr>
            </w:pPr>
            <w:r>
              <w:rPr>
                <w:rFonts w:ascii="Arial" w:cs="Arial" w:eastAsia="Arial" w:hAnsi="Arial"/>
                <w:sz w:val="16"/>
                <w:szCs w:val="16"/>
                <w:color w:val="auto"/>
              </w:rPr>
              <w:t>Divided by:</w:t>
            </w:r>
          </w:p>
        </w:tc>
        <w:tc>
          <w:tcPr>
            <w:tcW w:w="72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assets</w:t>
            </w:r>
          </w:p>
        </w:tc>
        <w:tc>
          <w:tcPr>
            <w:tcW w:w="120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46,128</w:t>
            </w:r>
          </w:p>
        </w:tc>
        <w:tc>
          <w:tcPr>
            <w:tcW w:w="32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47,297</w:t>
            </w:r>
          </w:p>
        </w:tc>
        <w:tc>
          <w:tcPr>
            <w:tcW w:w="3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49,306</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2"/>
          </w:tcPr>
          <w:p>
            <w:pPr>
              <w:spacing w:after="0"/>
              <w:rPr>
                <w:sz w:val="20"/>
                <w:szCs w:val="20"/>
                <w:color w:val="auto"/>
              </w:rPr>
            </w:pPr>
            <w:r>
              <w:rPr>
                <w:rFonts w:ascii="Arial" w:cs="Arial" w:eastAsia="Arial" w:hAnsi="Arial"/>
                <w:sz w:val="16"/>
                <w:szCs w:val="16"/>
                <w:color w:val="auto"/>
              </w:rPr>
              <w:t>Less:</w:t>
            </w: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Goodwill and acquired intangible assets</w:t>
            </w:r>
          </w:p>
        </w:tc>
        <w:tc>
          <w:tcPr>
            <w:tcW w:w="7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2"/>
          </w:tcPr>
          <w:p>
            <w:pPr>
              <w:ind w:left="160"/>
              <w:spacing w:after="0"/>
              <w:rPr>
                <w:sz w:val="20"/>
                <w:szCs w:val="20"/>
                <w:color w:val="auto"/>
              </w:rPr>
            </w:pPr>
            <w:r>
              <w:rPr>
                <w:rFonts w:ascii="Arial" w:cs="Arial" w:eastAsia="Arial" w:hAnsi="Arial"/>
                <w:sz w:val="16"/>
                <w:szCs w:val="16"/>
                <w:color w:val="auto"/>
              </w:rPr>
              <w:t>FFELP Loans</w:t>
            </w:r>
          </w:p>
        </w:tc>
        <w:tc>
          <w:tcPr>
            <w:tcW w:w="7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26,575</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Adjusted tangible assets</w:t>
            </w:r>
          </w:p>
        </w:tc>
        <w:tc>
          <w:tcPr>
            <w:tcW w:w="1200" w:type="dxa"/>
            <w:vAlign w:val="bottom"/>
            <w:gridSpan w:val="2"/>
            <w:shd w:val="clear" w:color="auto" w:fill="CFF0FC"/>
          </w:tcPr>
          <w:p>
            <w:pPr>
              <w:ind w:left="72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19,800</w:t>
            </w:r>
          </w:p>
        </w:tc>
        <w:tc>
          <w:tcPr>
            <w:tcW w:w="3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20,292</w:t>
            </w:r>
          </w:p>
        </w:tc>
        <w:tc>
          <w:tcPr>
            <w:tcW w:w="3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ind w:left="18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19,919</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3980" w:type="dxa"/>
            <w:vAlign w:val="bottom"/>
            <w:gridSpan w:val="2"/>
          </w:tcPr>
          <w:p>
            <w:pPr>
              <w:spacing w:after="0" w:line="183" w:lineRule="exact"/>
              <w:rPr>
                <w:sz w:val="20"/>
                <w:szCs w:val="20"/>
                <w:color w:val="auto"/>
              </w:rPr>
            </w:pPr>
            <w:r>
              <w:rPr>
                <w:rFonts w:ascii="Arial" w:cs="Arial" w:eastAsia="Arial" w:hAnsi="Arial"/>
                <w:sz w:val="16"/>
                <w:szCs w:val="16"/>
                <w:color w:val="auto"/>
              </w:rPr>
              <w:t>Adjusted Tangible Equity Ratio</w:t>
            </w: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9.5%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9.0%</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-908050</wp:posOffset>
            </wp:positionV>
            <wp:extent cx="10287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-890905</wp:posOffset>
            </wp:positionV>
            <wp:extent cx="10287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-908050</wp:posOffset>
            </wp:positionV>
            <wp:extent cx="10287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-890905</wp:posOffset>
            </wp:positionV>
            <wp:extent cx="10287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-908050</wp:posOffset>
            </wp:positionV>
            <wp:extent cx="10287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-890905</wp:posOffset>
            </wp:positionV>
            <wp:extent cx="10287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3869690</wp:posOffset>
            </wp:positionH>
            <wp:positionV relativeFrom="paragraph">
              <wp:posOffset>-153670</wp:posOffset>
            </wp:positionV>
            <wp:extent cx="10287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-153670</wp:posOffset>
            </wp:positionV>
            <wp:extent cx="10287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6313170</wp:posOffset>
            </wp:positionH>
            <wp:positionV relativeFrom="paragraph">
              <wp:posOffset>-153670</wp:posOffset>
            </wp:positionV>
            <wp:extent cx="10287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479425</wp:posOffset>
            </wp:positionV>
            <wp:extent cx="703770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0"/>
          </w:cols>
          <w:pgMar w:left="700" w:top="985" w:right="1099" w:bottom="1440" w:gutter="0" w:footer="0" w:header="0"/>
        </w:sectPr>
      </w:pPr>
    </w:p>
    <w:bookmarkStart w:id="31" w:name="page32"/>
    <w:bookmarkEnd w:id="31"/>
    <w:p>
      <w:pPr>
        <w:ind w:left="5"/>
        <w:spacing w:after="0"/>
        <w:rPr>
          <w:sz w:val="20"/>
          <w:szCs w:val="20"/>
          <w:color w:val="auto"/>
        </w:rPr>
      </w:pPr>
      <w:r>
        <w:rPr>
          <w:rFonts w:ascii="Arial" w:cs="Arial" w:eastAsia="Arial" w:hAnsi="Arial"/>
          <w:sz w:val="18"/>
          <w:szCs w:val="18"/>
          <w:b w:val="1"/>
          <w:bCs w:val="1"/>
          <w:color w:val="auto"/>
        </w:rPr>
        <w:t>3. Allowance for Loan Losses Excluding Expected Future Recoveries on Previously Fully Charged-off Loans</w:t>
      </w:r>
    </w:p>
    <w:p>
      <w:pPr>
        <w:spacing w:after="0" w:line="108" w:lineRule="exact"/>
        <w:rPr>
          <w:sz w:val="20"/>
          <w:szCs w:val="20"/>
          <w:color w:val="auto"/>
        </w:rPr>
      </w:pPr>
    </w:p>
    <w:p>
      <w:pPr>
        <w:ind w:left="5" w:right="100"/>
        <w:spacing w:after="0" w:line="250" w:lineRule="auto"/>
        <w:rPr>
          <w:sz w:val="20"/>
          <w:szCs w:val="20"/>
          <w:color w:val="auto"/>
        </w:rPr>
      </w:pPr>
      <w:r>
        <w:rPr>
          <w:rFonts w:ascii="Arial" w:cs="Arial" w:eastAsia="Arial" w:hAnsi="Arial"/>
          <w:sz w:val="16"/>
          <w:szCs w:val="16"/>
          <w:color w:val="auto"/>
        </w:rPr>
        <w:t>The allowance for loan losses on the Private Education Loan portfolio used for the three credit metrics below excludes the expected future recoveries on previously fully charged-off loans to better reflect the current expected credit losses remaining in connection with the loans on balance sheet that have not charged off. As of September 30, 2026, the $456 million Private Education Loan allowance for loan losses excluding expected future recoveries on previously fully charged-off loans represents the current expected credit losses that remain in connection with the $12,979 million Private Education Loan portfolio. The $157 million of expected future recoveries on previously fully charged-off loans, which is collected over an average 15-year period, mechanically is a reduction to the overall allowance for loan losses. However, it is not related to the $12,979 million Private Education Loan portfolio on our balance sheet and, as a result, management excludes this impact to the allowance to better evaluate and assess our overall credit loss coverage on the Private Education Loan portfolio. We believe this provides a more meaningful and holistic view of the available credit loss coverage on our non-charged-off Private Education Loan portfolio. We believe this information is useful to our investors, lenders and rating agencies.</w:t>
      </w:r>
    </w:p>
    <w:p>
      <w:pPr>
        <w:spacing w:after="0" w:line="119" w:lineRule="exact"/>
        <w:rPr>
          <w:sz w:val="20"/>
          <w:szCs w:val="20"/>
          <w:color w:val="auto"/>
        </w:rPr>
      </w:pPr>
    </w:p>
    <w:p>
      <w:pPr>
        <w:ind w:left="5"/>
        <w:spacing w:after="0"/>
        <w:rPr>
          <w:sz w:val="20"/>
          <w:szCs w:val="20"/>
          <w:color w:val="auto"/>
        </w:rPr>
      </w:pPr>
      <w:r>
        <w:rPr>
          <w:rFonts w:ascii="Arial" w:cs="Arial" w:eastAsia="Arial" w:hAnsi="Arial"/>
          <w:sz w:val="18"/>
          <w:szCs w:val="18"/>
          <w:b w:val="1"/>
          <w:bCs w:val="1"/>
          <w:i w:val="1"/>
          <w:iCs w:val="1"/>
          <w:color w:val="auto"/>
        </w:rPr>
        <w:t>Allowance for Loan Losses Metrics – Private Education Loans</w:t>
      </w:r>
    </w:p>
    <w:p>
      <w:pPr>
        <w:spacing w:after="0" w:line="214"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shd w:val="clear" w:color="auto" w:fill="D9D9D9"/>
          </w:tcPr>
          <w:p>
            <w:pPr>
              <w:spacing w:after="0"/>
              <w:rPr>
                <w:sz w:val="13"/>
                <w:szCs w:val="13"/>
                <w:color w:val="auto"/>
              </w:rPr>
            </w:pPr>
          </w:p>
        </w:tc>
        <w:tc>
          <w:tcPr>
            <w:tcW w:w="78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1440" w:type="dxa"/>
            <w:vAlign w:val="bottom"/>
            <w:gridSpan w:val="4"/>
            <w:shd w:val="clear" w:color="auto" w:fill="D9D9D9"/>
          </w:tcPr>
          <w:p>
            <w:pPr>
              <w:jc w:val="right"/>
              <w:ind w:right="120"/>
              <w:spacing w:after="0"/>
              <w:rPr>
                <w:sz w:val="20"/>
                <w:szCs w:val="20"/>
                <w:color w:val="auto"/>
              </w:rPr>
            </w:pPr>
            <w:r>
              <w:rPr>
                <w:rFonts w:ascii="Arial" w:cs="Arial" w:eastAsia="Arial" w:hAnsi="Arial"/>
                <w:sz w:val="13"/>
                <w:szCs w:val="13"/>
                <w:b w:val="1"/>
                <w:bCs w:val="1"/>
                <w:color w:val="auto"/>
              </w:rPr>
              <w:t>QUARTERS ENDED</w:t>
            </w:r>
          </w:p>
        </w:tc>
        <w:tc>
          <w:tcPr>
            <w:tcW w:w="10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90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2280" w:type="dxa"/>
            <w:vAlign w:val="bottom"/>
            <w:gridSpan w:val="6"/>
            <w:shd w:val="clear" w:color="auto" w:fill="D9D9D9"/>
          </w:tcPr>
          <w:p>
            <w:pPr>
              <w:jc w:val="right"/>
              <w:ind w:right="6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w w:val="99"/>
              </w:rPr>
              <w:t>September</w:t>
            </w:r>
          </w:p>
        </w:tc>
        <w:tc>
          <w:tcPr>
            <w:tcW w:w="260" w:type="dxa"/>
            <w:vAlign w:val="bottom"/>
          </w:tcPr>
          <w:p>
            <w:pPr>
              <w:spacing w:after="0"/>
              <w:rPr>
                <w:sz w:val="13"/>
                <w:szCs w:val="13"/>
                <w:color w:val="auto"/>
              </w:rPr>
            </w:pPr>
          </w:p>
        </w:tc>
        <w:tc>
          <w:tcPr>
            <w:tcW w:w="12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4"/>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(Dollars in millions)</w:t>
            </w:r>
          </w:p>
        </w:tc>
        <w:tc>
          <w:tcPr>
            <w:tcW w:w="212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30, 2025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gridSpan w:val="3"/>
            <w:shd w:val="clear" w:color="auto" w:fill="CFF0FC"/>
          </w:tcPr>
          <w:p>
            <w:pPr>
              <w:spacing w:after="0" w:line="155" w:lineRule="exact"/>
              <w:rPr>
                <w:sz w:val="20"/>
                <w:szCs w:val="20"/>
                <w:color w:val="auto"/>
              </w:rPr>
            </w:pPr>
            <w:r>
              <w:rPr>
                <w:rFonts w:ascii="Arial" w:cs="Arial" w:eastAsia="Arial" w:hAnsi="Arial"/>
                <w:sz w:val="14"/>
                <w:szCs w:val="14"/>
                <w:color w:val="auto"/>
              </w:rPr>
              <w:t>Allowance at end of period (GAAP)</w:t>
            </w:r>
          </w:p>
        </w:tc>
        <w:tc>
          <w:tcPr>
            <w:tcW w:w="360" w:type="dxa"/>
            <w:vAlign w:val="bottom"/>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299</w:t>
            </w:r>
          </w:p>
        </w:tc>
        <w:tc>
          <w:tcPr>
            <w:tcW w:w="1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19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263</w:t>
            </w:r>
          </w:p>
        </w:tc>
        <w:tc>
          <w:tcPr>
            <w:tcW w:w="2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406</w:t>
            </w:r>
          </w:p>
        </w:tc>
        <w:tc>
          <w:tcPr>
            <w:tcW w:w="1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ind w:left="260"/>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299</w:t>
            </w:r>
          </w:p>
        </w:tc>
        <w:tc>
          <w:tcPr>
            <w:tcW w:w="2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406</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gridSpan w:val="3"/>
          </w:tcPr>
          <w:p>
            <w:pPr>
              <w:spacing w:after="0" w:line="153" w:lineRule="exact"/>
              <w:rPr>
                <w:sz w:val="20"/>
                <w:szCs w:val="20"/>
                <w:color w:val="auto"/>
              </w:rPr>
            </w:pPr>
            <w:r>
              <w:rPr>
                <w:rFonts w:ascii="Arial" w:cs="Arial" w:eastAsia="Arial" w:hAnsi="Arial"/>
                <w:sz w:val="14"/>
                <w:szCs w:val="14"/>
                <w:color w:val="auto"/>
              </w:rPr>
              <w:t>Plus: expected future recoveries on previously fully</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gridSpan w:val="3"/>
          </w:tcPr>
          <w:p>
            <w:pPr>
              <w:ind w:left="80"/>
              <w:spacing w:after="0" w:line="158" w:lineRule="exact"/>
              <w:rPr>
                <w:sz w:val="20"/>
                <w:szCs w:val="20"/>
                <w:color w:val="auto"/>
              </w:rPr>
            </w:pPr>
            <w:r>
              <w:rPr>
                <w:rFonts w:ascii="Arial" w:cs="Arial" w:eastAsia="Arial" w:hAnsi="Arial"/>
                <w:sz w:val="14"/>
                <w:szCs w:val="14"/>
                <w:color w:val="auto"/>
              </w:rPr>
              <w:t>charged-off loans</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gridSpan w:val="3"/>
            <w:shd w:val="clear" w:color="auto" w:fill="CFF0FC"/>
          </w:tcPr>
          <w:p>
            <w:pPr>
              <w:spacing w:after="0" w:line="147" w:lineRule="exact"/>
              <w:rPr>
                <w:sz w:val="20"/>
                <w:szCs w:val="20"/>
                <w:color w:val="auto"/>
              </w:rPr>
            </w:pPr>
            <w:r>
              <w:rPr>
                <w:rFonts w:ascii="Arial" w:cs="Arial" w:eastAsia="Arial" w:hAnsi="Arial"/>
                <w:sz w:val="14"/>
                <w:szCs w:val="14"/>
                <w:color w:val="auto"/>
              </w:rPr>
              <w:t>Allowance at end of period excluding expected</w:t>
            </w: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future recoveries on previously fully</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gridSpan w:val="3"/>
            <w:shd w:val="clear" w:color="auto" w:fill="CFF0FC"/>
          </w:tcPr>
          <w:p>
            <w:pPr>
              <w:ind w:left="80"/>
              <w:spacing w:after="0"/>
              <w:rPr>
                <w:sz w:val="20"/>
                <w:szCs w:val="20"/>
                <w:color w:val="auto"/>
              </w:rPr>
            </w:pPr>
            <w:r>
              <w:rPr>
                <w:rFonts w:ascii="Arial" w:cs="Arial" w:eastAsia="Arial" w:hAnsi="Arial"/>
                <w:sz w:val="14"/>
                <w:szCs w:val="14"/>
                <w:color w:val="auto"/>
              </w:rPr>
              <w:t>charged-off loans (Non-GAAP Financial</w:t>
            </w:r>
          </w:p>
        </w:tc>
        <w:tc>
          <w:tcPr>
            <w:tcW w:w="14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jc w:val="right"/>
              <w:ind w:right="198"/>
              <w:spacing w:after="0"/>
              <w:rPr>
                <w:sz w:val="20"/>
                <w:szCs w:val="20"/>
                <w:color w:val="auto"/>
              </w:rPr>
            </w:pPr>
            <w:r>
              <w:rPr>
                <w:rFonts w:ascii="Arial" w:cs="Arial" w:eastAsia="Arial" w:hAnsi="Arial"/>
                <w:sz w:val="10"/>
                <w:szCs w:val="10"/>
                <w:color w:val="auto"/>
                <w:w w:val="71"/>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426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579</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579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tcBorders>
              <w:bottom w:val="single" w:sz="8" w:color="CFF0FC"/>
            </w:tcBorders>
            <w:gridSpan w:val="3"/>
            <w:shd w:val="clear" w:color="auto" w:fill="CFF0FC"/>
          </w:tcPr>
          <w:p>
            <w:pPr>
              <w:ind w:left="80"/>
              <w:spacing w:after="0" w:line="125" w:lineRule="exact"/>
              <w:rPr>
                <w:sz w:val="20"/>
                <w:szCs w:val="20"/>
                <w:color w:val="auto"/>
              </w:rPr>
            </w:pPr>
            <w:r>
              <w:rPr>
                <w:rFonts w:ascii="Arial" w:cs="Arial" w:eastAsia="Arial" w:hAnsi="Arial"/>
                <w:sz w:val="14"/>
                <w:szCs w:val="14"/>
                <w:color w:val="auto"/>
              </w:rPr>
              <w:t>Measure)</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gridSpan w:val="3"/>
          </w:tcPr>
          <w:p>
            <w:pPr>
              <w:spacing w:after="0" w:line="170" w:lineRule="exact"/>
              <w:rPr>
                <w:sz w:val="20"/>
                <w:szCs w:val="20"/>
                <w:color w:val="auto"/>
              </w:rPr>
            </w:pPr>
            <w:r>
              <w:rPr>
                <w:rFonts w:ascii="Arial" w:cs="Arial" w:eastAsia="Arial" w:hAnsi="Arial"/>
                <w:sz w:val="14"/>
                <w:szCs w:val="14"/>
                <w:color w:val="auto"/>
              </w:rPr>
              <w:t>Ending total loans</w:t>
            </w:r>
            <w:r>
              <w:rPr>
                <w:rFonts w:ascii="Arial" w:cs="Arial" w:eastAsia="Arial" w:hAnsi="Arial"/>
                <w:sz w:val="19"/>
                <w:szCs w:val="19"/>
                <w:color w:val="auto"/>
                <w:vertAlign w:val="superscript"/>
              </w:rPr>
              <w:t>(1)</w:t>
            </w: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12,979</w:t>
            </w:r>
          </w:p>
        </w:tc>
        <w:tc>
          <w:tcPr>
            <w:tcW w:w="160" w:type="dxa"/>
            <w:vAlign w:val="bottom"/>
          </w:tcPr>
          <w:p>
            <w:pPr>
              <w:spacing w:after="0"/>
              <w:rPr>
                <w:sz w:val="14"/>
                <w:szCs w:val="14"/>
                <w:color w:val="auto"/>
              </w:rPr>
            </w:pPr>
          </w:p>
        </w:tc>
        <w:tc>
          <w:tcPr>
            <w:tcW w:w="500" w:type="dxa"/>
            <w:vAlign w:val="bottom"/>
            <w:gridSpan w:val="2"/>
          </w:tcPr>
          <w:p>
            <w:pPr>
              <w:jc w:val="right"/>
              <w:ind w:right="19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15,409</w:t>
            </w:r>
          </w:p>
        </w:tc>
        <w:tc>
          <w:tcPr>
            <w:tcW w:w="2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15,862</w:t>
            </w:r>
          </w:p>
        </w:tc>
        <w:tc>
          <w:tcPr>
            <w:tcW w:w="140" w:type="dxa"/>
            <w:vAlign w:val="bottom"/>
          </w:tcPr>
          <w:p>
            <w:pPr>
              <w:spacing w:after="0"/>
              <w:rPr>
                <w:sz w:val="14"/>
                <w:szCs w:val="14"/>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12,979</w:t>
            </w:r>
          </w:p>
        </w:tc>
        <w:tc>
          <w:tcPr>
            <w:tcW w:w="220" w:type="dxa"/>
            <w:vAlign w:val="bottom"/>
          </w:tcPr>
          <w:p>
            <w:pPr>
              <w:spacing w:after="0"/>
              <w:rPr>
                <w:sz w:val="14"/>
                <w:szCs w:val="14"/>
                <w:color w:val="auto"/>
              </w:rPr>
            </w:pP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15,862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gridSpan w:val="3"/>
            <w:shd w:val="clear" w:color="auto" w:fill="CFF0FC"/>
          </w:tcPr>
          <w:p>
            <w:pPr>
              <w:spacing w:after="0" w:line="189" w:lineRule="exact"/>
              <w:rPr>
                <w:sz w:val="20"/>
                <w:szCs w:val="20"/>
                <w:color w:val="auto"/>
              </w:rPr>
            </w:pPr>
            <w:r>
              <w:rPr>
                <w:rFonts w:ascii="Arial" w:cs="Arial" w:eastAsia="Arial" w:hAnsi="Arial"/>
                <w:sz w:val="14"/>
                <w:szCs w:val="14"/>
                <w:color w:val="auto"/>
              </w:rPr>
              <w:t>Ending loans in repayment</w:t>
            </w:r>
            <w:r>
              <w:rPr>
                <w:rFonts w:ascii="Arial" w:cs="Arial" w:eastAsia="Arial" w:hAnsi="Arial"/>
                <w:sz w:val="19"/>
                <w:szCs w:val="19"/>
                <w:color w:val="auto"/>
                <w:vertAlign w:val="superscript"/>
              </w:rPr>
              <w:t>(1)</w:t>
            </w:r>
          </w:p>
        </w:tc>
        <w:tc>
          <w:tcPr>
            <w:tcW w:w="3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12,519</w:t>
            </w:r>
          </w:p>
        </w:tc>
        <w:tc>
          <w:tcPr>
            <w:tcW w:w="16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9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14,781</w:t>
            </w:r>
          </w:p>
        </w:tc>
        <w:tc>
          <w:tcPr>
            <w:tcW w:w="2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15,221</w:t>
            </w:r>
          </w:p>
        </w:tc>
        <w:tc>
          <w:tcPr>
            <w:tcW w:w="140" w:type="dxa"/>
            <w:vAlign w:val="bottom"/>
            <w:shd w:val="clear" w:color="auto" w:fill="CFF0FC"/>
          </w:tcPr>
          <w:p>
            <w:pPr>
              <w:spacing w:after="0"/>
              <w:rPr>
                <w:sz w:val="16"/>
                <w:szCs w:val="16"/>
                <w:color w:val="auto"/>
              </w:rPr>
            </w:pPr>
          </w:p>
        </w:tc>
        <w:tc>
          <w:tcPr>
            <w:tcW w:w="4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12,519</w:t>
            </w:r>
          </w:p>
        </w:tc>
        <w:tc>
          <w:tcPr>
            <w:tcW w:w="220" w:type="dxa"/>
            <w:vAlign w:val="bottom"/>
            <w:shd w:val="clear" w:color="auto" w:fill="CFF0FC"/>
          </w:tcPr>
          <w:p>
            <w:pPr>
              <w:spacing w:after="0"/>
              <w:rPr>
                <w:sz w:val="16"/>
                <w:szCs w:val="16"/>
                <w:color w:val="auto"/>
              </w:rPr>
            </w:pP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15,221</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gridSpan w:val="3"/>
          </w:tcPr>
          <w:p>
            <w:pPr>
              <w:spacing w:after="0"/>
              <w:rPr>
                <w:sz w:val="20"/>
                <w:szCs w:val="20"/>
                <w:color w:val="auto"/>
              </w:rPr>
            </w:pPr>
            <w:r>
              <w:rPr>
                <w:rFonts w:ascii="Arial" w:cs="Arial" w:eastAsia="Arial" w:hAnsi="Arial"/>
                <w:sz w:val="14"/>
                <w:szCs w:val="14"/>
                <w:color w:val="auto"/>
              </w:rPr>
              <w:t>Net charge-offs</w:t>
            </w:r>
          </w:p>
        </w:tc>
        <w:tc>
          <w:tcPr>
            <w:tcW w:w="3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w:t>
            </w:r>
          </w:p>
        </w:tc>
        <w:tc>
          <w:tcPr>
            <w:tcW w:w="160" w:type="dxa"/>
            <w:vAlign w:val="bottom"/>
          </w:tcPr>
          <w:p>
            <w:pPr>
              <w:spacing w:after="0"/>
              <w:rPr>
                <w:sz w:val="16"/>
                <w:szCs w:val="16"/>
                <w:color w:val="auto"/>
              </w:rPr>
            </w:pPr>
          </w:p>
        </w:tc>
        <w:tc>
          <w:tcPr>
            <w:tcW w:w="500" w:type="dxa"/>
            <w:vAlign w:val="bottom"/>
            <w:gridSpan w:val="2"/>
          </w:tcPr>
          <w:p>
            <w:pPr>
              <w:jc w:val="right"/>
              <w:ind w:right="19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2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16"/>
                <w:szCs w:val="16"/>
                <w:color w:val="auto"/>
              </w:rPr>
            </w:pPr>
          </w:p>
        </w:tc>
        <w:tc>
          <w:tcPr>
            <w:tcW w:w="4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202</w:t>
            </w:r>
          </w:p>
        </w:tc>
        <w:tc>
          <w:tcPr>
            <w:tcW w:w="220" w:type="dxa"/>
            <w:vAlign w:val="bottom"/>
          </w:tcPr>
          <w:p>
            <w:pPr>
              <w:spacing w:after="0"/>
              <w:rPr>
                <w:sz w:val="16"/>
                <w:szCs w:val="16"/>
                <w:color w:val="auto"/>
              </w:rPr>
            </w:pP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3340" w:type="dxa"/>
            <w:vAlign w:val="bottom"/>
            <w:gridSpan w:val="3"/>
            <w:shd w:val="clear" w:color="auto" w:fill="CFF0FC"/>
          </w:tcPr>
          <w:p>
            <w:pPr>
              <w:spacing w:after="0" w:line="189" w:lineRule="exact"/>
              <w:rPr>
                <w:sz w:val="20"/>
                <w:szCs w:val="20"/>
                <w:color w:val="auto"/>
              </w:rPr>
            </w:pPr>
            <w:r>
              <w:rPr>
                <w:rFonts w:ascii="Arial" w:cs="Arial" w:eastAsia="Arial" w:hAnsi="Arial"/>
                <w:sz w:val="14"/>
                <w:szCs w:val="14"/>
                <w:color w:val="auto"/>
              </w:rPr>
              <w:t>Allowance coverage of charge-offs (annualized)</w:t>
            </w:r>
            <w:r>
              <w:rPr>
                <w:rFonts w:ascii="Arial" w:cs="Arial" w:eastAsia="Arial" w:hAnsi="Arial"/>
                <w:sz w:val="19"/>
                <w:szCs w:val="19"/>
                <w:color w:val="auto"/>
                <w:vertAlign w:val="superscript"/>
              </w:rPr>
              <w:t>(1)</w:t>
            </w: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gridSpan w:val="3"/>
          </w:tcPr>
          <w:p>
            <w:pPr>
              <w:ind w:left="60"/>
              <w:spacing w:after="0"/>
              <w:rPr>
                <w:sz w:val="20"/>
                <w:szCs w:val="20"/>
                <w:color w:val="auto"/>
              </w:rPr>
            </w:pPr>
            <w:r>
              <w:rPr>
                <w:rFonts w:ascii="Arial" w:cs="Arial" w:eastAsia="Arial" w:hAnsi="Arial"/>
                <w:sz w:val="14"/>
                <w:szCs w:val="14"/>
                <w:color w:val="auto"/>
              </w:rPr>
              <w:t>GAAP</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bottom w:val="single" w:sz="8" w:color="CFF0FC"/>
            </w:tcBorders>
            <w:gridSpan w:val="3"/>
            <w:shd w:val="clear" w:color="auto" w:fill="CFF0FC"/>
          </w:tcPr>
          <w:p>
            <w:pPr>
              <w:ind w:left="60"/>
              <w:spacing w:after="0" w:line="175" w:lineRule="exact"/>
              <w:rPr>
                <w:sz w:val="20"/>
                <w:szCs w:val="20"/>
                <w:color w:val="auto"/>
              </w:rPr>
            </w:pPr>
            <w:r>
              <w:rPr>
                <w:rFonts w:ascii="Arial" w:cs="Arial" w:eastAsia="Arial" w:hAnsi="Arial"/>
                <w:sz w:val="14"/>
                <w:szCs w:val="14"/>
                <w:color w:val="auto"/>
              </w:rPr>
              <w:t>Adjustment</w:t>
            </w:r>
            <w:r>
              <w:rPr>
                <w:rFonts w:ascii="Arial" w:cs="Arial" w:eastAsia="Arial" w:hAnsi="Arial"/>
                <w:sz w:val="19"/>
                <w:szCs w:val="19"/>
                <w:color w:val="auto"/>
                <w:vertAlign w:val="superscript"/>
              </w:rPr>
              <w:t>(2)</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gridSpan w:val="3"/>
          </w:tcPr>
          <w:p>
            <w:pPr>
              <w:ind w:left="60"/>
              <w:spacing w:after="0" w:line="156" w:lineRule="exact"/>
              <w:rPr>
                <w:sz w:val="20"/>
                <w:szCs w:val="20"/>
                <w:color w:val="auto"/>
              </w:rPr>
            </w:pPr>
            <w:r>
              <w:rPr>
                <w:rFonts w:ascii="Arial" w:cs="Arial" w:eastAsia="Arial" w:hAnsi="Arial"/>
                <w:sz w:val="14"/>
                <w:szCs w:val="14"/>
                <w:color w:val="auto"/>
              </w:rPr>
              <w:t>Non-GAAP Financial Measure</w:t>
            </w:r>
            <w:r>
              <w:rPr>
                <w:rFonts w:ascii="Arial" w:cs="Arial" w:eastAsia="Arial" w:hAnsi="Arial"/>
                <w:sz w:val="18"/>
                <w:szCs w:val="18"/>
                <w:color w:val="auto"/>
                <w:vertAlign w:val="superscript"/>
              </w:rPr>
              <w:t>(2)</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340" w:type="dxa"/>
            <w:vAlign w:val="bottom"/>
            <w:gridSpan w:val="3"/>
            <w:shd w:val="clear" w:color="auto" w:fill="CFF0FC"/>
          </w:tcPr>
          <w:p>
            <w:pPr>
              <w:spacing w:after="0" w:line="135" w:lineRule="exact"/>
              <w:rPr>
                <w:sz w:val="20"/>
                <w:szCs w:val="20"/>
                <w:color w:val="auto"/>
              </w:rPr>
            </w:pPr>
            <w:r>
              <w:rPr>
                <w:rFonts w:ascii="Arial" w:cs="Arial" w:eastAsia="Arial" w:hAnsi="Arial"/>
                <w:sz w:val="14"/>
                <w:szCs w:val="14"/>
                <w:color w:val="auto"/>
              </w:rPr>
              <w:t>Allowance as a percentage of the ending total loan</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3"/>
            <w:shd w:val="clear" w:color="auto" w:fill="CFF0FC"/>
          </w:tcPr>
          <w:p>
            <w:pPr>
              <w:ind w:left="80"/>
              <w:spacing w:after="0" w:line="216" w:lineRule="exact"/>
              <w:rPr>
                <w:sz w:val="20"/>
                <w:szCs w:val="20"/>
                <w:color w:val="auto"/>
              </w:rPr>
            </w:pPr>
            <w:r>
              <w:rPr>
                <w:rFonts w:ascii="Arial" w:cs="Arial" w:eastAsia="Arial" w:hAnsi="Arial"/>
                <w:sz w:val="14"/>
                <w:szCs w:val="14"/>
                <w:color w:val="auto"/>
              </w:rPr>
              <w:t>balance</w:t>
            </w:r>
            <w:r>
              <w:rPr>
                <w:rFonts w:ascii="Arial" w:cs="Arial" w:eastAsia="Arial" w:hAnsi="Arial"/>
                <w:sz w:val="19"/>
                <w:szCs w:val="19"/>
                <w:color w:val="auto"/>
                <w:vertAlign w:val="superscript"/>
              </w:rPr>
              <w:t>(1)</w:t>
            </w: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gridSpan w:val="3"/>
          </w:tcPr>
          <w:p>
            <w:pPr>
              <w:ind w:left="60"/>
              <w:spacing w:after="0"/>
              <w:rPr>
                <w:sz w:val="20"/>
                <w:szCs w:val="20"/>
                <w:color w:val="auto"/>
              </w:rPr>
            </w:pPr>
            <w:r>
              <w:rPr>
                <w:rFonts w:ascii="Arial" w:cs="Arial" w:eastAsia="Arial" w:hAnsi="Arial"/>
                <w:sz w:val="14"/>
                <w:szCs w:val="14"/>
                <w:color w:val="auto"/>
              </w:rPr>
              <w:t>GAAP</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bottom w:val="single" w:sz="8" w:color="CFF0FC"/>
            </w:tcBorders>
            <w:gridSpan w:val="3"/>
            <w:shd w:val="clear" w:color="auto" w:fill="CFF0FC"/>
          </w:tcPr>
          <w:p>
            <w:pPr>
              <w:ind w:left="60"/>
              <w:spacing w:after="0" w:line="175" w:lineRule="exact"/>
              <w:rPr>
                <w:sz w:val="20"/>
                <w:szCs w:val="20"/>
                <w:color w:val="auto"/>
              </w:rPr>
            </w:pPr>
            <w:r>
              <w:rPr>
                <w:rFonts w:ascii="Arial" w:cs="Arial" w:eastAsia="Arial" w:hAnsi="Arial"/>
                <w:sz w:val="14"/>
                <w:szCs w:val="14"/>
                <w:color w:val="auto"/>
              </w:rPr>
              <w:t>Adjustment</w:t>
            </w:r>
            <w:r>
              <w:rPr>
                <w:rFonts w:ascii="Arial" w:cs="Arial" w:eastAsia="Arial" w:hAnsi="Arial"/>
                <w:sz w:val="19"/>
                <w:szCs w:val="19"/>
                <w:color w:val="auto"/>
                <w:vertAlign w:val="superscript"/>
              </w:rPr>
              <w:t>(2)</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gridSpan w:val="3"/>
          </w:tcPr>
          <w:p>
            <w:pPr>
              <w:ind w:left="60"/>
              <w:spacing w:after="0" w:line="156" w:lineRule="exact"/>
              <w:rPr>
                <w:sz w:val="20"/>
                <w:szCs w:val="20"/>
                <w:color w:val="auto"/>
              </w:rPr>
            </w:pPr>
            <w:r>
              <w:rPr>
                <w:rFonts w:ascii="Arial" w:cs="Arial" w:eastAsia="Arial" w:hAnsi="Arial"/>
                <w:sz w:val="14"/>
                <w:szCs w:val="14"/>
                <w:color w:val="auto"/>
              </w:rPr>
              <w:t>Non-GAAP Financial Measure</w:t>
            </w:r>
            <w:r>
              <w:rPr>
                <w:rFonts w:ascii="Arial" w:cs="Arial" w:eastAsia="Arial" w:hAnsi="Arial"/>
                <w:sz w:val="18"/>
                <w:szCs w:val="18"/>
                <w:color w:val="auto"/>
                <w:vertAlign w:val="superscript"/>
              </w:rPr>
              <w:t>(2)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3.5%</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340" w:type="dxa"/>
            <w:vAlign w:val="bottom"/>
            <w:gridSpan w:val="3"/>
            <w:shd w:val="clear" w:color="auto" w:fill="CFF0FC"/>
          </w:tcPr>
          <w:p>
            <w:pPr>
              <w:spacing w:after="0" w:line="135" w:lineRule="exact"/>
              <w:rPr>
                <w:sz w:val="20"/>
                <w:szCs w:val="20"/>
                <w:color w:val="auto"/>
              </w:rPr>
            </w:pPr>
            <w:r>
              <w:rPr>
                <w:rFonts w:ascii="Arial" w:cs="Arial" w:eastAsia="Arial" w:hAnsi="Arial"/>
                <w:sz w:val="14"/>
                <w:szCs w:val="14"/>
                <w:color w:val="auto"/>
              </w:rPr>
              <w:t>Allowance as a percentage of the ending loans in</w:t>
            </w: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3"/>
            <w:shd w:val="clear" w:color="auto" w:fill="CFF0FC"/>
          </w:tcPr>
          <w:p>
            <w:pPr>
              <w:ind w:left="80"/>
              <w:spacing w:after="0" w:line="216" w:lineRule="exact"/>
              <w:rPr>
                <w:sz w:val="20"/>
                <w:szCs w:val="20"/>
                <w:color w:val="auto"/>
              </w:rPr>
            </w:pPr>
            <w:r>
              <w:rPr>
                <w:rFonts w:ascii="Arial" w:cs="Arial" w:eastAsia="Arial" w:hAnsi="Arial"/>
                <w:sz w:val="14"/>
                <w:szCs w:val="14"/>
                <w:color w:val="auto"/>
              </w:rPr>
              <w:t>repayment</w:t>
            </w:r>
            <w:r>
              <w:rPr>
                <w:rFonts w:ascii="Arial" w:cs="Arial" w:eastAsia="Arial" w:hAnsi="Arial"/>
                <w:sz w:val="19"/>
                <w:szCs w:val="19"/>
                <w:color w:val="auto"/>
                <w:vertAlign w:val="superscript"/>
              </w:rPr>
              <w:t>(1)</w:t>
            </w: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gridSpan w:val="3"/>
          </w:tcPr>
          <w:p>
            <w:pPr>
              <w:ind w:left="60"/>
              <w:spacing w:after="0"/>
              <w:rPr>
                <w:sz w:val="20"/>
                <w:szCs w:val="20"/>
                <w:color w:val="auto"/>
              </w:rPr>
            </w:pPr>
            <w:r>
              <w:rPr>
                <w:rFonts w:ascii="Arial" w:cs="Arial" w:eastAsia="Arial" w:hAnsi="Arial"/>
                <w:sz w:val="14"/>
                <w:szCs w:val="14"/>
                <w:color w:val="auto"/>
              </w:rPr>
              <w:t>GAAP</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bottom w:val="single" w:sz="8" w:color="CFF0FC"/>
            </w:tcBorders>
            <w:gridSpan w:val="3"/>
            <w:shd w:val="clear" w:color="auto" w:fill="CFF0FC"/>
          </w:tcPr>
          <w:p>
            <w:pPr>
              <w:ind w:left="60"/>
              <w:spacing w:after="0" w:line="175" w:lineRule="exact"/>
              <w:rPr>
                <w:sz w:val="20"/>
                <w:szCs w:val="20"/>
                <w:color w:val="auto"/>
              </w:rPr>
            </w:pPr>
            <w:r>
              <w:rPr>
                <w:rFonts w:ascii="Arial" w:cs="Arial" w:eastAsia="Arial" w:hAnsi="Arial"/>
                <w:sz w:val="14"/>
                <w:szCs w:val="14"/>
                <w:color w:val="auto"/>
              </w:rPr>
              <w:t>Adjustment</w:t>
            </w:r>
            <w:r>
              <w:rPr>
                <w:rFonts w:ascii="Arial" w:cs="Arial" w:eastAsia="Arial" w:hAnsi="Arial"/>
                <w:sz w:val="19"/>
                <w:szCs w:val="19"/>
                <w:color w:val="auto"/>
                <w:vertAlign w:val="superscript"/>
              </w:rPr>
              <w:t>(2)</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gridSpan w:val="3"/>
          </w:tcPr>
          <w:p>
            <w:pPr>
              <w:ind w:left="60"/>
              <w:spacing w:after="0" w:line="156" w:lineRule="exact"/>
              <w:rPr>
                <w:sz w:val="20"/>
                <w:szCs w:val="20"/>
                <w:color w:val="auto"/>
              </w:rPr>
            </w:pPr>
            <w:r>
              <w:rPr>
                <w:rFonts w:ascii="Arial" w:cs="Arial" w:eastAsia="Arial" w:hAnsi="Arial"/>
                <w:sz w:val="14"/>
                <w:szCs w:val="14"/>
                <w:color w:val="auto"/>
              </w:rPr>
              <w:t>Non-GAAP Financial Measure</w:t>
            </w:r>
            <w:r>
              <w:rPr>
                <w:rFonts w:ascii="Arial" w:cs="Arial" w:eastAsia="Arial" w:hAnsi="Arial"/>
                <w:sz w:val="18"/>
                <w:szCs w:val="18"/>
                <w:color w:val="auto"/>
                <w:vertAlign w:val="superscript"/>
              </w:rPr>
              <w:t>(2)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-2390775</wp:posOffset>
            </wp:positionV>
            <wp:extent cx="9461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-2373630</wp:posOffset>
            </wp:positionV>
            <wp:extent cx="9461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-2390775</wp:posOffset>
            </wp:positionV>
            <wp:extent cx="939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-2373630</wp:posOffset>
            </wp:positionV>
            <wp:extent cx="939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-2390775</wp:posOffset>
            </wp:positionV>
            <wp:extent cx="939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-2373630</wp:posOffset>
            </wp:positionV>
            <wp:extent cx="939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-2390775</wp:posOffset>
            </wp:positionV>
            <wp:extent cx="939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-2373630</wp:posOffset>
            </wp:positionV>
            <wp:extent cx="939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-2390775</wp:posOffset>
            </wp:positionV>
            <wp:extent cx="939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-2373630</wp:posOffset>
            </wp:positionV>
            <wp:extent cx="939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-1584960</wp:posOffset>
            </wp:positionV>
            <wp:extent cx="9461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-1584960</wp:posOffset>
            </wp:positionV>
            <wp:extent cx="939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-1584960</wp:posOffset>
            </wp:positionV>
            <wp:extent cx="939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-1584960</wp:posOffset>
            </wp:positionV>
            <wp:extent cx="939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-1584960</wp:posOffset>
            </wp:positionV>
            <wp:extent cx="939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-908050</wp:posOffset>
            </wp:positionV>
            <wp:extent cx="9461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-908050</wp:posOffset>
            </wp:positionV>
            <wp:extent cx="939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-908050</wp:posOffset>
            </wp:positionV>
            <wp:extent cx="939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-908050</wp:posOffset>
            </wp:positionV>
            <wp:extent cx="939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-908050</wp:posOffset>
            </wp:positionV>
            <wp:extent cx="939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-231140</wp:posOffset>
            </wp:positionV>
            <wp:extent cx="9461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-231140</wp:posOffset>
            </wp:positionV>
            <wp:extent cx="939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-231140</wp:posOffset>
            </wp:positionV>
            <wp:extent cx="939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-231140</wp:posOffset>
            </wp:positionV>
            <wp:extent cx="9398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6324600</wp:posOffset>
            </wp:positionH>
            <wp:positionV relativeFrom="paragraph">
              <wp:posOffset>-231140</wp:posOffset>
            </wp:positionV>
            <wp:extent cx="939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5" w:lineRule="exact"/>
        <w:rPr>
          <w:sz w:val="20"/>
          <w:szCs w:val="20"/>
          <w:color w:val="auto"/>
        </w:rPr>
      </w:pPr>
    </w:p>
    <w:p>
      <w:pPr>
        <w:ind w:left="325" w:right="80" w:hanging="325"/>
        <w:spacing w:after="0" w:line="263" w:lineRule="auto"/>
        <w:tabs>
          <w:tab w:leader="none" w:pos="361" w:val="left"/>
        </w:tabs>
        <w:numPr>
          <w:ilvl w:val="0"/>
          <w:numId w:val="34"/>
        </w:numPr>
        <w:rPr>
          <w:rFonts w:ascii="Arial" w:cs="Arial" w:eastAsia="Arial" w:hAnsi="Arial"/>
          <w:sz w:val="8"/>
          <w:szCs w:val="8"/>
          <w:color w:val="auto"/>
        </w:rPr>
      </w:pPr>
      <w:r>
        <w:rPr>
          <w:rFonts w:ascii="Arial" w:cs="Arial" w:eastAsia="Arial" w:hAnsi="Arial"/>
          <w:sz w:val="14"/>
          <w:szCs w:val="14"/>
          <w:color w:val="auto"/>
        </w:rPr>
        <w:t>Three and nine months ended September 30, 2026 exclude $2.4 billion of Private Education Loans that were classified as held for sale as of September 30, 2026 and $235 million of In-School Education Loans held at fair value, and their corresponding charge-offs. Second-quarter 2026 excludes $528 million of Legacy Private Education Loans, and their corresponding charge-offs, that were classified as held for sale as of June 30, 2026.</w:t>
      </w:r>
    </w:p>
    <w:p>
      <w:pPr>
        <w:spacing w:after="0" w:line="118" w:lineRule="exact"/>
        <w:rPr>
          <w:rFonts w:ascii="Arial" w:cs="Arial" w:eastAsia="Arial" w:hAnsi="Arial"/>
          <w:sz w:val="8"/>
          <w:szCs w:val="8"/>
          <w:color w:val="auto"/>
        </w:rPr>
      </w:pPr>
    </w:p>
    <w:p>
      <w:pPr>
        <w:ind w:left="365" w:hanging="365"/>
        <w:spacing w:after="0"/>
        <w:tabs>
          <w:tab w:leader="none" w:pos="365" w:val="left"/>
        </w:tabs>
        <w:numPr>
          <w:ilvl w:val="0"/>
          <w:numId w:val="34"/>
        </w:numPr>
        <w:rPr>
          <w:rFonts w:ascii="Arial" w:cs="Arial" w:eastAsia="Arial" w:hAnsi="Arial"/>
          <w:sz w:val="8"/>
          <w:szCs w:val="8"/>
          <w:color w:val="auto"/>
        </w:rPr>
      </w:pPr>
      <w:r>
        <w:rPr>
          <w:rFonts w:ascii="Arial" w:cs="Arial" w:eastAsia="Arial" w:hAnsi="Arial"/>
          <w:sz w:val="14"/>
          <w:szCs w:val="14"/>
          <w:color w:val="auto"/>
        </w:rPr>
        <w:t>The allowance used for these credit metrics excludes the expected future recoveries on previously fully charged-off loans. See discussion above.</w:t>
      </w:r>
    </w:p>
    <w:p>
      <w:pPr>
        <w:spacing w:after="0" w:line="212" w:lineRule="exact"/>
        <w:rPr>
          <w:sz w:val="20"/>
          <w:szCs w:val="20"/>
          <w:color w:val="auto"/>
        </w:rPr>
      </w:pPr>
    </w:p>
    <w:p>
      <w:pPr>
        <w:ind w:left="9925"/>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479425</wp:posOffset>
            </wp:positionV>
            <wp:extent cx="703770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05"/>
          </w:cols>
          <w:pgMar w:left="695" w:top="985" w:right="109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lvl w:ilvl="1">
      <w:lvlJc w:val="left"/>
      <w:lvlText w:val="%2"/>
      <w:numFmt w:val="decimal"/>
      <w:start w:val="104"/>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lvl w:ilvl="1">
      <w:lvlJc w:val="left"/>
      <w:lvlText w:val="o"/>
      <w:numFmt w:val="bullet"/>
      <w:start w:val="1"/>
    </w:lvl>
  </w:abstractNum>
  <w:abstractNum w:abstractNumId="6">
    <w:nsid w:val="436C6125"/>
    <w:multiLevelType w:val="hybridMultilevel"/>
    <w:lvl w:ilvl="0">
      <w:lvlJc w:val="left"/>
      <w:lvlText w:val="•"/>
      <w:numFmt w:val="bullet"/>
      <w:start w:val="1"/>
    </w:lvl>
    <w:lvl w:ilvl="1">
      <w:lvlJc w:val="left"/>
      <w:lvlText w:val="o"/>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lvl w:ilvl="1">
      <w:lvlJc w:val="left"/>
      <w:lvlText w:val="o"/>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lvl w:ilvl="1">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4"/>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2"/>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decimal"/>
      <w:start w:val="2"/>
    </w:lvl>
  </w:abstractNum>
  <w:abstractNum w:abstractNumId="22">
    <w:nsid w:val="836C40E"/>
    <w:multiLevelType w:val="hybridMultilevel"/>
    <w:lvl w:ilvl="0">
      <w:lvlJc w:val="left"/>
      <w:lvlText w:val="(%1)"/>
      <w:numFmt w:val="decimal"/>
      <w:start w:val="2"/>
    </w:lvl>
  </w:abstractNum>
  <w:abstractNum w:abstractNumId="23">
    <w:nsid w:val="2901D82"/>
    <w:multiLevelType w:val="hybridMultilevel"/>
    <w:lvl w:ilvl="0">
      <w:lvlJc w:val="left"/>
      <w:lvlText w:val="(%1)"/>
      <w:numFmt w:val="decimal"/>
      <w:start w:val="2"/>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2"/>
    </w:lvl>
  </w:abstractNum>
  <w:abstractNum w:abstractNumId="27">
    <w:nsid w:val="7C3DBD3D"/>
    <w:multiLevelType w:val="hybridMultilevel"/>
    <w:lvl w:ilvl="0">
      <w:lvlJc w:val="left"/>
      <w:lvlText w:val="%1"/>
      <w:numFmt w:val="decimal"/>
      <w:start w:val="1"/>
    </w:lvl>
    <w:lvl w:ilvl="1">
      <w:lvlJc w:val="left"/>
      <w:lvlText w:val="(%2)"/>
      <w:numFmt w:val="lowerLetter"/>
      <w:start w:val="1"/>
    </w:lvl>
  </w:abstractNum>
  <w:abstractNum w:abstractNumId="28">
    <w:nsid w:val="737B8DDC"/>
    <w:multiLevelType w:val="hybridMultilevel"/>
    <w:lvl w:ilvl="0">
      <w:lvlJc w:val="left"/>
      <w:lvlText w:val="(%1)"/>
      <w:numFmt w:val="decimal"/>
      <w:start w:val="3"/>
    </w:lvl>
    <w:lvl w:ilvl="1">
      <w:lvlJc w:val="left"/>
      <w:lvlText w:val="%2"/>
      <w:numFmt w:val="lowerLetter"/>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2"/>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2026-11-04T15:49:23Z</dcterms:created>
  <dcterms:modified xsi:type="dcterms:W3CDTF">2026-11-04T15:49:23Z</dcterms:modified>
</cp:coreProperties>
</file>