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rPr>
      </w:pPr>
      <w:r>
        <w:rPr>
          <w:rFonts w:ascii="Times New Roman" w:hAnsi="Times New Roman"/>
          <w:b/>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September 24, 2026</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sz w:val="20"/>
        </w:rPr>
      </w:pPr>
      <w:r>
        <w:rPr>
          <w:sz w:val="20"/>
        </w:rPr>
      </w:r>
    </w:p>
    <w:tbl>
      <w:tblPr>
        <w:tblW w:w="4310" w:type="dxa"/>
        <w:jc w:val="left"/>
        <w:tblInd w:w="0" w:type="dxa"/>
        <w:tblLayout w:type="fixed"/>
        <w:tblCellMar>
          <w:top w:w="0" w:type="dxa"/>
          <w:left w:w="0" w:type="dxa"/>
          <w:bottom w:w="28" w:type="dxa"/>
          <w:right w:w="0" w:type="dxa"/>
        </w:tblCellMar>
      </w:tblPr>
      <w:tblGrid>
        <w:gridCol w:w="4310"/>
      </w:tblGrid>
      <w:tr>
        <w:trPr/>
        <w:tc>
          <w:tcPr>
            <w:tcW w:w="4310" w:type="dxa"/>
            <w:tcBorders>
              <w:bottom w:val="single" w:sz="12" w:space="0" w:color="000000"/>
            </w:tcBorders>
            <w:vAlign w:val="center"/>
          </w:tcPr>
          <w:p>
            <w:pPr>
              <w:pStyle w:val="TableContents"/>
              <w:bidi w:val="0"/>
              <w:spacing w:before="0" w:after="0"/>
              <w:jc w:val="center"/>
              <w:rPr>
                <w:rFonts w:ascii="Times New Roman" w:hAnsi="Times New Roman"/>
                <w:b/>
                <w:sz w:val="48"/>
              </w:rPr>
            </w:pPr>
            <w:r>
              <w:rPr>
                <w:rFonts w:ascii="Times New Roman" w:hAnsi="Times New Roman"/>
                <w:b/>
                <w:sz w:val="48"/>
              </w:rPr>
              <w:t>Navient Corporation</w:t>
            </w:r>
          </w:p>
        </w:tc>
      </w:tr>
      <w:tr>
        <w:trPr/>
        <w:tc>
          <w:tcPr>
            <w:tcW w:w="4310" w:type="dxa"/>
            <w:tcBorders/>
            <w:tcMar>
              <w:bottom w:w="0" w:type="dxa"/>
            </w:tcMar>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(Exact name of registrant as specified in its charter)</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sz w:val="20"/>
        </w:rPr>
      </w:pPr>
      <w:r>
        <w:rPr>
          <w:sz w:val="20"/>
        </w:rPr>
      </w:r>
    </w:p>
    <w:tbl>
      <w:tblPr>
        <w:tblW w:w="8971" w:type="dxa"/>
        <w:jc w:val="left"/>
        <w:tblInd w:w="0" w:type="dxa"/>
        <w:tblLayout w:type="fixed"/>
        <w:tblCellMar>
          <w:top w:w="0" w:type="dxa"/>
          <w:left w:w="0" w:type="dxa"/>
          <w:bottom w:w="28" w:type="dxa"/>
          <w:right w:w="0" w:type="dxa"/>
        </w:tblCellMar>
      </w:tblPr>
      <w:tblGrid>
        <w:gridCol w:w="3755"/>
        <w:gridCol w:w="23"/>
        <w:gridCol w:w="2300"/>
        <w:gridCol w:w="23"/>
        <w:gridCol w:w="2870"/>
      </w:tblGrid>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Delaware</w:t>
            </w:r>
          </w:p>
        </w:tc>
        <w:tc>
          <w:tcPr>
            <w:tcW w:w="23" w:type="dxa"/>
            <w:tcBorders/>
            <w:tcMar>
              <w:bottom w:w="0" w:type="dxa"/>
            </w:tcMar>
            <w:vAlign w:val="center"/>
          </w:tcPr>
          <w:p>
            <w:pPr>
              <w:pStyle w:val="TableContents"/>
              <w:bidi w:val="0"/>
              <w:spacing w:before="0" w:after="283"/>
              <w:jc w:val="left"/>
              <w:rPr/>
            </w:pPr>
            <w:r>
              <w:rPr/>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001-36228</w:t>
            </w:r>
          </w:p>
        </w:tc>
        <w:tc>
          <w:tcPr>
            <w:tcW w:w="23" w:type="dxa"/>
            <w:tcBorders/>
            <w:tcMar>
              <w:bottom w:w="0" w:type="dxa"/>
            </w:tcMar>
            <w:vAlign w:val="center"/>
          </w:tcPr>
          <w:p>
            <w:pPr>
              <w:pStyle w:val="TableContents"/>
              <w:bidi w:val="0"/>
              <w:spacing w:before="0" w:after="283"/>
              <w:jc w:val="left"/>
              <w:rPr/>
            </w:pPr>
            <w:r>
              <w:rPr/>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46-4054283</w:t>
            </w:r>
          </w:p>
        </w:tc>
      </w:tr>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(State or other jurisdiction of incorporation)</w:t>
            </w:r>
          </w:p>
        </w:tc>
        <w:tc>
          <w:tcPr>
            <w:tcW w:w="23" w:type="dxa"/>
            <w:tcBorders/>
            <w:tcMar>
              <w:bottom w:w="0" w:type="dxa"/>
            </w:tcMar>
            <w:vAlign w:val="center"/>
          </w:tcPr>
          <w:p>
            <w:pPr>
              <w:pStyle w:val="TableContents"/>
              <w:bidi w:val="0"/>
              <w:spacing w:before="0" w:after="283"/>
              <w:jc w:val="left"/>
              <w:rPr/>
            </w:pPr>
            <w:r>
              <w:rPr/>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(Commission File Number)</w:t>
            </w:r>
          </w:p>
        </w:tc>
        <w:tc>
          <w:tcPr>
            <w:tcW w:w="23" w:type="dxa"/>
            <w:tcBorders/>
            <w:tcMar>
              <w:bottom w:w="0" w:type="dxa"/>
            </w:tcMar>
            <w:vAlign w:val="center"/>
          </w:tcPr>
          <w:p>
            <w:pPr>
              <w:pStyle w:val="TableContents"/>
              <w:bidi w:val="0"/>
              <w:spacing w:before="0" w:after="283"/>
              <w:jc w:val="left"/>
              <w:rPr/>
            </w:pPr>
            <w:r>
              <w:rPr/>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(IRS Employer Identification No.)</w:t>
            </w:r>
          </w:p>
        </w:tc>
      </w:tr>
    </w:tbl>
    <w:p>
      <w:pPr>
        <w:pStyle w:val="TextBody"/>
        <w:bidi w:val="0"/>
        <w:spacing w:before="0" w:after="0"/>
        <w:jc w:val="left"/>
        <w:rPr>
          <w:sz w:val="20"/>
        </w:rPr>
      </w:pPr>
      <w:r>
        <w:rPr>
          <w:sz w:val="20"/>
        </w:rPr>
      </w:r>
    </w:p>
    <w:tbl>
      <w:tblPr>
        <w:tblW w:w="4938" w:type="dxa"/>
        <w:jc w:val="left"/>
        <w:tblInd w:w="0" w:type="dxa"/>
        <w:tblLayout w:type="fixed"/>
        <w:tblCellMar>
          <w:top w:w="0" w:type="dxa"/>
          <w:left w:w="0" w:type="dxa"/>
          <w:bottom w:w="28" w:type="dxa"/>
          <w:right w:w="0" w:type="dxa"/>
        </w:tblCellMar>
      </w:tblPr>
      <w:tblGrid>
        <w:gridCol w:w="3995"/>
        <w:gridCol w:w="23"/>
        <w:gridCol w:w="920"/>
      </w:tblGrid>
      <w:tr>
        <w:trPr/>
        <w:tc>
          <w:tcPr>
            <w:tcW w:w="3995"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13865 Sunrise Valley Drive, Herndon, Virginia</w:t>
            </w:r>
          </w:p>
        </w:tc>
        <w:tc>
          <w:tcPr>
            <w:tcW w:w="23" w:type="dxa"/>
            <w:tcBorders/>
            <w:tcMar>
              <w:bottom w:w="0" w:type="dxa"/>
            </w:tcMar>
            <w:vAlign w:val="center"/>
          </w:tcPr>
          <w:p>
            <w:pPr>
              <w:pStyle w:val="TableContents"/>
              <w:bidi w:val="0"/>
              <w:spacing w:before="0" w:after="283"/>
              <w:jc w:val="left"/>
              <w:rPr/>
            </w:pPr>
            <w:r>
              <w:rPr/>
            </w:r>
          </w:p>
        </w:tc>
        <w:tc>
          <w:tcPr>
            <w:tcW w:w="920" w:type="dxa"/>
            <w:tcBorders>
              <w:bottom w:val="single" w:sz="12" w:space="0" w:color="000000"/>
            </w:tcBorders>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20171</w:t>
            </w:r>
          </w:p>
        </w:tc>
      </w:tr>
      <w:tr>
        <w:trPr/>
        <w:tc>
          <w:tcPr>
            <w:tcW w:w="3995" w:type="dxa"/>
            <w:tcBorders/>
            <w:tcMar>
              <w:bottom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(Address of principal executive offices)</w:t>
            </w:r>
          </w:p>
        </w:tc>
        <w:tc>
          <w:tcPr>
            <w:tcW w:w="23" w:type="dxa"/>
            <w:tcBorders/>
            <w:tcMar>
              <w:bottom w:w="0" w:type="dxa"/>
            </w:tcMar>
            <w:vAlign w:val="center"/>
          </w:tcPr>
          <w:p>
            <w:pPr>
              <w:pStyle w:val="TableContents"/>
              <w:bidi w:val="0"/>
              <w:spacing w:before="0" w:after="283"/>
              <w:jc w:val="left"/>
              <w:rPr/>
            </w:pPr>
            <w:r>
              <w:rPr/>
            </w:r>
          </w:p>
        </w:tc>
        <w:tc>
          <w:tcPr>
            <w:tcW w:w="920" w:type="dxa"/>
            <w:tcBorders/>
            <w:tcMar>
              <w:bottom w:w="0"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Registrant’s telephone number, including area code (302) 283-8000</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Not Applicable</w:t>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(Former name or former address, if changed since last report)</w:t>
      </w:r>
    </w:p>
    <w:p>
      <w:pPr>
        <w:pStyle w:val="TextBody"/>
        <w:bidi w:val="0"/>
        <w:spacing w:before="0" w:after="0"/>
        <w:jc w:val="center"/>
        <w:rPr>
          <w:rFonts w:ascii="Times New Roman" w:hAnsi="Times New Roman"/>
          <w:b/>
          <w:color w:val="212529"/>
          <w:sz w:val="20"/>
        </w:rPr>
      </w:pPr>
      <w:r>
        <w:rPr>
          <w:rFonts w:ascii="Times New Roman" w:hAnsi="Times New Roman"/>
          <w:b/>
          <w:color w:val="212529"/>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center"/>
              <w:rPr>
                <w:color w:val="212529"/>
              </w:rPr>
            </w:pPr>
            <w:r>
              <w:rPr>
                <w:color w:val="212529"/>
              </w:rPr>
              <w:t>☐</w:t>
            </w:r>
          </w:p>
        </w:tc>
        <w:tc>
          <w:tcPr>
            <w:tcW w:w="729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center"/>
              <w:rPr>
                <w:color w:val="212529"/>
              </w:rPr>
            </w:pPr>
            <w:r>
              <w:rPr>
                <w:color w:val="212529"/>
              </w:rPr>
              <w:t>☐</w:t>
            </w:r>
          </w:p>
        </w:tc>
        <w:tc>
          <w:tcPr>
            <w:tcW w:w="732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color w:val="212529"/>
              </w:rPr>
            </w:pPr>
            <w:r>
              <w:rPr>
                <w:color w:val="212529"/>
              </w:rPr>
              <w:t>☐</w:t>
            </w:r>
          </w:p>
        </w:tc>
        <w:tc>
          <w:tcPr>
            <w:tcW w:w="906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center"/>
              <w:rPr>
                <w:color w:val="212529"/>
              </w:rPr>
            </w:pPr>
            <w:r>
              <w:rPr>
                <w:color w:val="212529"/>
              </w:rPr>
              <w:t>☐</w:t>
            </w:r>
          </w:p>
        </w:tc>
        <w:tc>
          <w:tcPr>
            <w:tcW w:w="900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Securities registered pursuant to Section 12(b) of the Act:</w:t>
      </w:r>
    </w:p>
    <w:p>
      <w:pPr>
        <w:pStyle w:val="TextBody"/>
        <w:bidi w:val="0"/>
        <w:spacing w:before="0" w:after="0"/>
        <w:jc w:val="left"/>
        <w:rPr>
          <w:sz w:val="20"/>
        </w:rPr>
      </w:pPr>
      <w:r>
        <w:rPr>
          <w:sz w:val="20"/>
        </w:rPr>
      </w:r>
    </w:p>
    <w:tbl>
      <w:tblPr>
        <w:tblW w:w="8550" w:type="dxa"/>
        <w:jc w:val="left"/>
        <w:tblInd w:w="-15" w:type="dxa"/>
        <w:tblLayout w:type="fixed"/>
        <w:tblCellMar>
          <w:top w:w="28" w:type="dxa"/>
          <w:left w:w="28" w:type="dxa"/>
          <w:bottom w:w="0" w:type="dxa"/>
          <w:right w:w="28" w:type="dxa"/>
        </w:tblCellMar>
      </w:tblPr>
      <w:tblGrid>
        <w:gridCol w:w="3440"/>
        <w:gridCol w:w="1535"/>
        <w:gridCol w:w="3575"/>
      </w:tblGrid>
      <w:tr>
        <w:trPr/>
        <w:tc>
          <w:tcPr>
            <w:tcW w:w="3440"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Title of each class</w:t>
            </w:r>
          </w:p>
        </w:tc>
        <w:tc>
          <w:tcPr>
            <w:tcW w:w="1535"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Trading Symbol(s)</w:t>
            </w:r>
          </w:p>
        </w:tc>
        <w:tc>
          <w:tcPr>
            <w:tcW w:w="3575"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color w:val="212529"/>
                <w:sz w:val="20"/>
              </w:rPr>
            </w:pPr>
            <w:r>
              <w:rPr>
                <w:rFonts w:ascii="Times New Roman" w:hAnsi="Times New Roman"/>
                <w:color w:val="212529"/>
                <w:sz w:val="20"/>
              </w:rPr>
              <w:t>Name of each exchange on which registered</w:t>
            </w:r>
          </w:p>
        </w:tc>
      </w:tr>
      <w:tr>
        <w:trPr/>
        <w:tc>
          <w:tcPr>
            <w:tcW w:w="344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r>
          </w:p>
        </w:tc>
        <w:tc>
          <w:tcPr>
            <w:tcW w:w="153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r>
          </w:p>
        </w:tc>
        <w:tc>
          <w:tcPr>
            <w:tcW w:w="357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283"/>
              <w:jc w:val="left"/>
              <w:rPr/>
            </w:pPr>
            <w:r>
              <w:rPr/>
            </w:r>
          </w:p>
        </w:tc>
      </w:tr>
      <w:tr>
        <w:trPr/>
        <w:tc>
          <w:tcPr>
            <w:tcW w:w="344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Common stock, par value $.01 per share</w:t>
            </w:r>
          </w:p>
        </w:tc>
        <w:tc>
          <w:tcPr>
            <w:tcW w:w="153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NAVI</w:t>
            </w:r>
          </w:p>
        </w:tc>
        <w:tc>
          <w:tcPr>
            <w:tcW w:w="357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r>
        <w:trPr/>
        <w:tc>
          <w:tcPr>
            <w:tcW w:w="344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6% Senior Notes due December 15, 2043</w:t>
            </w:r>
          </w:p>
        </w:tc>
        <w:tc>
          <w:tcPr>
            <w:tcW w:w="153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JSM</w:t>
            </w:r>
          </w:p>
        </w:tc>
        <w:tc>
          <w:tcPr>
            <w:tcW w:w="357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r>
        <w:trPr/>
        <w:tc>
          <w:tcPr>
            <w:tcW w:w="344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Preferred Stock Purchase Rights</w:t>
            </w:r>
          </w:p>
        </w:tc>
        <w:tc>
          <w:tcPr>
            <w:tcW w:w="153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None</w:t>
            </w:r>
          </w:p>
        </w:tc>
        <w:tc>
          <w:tcPr>
            <w:tcW w:w="357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b/>
                <w:color w:val="212529"/>
                <w:sz w:val="20"/>
              </w:rPr>
            </w:pPr>
            <w:r>
              <w:rPr>
                <w:rFonts w:ascii="Times New Roman" w:hAnsi="Times New Roman"/>
                <w:b/>
                <w:color w:val="212529"/>
                <w:sz w:val="20"/>
              </w:rPr>
              <w:t>The 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212529"/>
          <w:sz w:val="20"/>
          <w:shd w:fill="FFFFFF" w:val="clear"/>
        </w:rPr>
      </w:pPr>
      <w:r>
        <w:rPr>
          <w:rFonts w:ascii="Times New Roman" w:hAnsi="Times New Roman"/>
          <w:color w:val="212529"/>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212529"/>
          <w:sz w:val="20"/>
          <w:shd w:fill="FFFFFF" w:val="clear"/>
        </w:rPr>
      </w:pPr>
      <w:r>
        <w:rPr>
          <w:rFonts w:ascii="Times New Roman" w:hAnsi="Times New Roman"/>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212529"/>
          <w:sz w:val="20"/>
        </w:rPr>
      </w:pPr>
      <w:r>
        <w:rPr>
          <w:rFonts w:ascii="Times New Roman" w:hAnsi="Times New Roman"/>
          <w:color w:val="212529"/>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851"/>
        <w:gridCol w:w="9354"/>
      </w:tblGrid>
      <w:tr>
        <w:trPr/>
        <w:tc>
          <w:tcPr>
            <w:tcW w:w="851" w:type="dxa"/>
            <w:tcBorders/>
            <w:vAlign w:val="center"/>
          </w:tcPr>
          <w:p>
            <w:pPr>
              <w:pStyle w:val="TableContents"/>
              <w:bidi w:val="0"/>
              <w:spacing w:before="0" w:after="0"/>
              <w:ind w:left="1" w:right="0" w:hanging="0"/>
              <w:jc w:val="left"/>
              <w:rPr>
                <w:rFonts w:ascii="Times New Roman" w:hAnsi="Times New Roman"/>
                <w:b/>
                <w:sz w:val="20"/>
              </w:rPr>
            </w:pPr>
            <w:r>
              <w:rPr>
                <w:rFonts w:ascii="Times New Roman" w:hAnsi="Times New Roman"/>
                <w:b/>
                <w:sz w:val="20"/>
              </w:rPr>
              <w:t>ITEM 5.02</w:t>
            </w:r>
          </w:p>
        </w:tc>
        <w:tc>
          <w:tcPr>
            <w:tcW w:w="9354" w:type="dxa"/>
            <w:tcBorders/>
            <w:vAlign w:val="center"/>
          </w:tcPr>
          <w:p>
            <w:pPr>
              <w:pStyle w:val="TableContents"/>
              <w:bidi w:val="0"/>
              <w:spacing w:before="0" w:after="0"/>
              <w:ind w:left="1" w:right="0" w:hanging="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212529"/>
          <w:sz w:val="20"/>
          <w:shd w:fill="FFFFFF" w:val="clear"/>
        </w:rPr>
      </w:pPr>
      <w:r>
        <w:rPr>
          <w:rFonts w:ascii="Times New Roman" w:hAnsi="Times New Roman"/>
          <w:color w:val="212529"/>
          <w:sz w:val="20"/>
          <w:shd w:fill="FFFFFF" w:val="clear"/>
        </w:rPr>
        <w:t>On September 24, 2026, the Board of Directors (the “Board”) of Navient Corporation (the “Company”), upon the recommendation of the Company’s Nominations and Governance Committee, unanimously appointed Diane E. Offereins to the Board effective September 24, 2026. The Board has affirmatively determined that Ms. Offereins meets the qualifications of an independent director under Nasdaq Rule 5605(a)(2) and the Company’s Corporate Governance Guidelines. Navient is not aware of any transactions with Ms. Offereins that would require disclosure under Item 404(a) of Regulation S-K. Ms. Offereins will serve on the Company’s Audit Committee and its Compensation and Human Resources Committee.</w:t>
      </w:r>
    </w:p>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212529"/>
          <w:sz w:val="20"/>
          <w:shd w:fill="FFFFFF" w:val="clear"/>
        </w:rPr>
      </w:pPr>
      <w:r>
        <w:rPr>
          <w:rFonts w:ascii="Times New Roman" w:hAnsi="Times New Roman"/>
          <w:color w:val="212529"/>
          <w:sz w:val="20"/>
          <w:shd w:fill="FFFFFF" w:val="clear"/>
        </w:rPr>
        <w:t>As a non-employee director, Ms. Offereins will participate in the Company’s compensation program for non-employee directors as described under the caption "Director Compensation" in Navient’s 2026 Proxy Statement filed with the Securities and Exchange Commission.</w:t>
      </w:r>
    </w:p>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212529"/>
          <w:sz w:val="20"/>
          <w:shd w:fill="FFFFFF" w:val="clear"/>
        </w:rPr>
      </w:pPr>
      <w:r>
        <w:rPr>
          <w:rFonts w:ascii="Times New Roman" w:hAnsi="Times New Roman"/>
          <w:color w:val="212529"/>
          <w:sz w:val="20"/>
          <w:shd w:fill="FFFFFF" w:val="clear"/>
        </w:rPr>
        <w:t>The information contained in, or incorporated into, Item 8.01, including Exhibit 99.1 attached hereto,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jc w:val="left"/>
        <w:rPr>
          <w:sz w:val="20"/>
        </w:rPr>
      </w:pPr>
      <w:r>
        <w:rPr>
          <w:sz w:val="20"/>
        </w:rPr>
      </w:r>
    </w:p>
    <w:tbl>
      <w:tblPr>
        <w:tblW w:w="2710" w:type="dxa"/>
        <w:jc w:val="left"/>
        <w:tblInd w:w="0" w:type="dxa"/>
        <w:tblLayout w:type="fixed"/>
        <w:tblCellMar>
          <w:top w:w="0" w:type="dxa"/>
          <w:left w:w="0" w:type="dxa"/>
          <w:bottom w:w="0" w:type="dxa"/>
          <w:right w:w="0" w:type="dxa"/>
        </w:tblCellMar>
      </w:tblPr>
      <w:tblGrid>
        <w:gridCol w:w="965"/>
        <w:gridCol w:w="1745"/>
      </w:tblGrid>
      <w:tr>
        <w:trPr/>
        <w:tc>
          <w:tcPr>
            <w:tcW w:w="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8.01</w:t>
            </w:r>
          </w:p>
        </w:tc>
        <w:tc>
          <w:tcPr>
            <w:tcW w:w="1745"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OTHER MATTERS</w:t>
            </w:r>
          </w:p>
        </w:tc>
      </w:tr>
    </w:tbl>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212529"/>
          <w:sz w:val="20"/>
          <w:shd w:fill="FFFFFF" w:val="clear"/>
        </w:rPr>
      </w:pPr>
      <w:r>
        <w:rPr>
          <w:rFonts w:ascii="Times New Roman" w:hAnsi="Times New Roman"/>
          <w:color w:val="212529"/>
          <w:sz w:val="20"/>
          <w:shd w:fill="FFFFFF" w:val="clear"/>
        </w:rPr>
        <w:t>On September 25, 2026, the Company issued a news release announcing the appointment of Diane E. Offereins to its Board of Directors effective September 24, 2026. A copy of the news release is furnished herewith as Exhibit 99.1.</w:t>
      </w:r>
    </w:p>
    <w:p>
      <w:pPr>
        <w:pStyle w:val="TextBody"/>
        <w:bidi w:val="0"/>
        <w:spacing w:before="0" w:after="0"/>
        <w:jc w:val="left"/>
        <w:rPr>
          <w:sz w:val="20"/>
        </w:rPr>
      </w:pPr>
      <w:r>
        <w:rPr>
          <w:sz w:val="20"/>
        </w:rPr>
      </w:r>
    </w:p>
    <w:tbl>
      <w:tblPr>
        <w:tblW w:w="3400" w:type="dxa"/>
        <w:jc w:val="left"/>
        <w:tblInd w:w="0" w:type="dxa"/>
        <w:tblLayout w:type="fixed"/>
        <w:tblCellMar>
          <w:top w:w="0" w:type="dxa"/>
          <w:left w:w="0" w:type="dxa"/>
          <w:bottom w:w="0" w:type="dxa"/>
          <w:right w:w="0" w:type="dxa"/>
        </w:tblCellMar>
      </w:tblPr>
      <w:tblGrid>
        <w:gridCol w:w="440"/>
        <w:gridCol w:w="2960"/>
      </w:tblGrid>
      <w:tr>
        <w:trPr/>
        <w:tc>
          <w:tcPr>
            <w:tcW w:w="4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9.01.</w:t>
            </w:r>
          </w:p>
        </w:tc>
        <w:tc>
          <w:tcPr>
            <w:tcW w:w="296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ind w:left="720" w:right="0" w:hanging="720"/>
        <w:jc w:val="left"/>
        <w:rPr>
          <w:rFonts w:ascii="Times New Roman" w:hAnsi="Times New Roman"/>
          <w:b/>
          <w:sz w:val="20"/>
        </w:rPr>
      </w:pPr>
      <w:r>
        <w:rPr>
          <w:rFonts w:ascii="Times New Roman" w:hAnsi="Times New Roman"/>
          <w:b/>
          <w:sz w:val="20"/>
        </w:rPr>
      </w:r>
    </w:p>
    <w:tbl>
      <w:tblPr>
        <w:tblW w:w="7495" w:type="dxa"/>
        <w:jc w:val="left"/>
        <w:tblInd w:w="0" w:type="dxa"/>
        <w:tblLayout w:type="fixed"/>
        <w:tblCellMar>
          <w:top w:w="0" w:type="dxa"/>
          <w:left w:w="0" w:type="dxa"/>
          <w:bottom w:w="28" w:type="dxa"/>
          <w:right w:w="0" w:type="dxa"/>
        </w:tblCellMar>
      </w:tblPr>
      <w:tblGrid>
        <w:gridCol w:w="60"/>
        <w:gridCol w:w="965"/>
        <w:gridCol w:w="6470"/>
      </w:tblGrid>
      <w:tr>
        <w:trPr/>
        <w:tc>
          <w:tcPr>
            <w:tcW w:w="60" w:type="dxa"/>
            <w:tcBorders>
              <w:bottom w:val="single" w:sz="12" w:space="0" w:color="000000"/>
            </w:tcBorders>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No.</w:t>
            </w:r>
          </w:p>
        </w:tc>
        <w:tc>
          <w:tcPr>
            <w:tcW w:w="6470" w:type="dxa"/>
            <w:tcBorders>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w:t>
            </w:r>
          </w:p>
        </w:tc>
      </w:tr>
      <w:tr>
        <w:trPr/>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left"/>
              <w:rPr/>
            </w:pPr>
            <w:hyperlink w:anchor="ef20082662_ex99-1.htm">
              <w:r>
                <w:rPr>
                  <w:rStyle w:val="InternetLink"/>
                  <w:rFonts w:ascii="Times New Roman" w:hAnsi="Times New Roman"/>
                  <w:sz w:val="20"/>
                </w:rPr>
                <w:t>99.1</w:t>
              </w:r>
            </w:hyperlink>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News Release Dated September 24, 2026</w:t>
            </w:r>
          </w:p>
        </w:tc>
      </w:tr>
      <w:tr>
        <w:trPr/>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212529"/>
          <w:sz w:val="20"/>
          <w:shd w:fill="FFFFFF" w:val="clear"/>
        </w:rPr>
      </w:pPr>
      <w:r>
        <w:rPr>
          <w:rFonts w:ascii="Times New Roman" w:hAnsi="Times New Roman"/>
          <w:b/>
          <w:color w:val="212529"/>
          <w:sz w:val="20"/>
          <w:shd w:fill="FFFFFF" w:val="clear"/>
        </w:rPr>
        <w:t>SIGNATURE</w:t>
      </w:r>
    </w:p>
    <w:p>
      <w:pPr>
        <w:pStyle w:val="TextBody"/>
        <w:bidi w:val="0"/>
        <w:spacing w:before="0" w:after="0"/>
        <w:jc w:val="left"/>
        <w:rPr/>
      </w:pPr>
      <w:r>
        <w:rPr/>
      </w:r>
    </w:p>
    <w:p>
      <w:pPr>
        <w:pStyle w:val="TextBody"/>
        <w:bidi w:val="0"/>
        <w:spacing w:before="0" w:after="0"/>
        <w:ind w:left="0" w:right="0" w:firstLine="900"/>
        <w:jc w:val="left"/>
        <w:rPr>
          <w:rFonts w:ascii="Times New Roman" w:hAnsi="Times New Roman"/>
          <w:color w:val="212529"/>
          <w:sz w:val="20"/>
          <w:shd w:fill="FFFFFF" w:val="clear"/>
        </w:rPr>
      </w:pPr>
      <w:r>
        <w:rPr>
          <w:rFonts w:ascii="Times New Roman" w:hAnsi="Times New Roman"/>
          <w:color w:val="212529"/>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014" w:type="dxa"/>
        <w:jc w:val="left"/>
        <w:tblInd w:w="0" w:type="dxa"/>
        <w:tblLayout w:type="fixed"/>
        <w:tblCellMar>
          <w:top w:w="0" w:type="dxa"/>
          <w:left w:w="0" w:type="dxa"/>
          <w:bottom w:w="0" w:type="dxa"/>
          <w:right w:w="0" w:type="dxa"/>
        </w:tblCellMar>
      </w:tblPr>
      <w:tblGrid>
        <w:gridCol w:w="2120"/>
        <w:gridCol w:w="545"/>
        <w:gridCol w:w="3305"/>
        <w:gridCol w:w="44"/>
      </w:tblGrid>
      <w:tr>
        <w:trPr/>
        <w:tc>
          <w:tcPr>
            <w:tcW w:w="2120" w:type="dxa"/>
            <w:tcBorders/>
            <w:vAlign w:val="center"/>
          </w:tcPr>
          <w:p>
            <w:pPr>
              <w:pStyle w:val="TableContents"/>
              <w:bidi w:val="0"/>
              <w:spacing w:before="0" w:after="283"/>
              <w:jc w:val="left"/>
              <w:rPr/>
            </w:pPr>
            <w:r>
              <w:rPr/>
            </w:r>
          </w:p>
        </w:tc>
        <w:tc>
          <w:tcPr>
            <w:tcW w:w="3894" w:type="dxa"/>
            <w:gridSpan w:val="3"/>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NAVIENT CORPORATION</w:t>
            </w:r>
          </w:p>
        </w:tc>
      </w:tr>
      <w:tr>
        <w:trPr/>
        <w:tc>
          <w:tcPr>
            <w:tcW w:w="212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3349" w:type="dxa"/>
            <w:gridSpan w:val="2"/>
            <w:tcBorders/>
            <w:vAlign w:val="center"/>
          </w:tcPr>
          <w:p>
            <w:pPr>
              <w:pStyle w:val="TableContents"/>
              <w:bidi w:val="0"/>
              <w:spacing w:before="0" w:after="283"/>
              <w:jc w:val="left"/>
              <w:rPr/>
            </w:pPr>
            <w:r>
              <w:rPr/>
            </w:r>
          </w:p>
        </w:tc>
      </w:tr>
      <w:tr>
        <w:trPr/>
        <w:tc>
          <w:tcPr>
            <w:tcW w:w="212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By:</w:t>
            </w:r>
          </w:p>
        </w:tc>
        <w:tc>
          <w:tcPr>
            <w:tcW w:w="33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 Matthew Sheldon</w:t>
            </w:r>
          </w:p>
        </w:tc>
        <w:tc>
          <w:tcPr>
            <w:tcW w:w="44" w:type="dxa"/>
            <w:tcBorders/>
            <w:vAlign w:val="center"/>
          </w:tcPr>
          <w:p>
            <w:pPr>
              <w:pStyle w:val="TableContents"/>
              <w:bidi w:val="0"/>
              <w:spacing w:before="0" w:after="283"/>
              <w:jc w:val="left"/>
              <w:rPr/>
            </w:pPr>
            <w:r>
              <w:rPr/>
            </w:r>
          </w:p>
        </w:tc>
      </w:tr>
      <w:tr>
        <w:trPr/>
        <w:tc>
          <w:tcPr>
            <w:tcW w:w="212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Name:</w:t>
            </w:r>
          </w:p>
        </w:tc>
        <w:tc>
          <w:tcPr>
            <w:tcW w:w="3349" w:type="dxa"/>
            <w:gridSpan w:val="2"/>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Matthew Sheldon</w:t>
            </w:r>
          </w:p>
        </w:tc>
      </w:tr>
      <w:tr>
        <w:trPr/>
        <w:tc>
          <w:tcPr>
            <w:tcW w:w="212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Title:</w:t>
            </w:r>
          </w:p>
        </w:tc>
        <w:tc>
          <w:tcPr>
            <w:tcW w:w="3349" w:type="dxa"/>
            <w:gridSpan w:val="2"/>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Senior Vice President &amp; General Counsel</w:t>
            </w:r>
          </w:p>
        </w:tc>
      </w:tr>
      <w:tr>
        <w:trPr/>
        <w:tc>
          <w:tcPr>
            <w:tcW w:w="2120"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3349" w:type="dxa"/>
            <w:gridSpan w:val="2"/>
            <w:tcBorders/>
            <w:vAlign w:val="center"/>
          </w:tcPr>
          <w:p>
            <w:pPr>
              <w:pStyle w:val="TableContents"/>
              <w:bidi w:val="0"/>
              <w:spacing w:before="0" w:after="283"/>
              <w:jc w:val="left"/>
              <w:rPr/>
            </w:pPr>
            <w:r>
              <w:rPr/>
            </w:r>
          </w:p>
        </w:tc>
      </w:tr>
      <w:tr>
        <w:trPr/>
        <w:tc>
          <w:tcPr>
            <w:tcW w:w="2120" w:type="dxa"/>
            <w:tcBorders/>
            <w:vAlign w:val="center"/>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Date: September 25, 2026</w:t>
            </w:r>
          </w:p>
        </w:tc>
        <w:tc>
          <w:tcPr>
            <w:tcW w:w="545" w:type="dxa"/>
            <w:tcBorders/>
            <w:vAlign w:val="center"/>
          </w:tcPr>
          <w:p>
            <w:pPr>
              <w:pStyle w:val="TableContents"/>
              <w:bidi w:val="0"/>
              <w:spacing w:before="0" w:after="283"/>
              <w:jc w:val="left"/>
              <w:rPr/>
            </w:pPr>
            <w:r>
              <w:rPr/>
            </w:r>
          </w:p>
        </w:tc>
        <w:tc>
          <w:tcPr>
            <w:tcW w:w="3349" w:type="dxa"/>
            <w:gridSpan w:val="2"/>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2662_ex99-1.htm"/>
      <w:bookmarkStart w:id="1" w:name="ksef20082662_ex991"/>
      <w:bookmarkStart w:id="2" w:name="ef20082662_ex99-1.htm"/>
      <w:bookmarkStart w:id="3" w:name="ksef20082662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42c2710b7e0b4c098b34033a7f684c7e"/>
      <w:bookmarkStart w:id="5" w:name="z_Hlk32926363"/>
      <w:bookmarkStart w:id="6" w:name="z42c2710b7e0b4c098b34033a7f684c7e"/>
      <w:bookmarkStart w:id="7" w:name="z_Hlk32926363"/>
      <w:bookmarkEnd w:id="6"/>
      <w:bookmarkEnd w:id="7"/>
    </w:p>
    <w:tbl>
      <w:tblPr>
        <w:tblW w:w="3203" w:type="dxa"/>
        <w:jc w:val="center"/>
        <w:tblInd w:w="0" w:type="dxa"/>
        <w:tblLayout w:type="fixed"/>
        <w:tblCellMar>
          <w:top w:w="0" w:type="dxa"/>
          <w:left w:w="0" w:type="dxa"/>
          <w:bottom w:w="0" w:type="dxa"/>
          <w:right w:w="0" w:type="dxa"/>
        </w:tblCellMar>
      </w:tblPr>
      <w:tblGrid>
        <w:gridCol w:w="3180"/>
        <w:gridCol w:w="23"/>
      </w:tblGrid>
      <w:tr>
        <w:trPr/>
        <w:tc>
          <w:tcPr>
            <w:tcW w:w="3180" w:type="dxa"/>
            <w:tcBorders/>
            <w:vAlign w:val="center"/>
          </w:tcPr>
          <w:p>
            <w:pPr>
              <w:pStyle w:val="TableContents"/>
              <w:bidi w:val="0"/>
              <w:spacing w:before="0" w:after="283"/>
              <w:jc w:val="left"/>
              <w:rPr/>
            </w:pPr>
            <w:r>
              <w:rPr/>
              <w:drawing>
                <wp:inline distT="0" distB="0" distL="0" distR="0">
                  <wp:extent cx="20193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37147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r>
          </w:p>
        </w:tc>
      </w:tr>
      <w:tr>
        <w:trPr/>
        <w:tc>
          <w:tcPr>
            <w:tcW w:w="318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NEWS RELEASE</w:t>
            </w:r>
          </w:p>
          <w:p>
            <w:pPr>
              <w:pStyle w:val="TableContents"/>
              <w:bidi w:val="0"/>
              <w:spacing w:before="0" w:after="0"/>
              <w:jc w:val="left"/>
              <w:rPr>
                <w:rFonts w:ascii="Times New Roman" w:hAnsi="Times New Roman"/>
                <w:sz w:val="20"/>
              </w:rPr>
            </w:pPr>
            <w:r>
              <w:rPr>
                <w:rFonts w:ascii="Times New Roman" w:hAnsi="Times New Roman"/>
                <w:sz w:val="20"/>
              </w:rPr>
              <w:t>For immediate release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Navient names Diane Offereins as new board member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HERNDON, Va., September 25, 2026</w:t>
      </w:r>
      <w:r>
        <w:rPr>
          <w:rFonts w:ascii="Times New Roman" w:hAnsi="Times New Roman"/>
          <w:color w:val="000000"/>
          <w:sz w:val="20"/>
        </w:rPr>
        <w:t>—Navient (Nasdaq: NAVI) has appointed Diane Offereins, a well-respected executive with over 35 years of experience in financial services, to the Navient board of directors, effective September 24, 2026.</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We are excited to have Diane join the Navient board and believe she is an excellent addition with her many years of experience in the financial services industry and expertise in executive compensation, information technology and cybersecurity,” said Edward Bramson, CEO and chair of the Navient board of directors.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Offereins is currently serving on the boards of Lendbuzz, Flywire and Brighthouse Financial following over 24 years with Discover Financial Services where she served as Global Chief Information Officer and completing her career as Executive Vice President, Payment Services. She graduated with a BBA in accounting from Loyola University in New Orleans.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appointment comes after the retirement of a board member in June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Navient</w:t>
      </w:r>
    </w:p>
    <w:p>
      <w:pPr>
        <w:pStyle w:val="TextBody"/>
        <w:bidi w:val="0"/>
        <w:spacing w:before="0" w:after="0"/>
        <w:jc w:val="left"/>
        <w:rPr>
          <w:rFonts w:ascii="Times New Roman" w:hAnsi="Times New Roman"/>
          <w:color w:val="000000"/>
          <w:sz w:val="20"/>
        </w:rPr>
      </w:pPr>
      <w:bookmarkStart w:id="8" w:name="z_Hlk218781672"/>
      <w:bookmarkEnd w:id="8"/>
      <w:r>
        <w:rPr>
          <w:rFonts w:ascii="Times New Roman" w:hAnsi="Times New Roman"/>
          <w:color w:val="000000"/>
          <w:sz w:val="20"/>
        </w:rPr>
        <w:t xml:space="preserve">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w:t>
      </w:r>
      <w:r>
        <w:rPr>
          <w:rFonts w:ascii="Times New Roman" w:hAnsi="Times New Roman"/>
          <w:color w:val="000000"/>
          <w:sz w:val="20"/>
          <w:u w:val="single"/>
        </w:rPr>
        <w:t>Navient.com</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Media: Cate Fitzgerald, 703-831-6347, </w:t>
      </w:r>
      <w:r>
        <w:rPr>
          <w:rFonts w:ascii="Times New Roman" w:hAnsi="Times New Roman"/>
          <w:color w:val="000000"/>
          <w:sz w:val="20"/>
          <w:u w:val="single"/>
        </w:rPr>
        <w:t>catherine.fitzgerald@navient.com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Micah Andrews, 571-415-5413, </w:t>
      </w:r>
      <w:r>
        <w:rPr>
          <w:rFonts w:ascii="Times New Roman" w:hAnsi="Times New Roman"/>
          <w:color w:val="000000"/>
          <w:sz w:val="20"/>
          <w:u w:val="single"/>
        </w:rPr>
        <w:t>micah.andrews@navient.com</w:t>
      </w:r>
    </w:p>
    <w:p>
      <w:pPr>
        <w:pStyle w:val="TextBody"/>
        <w:bidi w:val="0"/>
        <w:spacing w:before="0" w:after="0"/>
        <w:ind w:left="0" w:right="0" w:firstLine="900"/>
        <w:jc w:val="left"/>
        <w:rPr>
          <w:rFonts w:ascii="Times New Roman" w:hAnsi="Times New Roman"/>
          <w:color w:val="000000"/>
          <w:sz w:val="20"/>
        </w:rPr>
      </w:pPr>
      <w:r>
        <w:rPr>
          <w:rFonts w:ascii="Times New Roman" w:hAnsi="Times New Roman"/>
          <w:color w:val="000000"/>
          <w:sz w:val="20"/>
        </w:rPr>
        <w:t xml:space="preserve">Roger Yankoupe, 571-592-8569, </w:t>
      </w:r>
      <w:r>
        <w:rPr>
          <w:rFonts w:ascii="Times New Roman" w:hAnsi="Times New Roman"/>
          <w:color w:val="000000"/>
          <w:sz w:val="20"/>
          <w:u w:val="single"/>
        </w:rPr>
        <w:t>roger.yankoupe@navient.com</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922</Words>
  <Characters>5334</Characters>
  <CharactersWithSpaces>6168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