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May 29, 2026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NAVIENT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001-36228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46-4054283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7"/>
          <w:szCs w:val="17"/>
          <w:b w:val="1"/>
          <w:bCs w:val="1"/>
          <w:color w:val="auto"/>
        </w:rPr>
        <w:t>13865 Sunrise Valley Drive, Herndon, Virginia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20171</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283-8000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NAVI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Senior Notes due December 15, 2043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JSM</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On May 29, 2026, Navient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completed a public offering of $500,000,000 aggregate principal amount of its 9.375%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The offering of the Notes was made pursuant to the Company’s shelf registration statement on Form S-3 (Registration No. 333-286944)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May 2, 2025 including a related prospectus and prospectus supplement filed with the SEC on May 2, 2025 and May 27, 2026, respectively.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connection with the offering of the Notes, the Company entered into an Underwriting Agreement, dated May 26, 2026 (the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BofA Securities, Inc., Barclays Capital Inc., J.P. Morgan Securities LLC and RBC Capital Markets, LLC, as representatives of the underwriters named therein (together,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Pursuant to the Underwriting Agreement, the Company agreed to sell the Notes to the Underwriters, and the Underwriters agreed to purchase the Notes for resale to the public. The Underwriting Agreement includes customary representations, warranties and covenants by the Company. It also provides for customary indemnification by each of the Company and the Underwriters against certain liabilities and customary contribution provisions in respect of those liabilities.</w:t>
      </w:r>
    </w:p>
    <w:p>
      <w:pPr>
        <w:spacing w:after="0" w:line="183"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color w:val="auto"/>
        </w:rPr>
        <w:t>The Notes were issued under the base indenture, dated as of July 18, 2014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between the Company and The Bank of New York Mellon, as trustee, as amended by a seventeenth supplemental indenture, dated as of May 29, 2026 (the “</w:t>
      </w:r>
      <w:r>
        <w:rPr>
          <w:rFonts w:ascii="Times New Roman" w:cs="Times New Roman" w:eastAsia="Times New Roman" w:hAnsi="Times New Roman"/>
          <w:sz w:val="18"/>
          <w:szCs w:val="18"/>
          <w:b w:val="1"/>
          <w:bCs w:val="1"/>
          <w:color w:val="auto"/>
        </w:rPr>
        <w:t>Seventeenth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The Underwriting Agreement, the Indenture and the form of global note for the offering are filed as exhibits to this Form 8-K and are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information related to the Indenture in Item 1.01 of this Form 8-K is hereby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9.01(d).</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right="560" w:firstLine="991"/>
        <w:spacing w:after="0" w:line="261" w:lineRule="auto"/>
        <w:rPr>
          <w:sz w:val="20"/>
          <w:szCs w:val="20"/>
          <w:color w:val="auto"/>
        </w:rPr>
      </w:pPr>
      <w:r>
        <w:rPr>
          <w:rFonts w:ascii="Times New Roman" w:cs="Times New Roman" w:eastAsia="Times New Roman" w:hAnsi="Times New Roman"/>
          <w:sz w:val="18"/>
          <w:szCs w:val="18"/>
          <w:color w:val="auto"/>
        </w:rPr>
        <w:t>In reviewing the agreements included as exhibits to this report, please remember they are included to provide you with information regarding their terms and are not intended to provide any other factual or disclosure information about the Company or the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85" w:lineRule="exact"/>
        <w:rPr>
          <w:sz w:val="20"/>
          <w:szCs w:val="20"/>
          <w:color w:val="auto"/>
        </w:rPr>
      </w:pPr>
    </w:p>
    <w:p>
      <w:pPr>
        <w:ind w:left="960" w:right="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in all instances be treated as categorical statements of fact, but rather as a way of allocating the risk to one of the parties if those statements prove to be inaccurate;</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been qualified by disclosures that were made to the other party in connection with the negotiation of the applicable agreement, which disclosures are not necessarily reflected in the agreement;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 a way that is different from what may be viewed as material to you or other investors; and</w:t>
      </w:r>
    </w:p>
    <w:p>
      <w:pPr>
        <w:sectPr>
          <w:pgSz w:w="11900" w:h="16838" w:orient="portrait"/>
          <w:cols w:equalWidth="0" w:num="1">
            <w:col w:w="10980"/>
          </w:cols>
          <w:pgMar w:left="440" w:top="293" w:right="479" w:bottom="1440" w:gutter="0" w:footer="0" w:header="0"/>
        </w:sectPr>
      </w:pPr>
    </w:p>
    <w:bookmarkStart w:id="2" w:name="page3"/>
    <w:bookmarkEnd w:id="2"/>
    <w:p>
      <w:pPr>
        <w:ind w:left="9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were made only as of the date of the applicable agreement or such other date or dates as may be specified in the agreement and are subject to more recent developments.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they were made or at any other time. Additional information about the Company may be found elsewhere in this report and the Company’s other public filings, which are available without charge through the SEC’s website at http://www.sec.gov.</w:t>
      </w:r>
    </w:p>
    <w:p>
      <w:pPr>
        <w:sectPr>
          <w:pgSz w:w="11900" w:h="16838" w:orient="portrait"/>
          <w:cols w:equalWidth="0" w:num="1">
            <w:col w:w="10920"/>
          </w:cols>
          <w:pgMar w:left="440" w:top="297" w:right="539" w:bottom="1440" w:gutter="0" w:footer="0" w:header="0"/>
        </w:sectPr>
      </w:pPr>
    </w:p>
    <w:bookmarkStart w:id="3" w:name="page4"/>
    <w:bookmarkEnd w:id="3"/>
    <w:p>
      <w:pPr>
        <w:ind w:left="144"/>
        <w:spacing w:after="0"/>
        <w:tabs>
          <w:tab w:leader="none" w:pos="5784" w:val="left"/>
        </w:tabs>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ind w:left="1324" w:right="320" w:hanging="1322"/>
        <w:spacing w:after="0" w:line="282" w:lineRule="auto"/>
        <w:tabs>
          <w:tab w:leader="none" w:pos="1304" w:val="left"/>
        </w:tabs>
        <w:rPr>
          <w:sz w:val="20"/>
          <w:szCs w:val="20"/>
          <w:color w:val="auto"/>
        </w:rPr>
      </w:pPr>
      <w:r>
        <w:rPr>
          <w:rFonts w:ascii="Times New Roman" w:cs="Times New Roman" w:eastAsia="Times New Roman" w:hAnsi="Times New Roman"/>
          <w:sz w:val="18"/>
          <w:szCs w:val="18"/>
          <w:color w:val="auto"/>
        </w:rPr>
        <w:t>Exhibit 1.1*</w:t>
      </w:r>
      <w:r>
        <w:rPr>
          <w:sz w:val="20"/>
          <w:szCs w:val="20"/>
          <w:color w:val="auto"/>
        </w:rPr>
        <w:tab/>
      </w:r>
      <w:r>
        <w:rPr>
          <w:rFonts w:ascii="Times New Roman" w:cs="Times New Roman" w:eastAsia="Times New Roman" w:hAnsi="Times New Roman"/>
          <w:sz w:val="18"/>
          <w:szCs w:val="18"/>
          <w:u w:val="single" w:color="auto"/>
          <w:color w:val="0000EE"/>
        </w:rPr>
        <w:t>Underwriting Agreement, dated May 26, 2026, among the Company and BofA Securities, Inc., Barclays Capital Inc., J.P. Morgan Securities LLC and RBC Capital Markets, LLC, as representatives of the Underwriters named therein.</w:t>
      </w:r>
    </w:p>
    <w:p>
      <w:pPr>
        <w:spacing w:after="0" w:line="54" w:lineRule="exact"/>
        <w:rPr>
          <w:sz w:val="20"/>
          <w:szCs w:val="20"/>
          <w:color w:val="auto"/>
        </w:rPr>
      </w:pPr>
    </w:p>
    <w:p>
      <w:pPr>
        <w:ind w:left="1324" w:right="60" w:hanging="1322"/>
        <w:spacing w:after="0" w:line="282" w:lineRule="auto"/>
        <w:tabs>
          <w:tab w:leader="none" w:pos="13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4.1</w:t>
      </w:r>
      <w:r>
        <w:rPr>
          <w:sz w:val="20"/>
          <w:szCs w:val="20"/>
          <w:color w:val="auto"/>
        </w:rPr>
        <w:tab/>
      </w:r>
      <w:hyperlink r:id="rId18">
        <w:r>
          <w:rPr>
            <w:rFonts w:ascii="Times New Roman" w:cs="Times New Roman" w:eastAsia="Times New Roman" w:hAnsi="Times New Roman"/>
            <w:sz w:val="18"/>
            <w:szCs w:val="18"/>
            <w:u w:val="single" w:color="auto"/>
            <w:color w:val="0000EE"/>
          </w:rPr>
          <w:t>Indenture, dated as of July 18, 2014, between the Company and The Bank of New York Mellon, as trustee (Incorporated by reference</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to Exhibit 4.1 of the Company’s Form S-3 filed on July 18, 2014).</w:t>
        </w:r>
      </w:hyperlink>
    </w:p>
    <w:p>
      <w:pPr>
        <w:spacing w:after="0" w:line="54"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Exhibit 4.2*</w:t>
      </w:r>
      <w:r>
        <w:rPr>
          <w:sz w:val="20"/>
          <w:szCs w:val="20"/>
          <w:color w:val="auto"/>
        </w:rPr>
        <w:tab/>
      </w:r>
      <w:r>
        <w:rPr>
          <w:rFonts w:ascii="Times New Roman" w:cs="Times New Roman" w:eastAsia="Times New Roman" w:hAnsi="Times New Roman"/>
          <w:sz w:val="17"/>
          <w:szCs w:val="17"/>
          <w:u w:val="single" w:color="auto"/>
          <w:color w:val="0000EE"/>
        </w:rPr>
        <w:t>Seventeenth Supplemental Indenture, dated as of May 29, 2026, between the Company and The Bank of New York Mellon, as trustee.</w:t>
      </w:r>
    </w:p>
    <w:p>
      <w:pPr>
        <w:spacing w:after="0" w:line="117"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Exhibit 4.3*</w:t>
      </w:r>
      <w:r>
        <w:rPr>
          <w:sz w:val="20"/>
          <w:szCs w:val="20"/>
          <w:color w:val="auto"/>
        </w:rPr>
        <w:tab/>
      </w:r>
      <w:r>
        <w:rPr>
          <w:rFonts w:ascii="Times New Roman" w:cs="Times New Roman" w:eastAsia="Times New Roman" w:hAnsi="Times New Roman"/>
          <w:sz w:val="18"/>
          <w:szCs w:val="18"/>
          <w:u w:val="single" w:color="auto"/>
          <w:color w:val="0000EE"/>
        </w:rPr>
        <w:t>Form of Note for 9.375% Senior Notes due 2031 - included as part of Exhibit 4.2 hereto.</w:t>
      </w:r>
    </w:p>
    <w:p>
      <w:pPr>
        <w:spacing w:after="0" w:line="117"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Exhibit 5.1*</w:t>
      </w:r>
      <w:r>
        <w:rPr>
          <w:sz w:val="20"/>
          <w:szCs w:val="20"/>
          <w:color w:val="auto"/>
        </w:rPr>
        <w:tab/>
      </w:r>
      <w:r>
        <w:rPr>
          <w:rFonts w:ascii="Times New Roman" w:cs="Times New Roman" w:eastAsia="Times New Roman" w:hAnsi="Times New Roman"/>
          <w:sz w:val="17"/>
          <w:szCs w:val="17"/>
          <w:u w:val="single" w:color="auto"/>
          <w:color w:val="0000EE"/>
        </w:rPr>
        <w:t>Opinion of Skadden, Arps, Slate, Meagher &amp; Flom LLP.</w:t>
      </w:r>
    </w:p>
    <w:p>
      <w:pPr>
        <w:spacing w:after="0" w:line="117"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Exhibit 23.1*</w:t>
      </w:r>
      <w:r>
        <w:rPr>
          <w:sz w:val="20"/>
          <w:szCs w:val="20"/>
          <w:color w:val="auto"/>
        </w:rPr>
        <w:tab/>
      </w:r>
      <w:r>
        <w:rPr>
          <w:rFonts w:ascii="Times New Roman" w:cs="Times New Roman" w:eastAsia="Times New Roman" w:hAnsi="Times New Roman"/>
          <w:sz w:val="18"/>
          <w:szCs w:val="18"/>
          <w:u w:val="single" w:color="auto"/>
          <w:color w:val="0000EE"/>
        </w:rPr>
        <w:t>Consent of Skadden, Arps, Slate, Meagher &amp; Flom LLP - included as part of Exhibit 5.1 hereto.</w:t>
      </w:r>
    </w:p>
    <w:p>
      <w:pPr>
        <w:spacing w:after="0" w:line="117" w:lineRule="exact"/>
        <w:rPr>
          <w:sz w:val="20"/>
          <w:szCs w:val="20"/>
          <w:color w:val="auto"/>
        </w:rPr>
      </w:pPr>
    </w:p>
    <w:p>
      <w:pPr>
        <w:ind w:left="1324" w:hanging="1324"/>
        <w:spacing w:after="0"/>
        <w:tabs>
          <w:tab w:leader="none" w:pos="1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84"/>
          </w:cols>
          <w:pgMar w:left="436" w:top="290" w:right="47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Roger Yankoupe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Roger Yankoupe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Closing 8-K</w:t>
      </w:r>
      <w:r>
        <w:rPr>
          <w:rFonts w:ascii="Times New Roman" w:cs="Times New Roman" w:eastAsia="Times New Roman" w:hAnsi="Times New Roman"/>
          <w:sz w:val="18"/>
          <w:szCs w:val="18"/>
          <w:color w:val="auto"/>
        </w:rPr>
        <w:t>]</w:t>
      </w:r>
    </w:p>
    <w:p>
      <w:pPr>
        <w:sectPr>
          <w:pgSz w:w="11900" w:h="16838" w:orient="portrait"/>
          <w:cols w:equalWidth="0" w:num="1">
            <w:col w:w="10840"/>
          </w:cols>
          <w:pgMar w:left="440" w:top="293" w:right="6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9.375% Senior Notes due 2031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 Representative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Representatives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RBC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Brookfield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Vesey Street, 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Navient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issue and sell to the several Underwriters listed in Schedule 1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are collectively acting as the representatives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$500,000,000 principal amount of its 9.375% Senior Notes due 2031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Securities will be issued pursuant to an Indenture, dated as of July 18, 2014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The Bank of New York Mellon,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amended by a Seventeenth</w:t>
      </w:r>
    </w:p>
    <w:p>
      <w:pPr>
        <w:sectPr>
          <w:pgSz w:w="11900" w:h="16838" w:orient="portrait"/>
          <w:cols w:equalWidth="0" w:num="1">
            <w:col w:w="11020"/>
          </w:cols>
          <w:pgMar w:left="440" w:top="117" w:right="43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Indenture to be dated as of May 29, 2026 (the “</w:t>
      </w:r>
      <w:r>
        <w:rPr>
          <w:rFonts w:ascii="Times New Roman" w:cs="Times New Roman" w:eastAsia="Times New Roman" w:hAnsi="Times New Roman"/>
          <w:sz w:val="18"/>
          <w:szCs w:val="18"/>
          <w:u w:val="single" w:color="auto"/>
          <w:color w:val="auto"/>
        </w:rPr>
        <w:t>Seventeenth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Securities, as follows:</w:t>
      </w:r>
    </w:p>
    <w:p>
      <w:pPr>
        <w:spacing w:after="0" w:line="225" w:lineRule="exact"/>
        <w:rPr>
          <w:sz w:val="20"/>
          <w:szCs w:val="20"/>
          <w:color w:val="auto"/>
        </w:rPr>
      </w:pPr>
    </w:p>
    <w:p>
      <w:pPr>
        <w:jc w:val="both"/>
        <w:ind w:firstLine="987"/>
        <w:spacing w:after="0" w:line="252" w:lineRule="auto"/>
        <w:tabs>
          <w:tab w:leader="none" w:pos="11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promulgated thereunder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 registration statement on Form S-3 (File No. 333-286944), including a base prospectus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relating to the Securities. Such registration statement, as amended, including the financial statements, exhibits and schedules thereto, at each time of effectiveness under the Securities Act, and the information, if any, deemed pursuant to Rule 430A, 430B or 430C under the Securities Act to be part of the registration statement at the time of its effectiveness (“</w:t>
      </w:r>
      <w:r>
        <w:rPr>
          <w:rFonts w:ascii="Times New Roman" w:cs="Times New Roman" w:eastAsia="Times New Roman" w:hAnsi="Times New Roman"/>
          <w:sz w:val="18"/>
          <w:szCs w:val="18"/>
          <w:u w:val="single" w:color="auto"/>
          <w:color w:val="auto"/>
        </w:rPr>
        <w:t>Rule 430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as used herein, the term “</w:t>
      </w:r>
      <w:r>
        <w:rPr>
          <w:rFonts w:ascii="Times New Roman" w:cs="Times New Roman" w:eastAsia="Times New Roman" w:hAnsi="Times New Roman"/>
          <w:sz w:val="18"/>
          <w:szCs w:val="18"/>
          <w:u w:val="single" w:color="auto"/>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any preliminary prospectus supplement relating to the Securities that is filed with the Commission pursuant to Rule 424(b), together with the Base Prospectus, and the term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supplement relating to the Securities that is first filed pursuant to Rule 424(b) after the date and time that this Agreement is executed and delivered by the parties hereto, including the Base Prospectus. Any 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deemed to be incorporated by reference therein. Capitalized terms used but not defined herein shall have the meanings given to such terms in the Registration Statement or the Prospectus, as the case may be.</w:t>
      </w:r>
    </w:p>
    <w:p>
      <w:pPr>
        <w:spacing w:after="0" w:line="19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At or prior to 4:52 p.m. (Eastern Time) on May 26, 2026, the time when sales of the Securities were first made (the “</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the Company had prepared the following information (collectively, the “</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a Preliminary Prospectus dated May 26, 2026, and each “free-writing prospectus” (as defined pursuant to Rule 405 under the Securities Act) listed on Annex B hereto.</w:t>
      </w:r>
    </w:p>
    <w:p>
      <w:pPr>
        <w:spacing w:after="0" w:line="176" w:lineRule="exact"/>
        <w:rPr>
          <w:sz w:val="20"/>
          <w:szCs w:val="20"/>
          <w:color w:val="auto"/>
        </w:rPr>
      </w:pPr>
    </w:p>
    <w:p>
      <w:pPr>
        <w:jc w:val="both"/>
        <w:ind w:right="20" w:firstLine="987"/>
        <w:spacing w:after="0" w:line="258" w:lineRule="auto"/>
        <w:tabs>
          <w:tab w:leader="none" w:pos="11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Securities by the Underwriters</w:t>
      </w:r>
      <w:r>
        <w:rPr>
          <w:rFonts w:ascii="Times New Roman" w:cs="Times New Roman" w:eastAsia="Times New Roman" w:hAnsi="Times New Roman"/>
          <w:sz w:val="18"/>
          <w:szCs w:val="18"/>
          <w:color w:val="auto"/>
        </w:rPr>
        <w:t>. (a)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the sum of (i) 99.125% of the principal amount thereof plus (ii) accrued interest, if any, from May 29, 2026 to the Closing Date (as defined below). The</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will not be obligated to deliver any of the Securities except upon payment for all the Securities to be purchased as provided herein.</w:t>
      </w:r>
    </w:p>
    <w:p>
      <w:pPr>
        <w:spacing w:after="0" w:line="225" w:lineRule="exact"/>
        <w:rPr>
          <w:sz w:val="20"/>
          <w:szCs w:val="20"/>
          <w:color w:val="auto"/>
        </w:rPr>
      </w:pPr>
    </w:p>
    <w:p>
      <w:pPr>
        <w:jc w:val="both"/>
        <w:ind w:firstLine="987"/>
        <w:spacing w:after="0" w:line="261"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spacing w:after="0" w:line="179"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and delivery of the Securities will be made at the offices of Skadden, Arps, Slate, Meagher &amp; Flom LLP, One Manhattan West, New York, New York 10001 at 10:00 a.m., New York City time, on May 29, 2026,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account(s) specified by the Company to the Representatives against delivery to the nominee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for the account of the Underwriters, of one or more global notes representing the Securities (collectively, the “</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with any transfer taxes payable in connection with the sale of the Securities duly paid by the Company.</w:t>
      </w:r>
    </w:p>
    <w:p>
      <w:pPr>
        <w:spacing w:after="0" w:line="179" w:lineRule="exact"/>
        <w:rPr>
          <w:rFonts w:ascii="Times New Roman" w:cs="Times New Roman" w:eastAsia="Times New Roman" w:hAnsi="Times New Roman"/>
          <w:sz w:val="18"/>
          <w:szCs w:val="18"/>
          <w:color w:val="auto"/>
        </w:rPr>
      </w:pPr>
    </w:p>
    <w:p>
      <w:pPr>
        <w:jc w:val="both"/>
        <w:ind w:firstLine="987"/>
        <w:spacing w:after="0" w:line="256" w:lineRule="auto"/>
        <w:tabs>
          <w:tab w:leader="none" w:pos="12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RBC Capital Markets, LLC has been authorized, for its own account and the accounts of the several Underwriters, to accept delivery of and receipt for, and make payment of the purchase price for, the Securities. Each of RBC Capital Markets, LLC, Barclays Capital Inc., BofA Securities, Inc. and J.P. Morgan Securities LLC, individually and not as a Representative of the Underwriters, may (but shall not be obligated to) make payment for any Securities to be purchased by any Underwriter whose funds shall not have been received by the Representatives by the Closing Date for the account of such Underwriter, but any such payment shall not relieve such Underwriter from any of its obligations under this Agreement.</w:t>
      </w:r>
    </w:p>
    <w:p>
      <w:pPr>
        <w:spacing w:after="0" w:line="187" w:lineRule="exact"/>
        <w:rPr>
          <w:rFonts w:ascii="Times New Roman" w:cs="Times New Roman" w:eastAsia="Times New Roman" w:hAnsi="Times New Roman"/>
          <w:sz w:val="18"/>
          <w:szCs w:val="18"/>
          <w:color w:val="auto"/>
        </w:rPr>
      </w:pPr>
    </w:p>
    <w:p>
      <w:pPr>
        <w:jc w:val="both"/>
        <w:ind w:firstLine="987"/>
        <w:spacing w:after="0" w:line="254" w:lineRule="auto"/>
        <w:tabs>
          <w:tab w:leader="none" w:pos="12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each Underwriter is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any other Underwriter shall have any responsibility or liability to the Company with respect thereto. Any review by the Representatives or any Underwriter of the Company, the transactions contemplated hereby or other matters relating to such transactions will be performed solely for the benefit of the Representatives or such Underwriter and shall not be on behalf of the Company or any other person.</w:t>
      </w:r>
    </w:p>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that:</w:t>
      </w:r>
    </w:p>
    <w:p>
      <w:pPr>
        <w:spacing w:after="0" w:line="225" w:lineRule="exact"/>
        <w:rPr>
          <w:sz w:val="20"/>
          <w:szCs w:val="20"/>
          <w:color w:val="auto"/>
        </w:rPr>
      </w:pPr>
    </w:p>
    <w:p>
      <w:pPr>
        <w:jc w:val="both"/>
        <w:ind w:left="-980" w:firstLine="987"/>
        <w:spacing w:after="0" w:line="254" w:lineRule="auto"/>
        <w:tabs>
          <w:tab w:leader="none" w:pos="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xml:space="preserve">. No order preventing or suspending the use of any Preliminary Prospectus has been issued by the Commission and is still in effect, and each Preliminary Prospectus, at the time of filing thereof, complied in all material respects with the Securities Act and did not, and at the Closing Date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makes no representation or warranty with respect to any statements or omissions made in reliance upon and in conformity with information furnished to the Company in writing by an Underwriter through the Representatives expressly for use in any Preliminary Prospectus, it being understood and agreed that the only such information furnished by or on behalf of any Underwriter consists of the information described as such in Section 7(b) and (ii) the parties acknowledge and understand that the Preliminary Prospectus omits certain pricing information related to the Securities.</w:t>
      </w:r>
    </w:p>
    <w:p>
      <w:pPr>
        <w:spacing w:after="0" w:line="191" w:lineRule="exact"/>
        <w:rPr>
          <w:rFonts w:ascii="Times New Roman" w:cs="Times New Roman" w:eastAsia="Times New Roman" w:hAnsi="Times New Roman"/>
          <w:sz w:val="18"/>
          <w:szCs w:val="18"/>
          <w:color w:val="auto"/>
        </w:rPr>
      </w:pPr>
    </w:p>
    <w:p>
      <w:pPr>
        <w:jc w:val="both"/>
        <w:ind w:left="-980" w:firstLine="987"/>
        <w:spacing w:after="0" w:line="254"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furnished to the Company in writing by an Underwriter through the Representatives expressly for use in the Preliminary Prospectus, the Time of Sale Information or the Prospectus it being understood and agreed that the only such information furnished by or on behalf of any Underwriter consists of the information described as such in Section 7(b).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91" w:lineRule="exact"/>
        <w:rPr>
          <w:rFonts w:ascii="Times New Roman" w:cs="Times New Roman" w:eastAsia="Times New Roman" w:hAnsi="Times New Roman"/>
          <w:sz w:val="18"/>
          <w:szCs w:val="18"/>
          <w:color w:val="auto"/>
        </w:rPr>
      </w:pPr>
    </w:p>
    <w:p>
      <w:pPr>
        <w:jc w:val="both"/>
        <w:ind w:left="-980" w:firstLine="987"/>
        <w:spacing w:after="0" w:line="253" w:lineRule="auto"/>
        <w:tabs>
          <w:tab w:leader="none" w:pos="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The Company (including its agents and representatives, other than the Underwriters in their capacity as such) has not prepared, made, used, authorized, approved, distributed or referred to and will not prepare, make, use, authorize, approve, distribute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other than (i) any document not constituting a prospectus pursuant to Section 2(a)(10)(a) of the Securities Act or Rule 134 under the Securities Act, (ii) the Preliminary Prospectus, (iii) the Prospectus, (iv) the documents listed on Annex B hereto as constituting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did not at the Time of Sale, and at the Closing Date will not, contain any untrue statement of a material fact or omit to state a material fact necessary in order to make the</w:t>
      </w:r>
    </w:p>
    <w:p>
      <w:pPr>
        <w:sectPr>
          <w:pgSz w:w="11900" w:h="16838" w:orient="portrait"/>
          <w:cols w:equalWidth="0" w:num="1">
            <w:col w:w="10040"/>
          </w:cols>
          <w:pgMar w:left="1420" w:top="270" w:right="439" w:bottom="1440" w:gutter="0" w:footer="0" w:header="0"/>
        </w:sectPr>
      </w:pPr>
    </w:p>
    <w:bookmarkStart w:id="9" w:name="page10"/>
    <w:bookmarkEnd w:id="9"/>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 it being understood and agreed that the only such information furnished by or on behalf of any Underwriter consists of the information described as such in Section 7(b).</w:t>
      </w:r>
    </w:p>
    <w:p>
      <w:pPr>
        <w:spacing w:after="0" w:line="183"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Time of Sale Information or the Prospectus, the Company has promptly notified or will promptly notify the Representatives and has promptly amended or supplemented or will promptly amend or supplement, at its own expense, such Issuer Free Writing Prospectus to eliminate or correct such conflict. Any Issuer Free Writing Prospectus not identified on Annex B hereto, when taken together with the Time of Sale Information, did not, and at the Closing Date will not, contain any untrue statement of a material fact or omit to state a material fact necessary in order to make the statements therein, in the light of the circumstances under which they were made, not misleading. The foregoing two sentences do not apply to statements in or omissions from any Issuer Free Writing Prospectus based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7(b).</w:t>
      </w:r>
    </w:p>
    <w:p>
      <w:pPr>
        <w:spacing w:after="0" w:line="194" w:lineRule="exact"/>
        <w:rPr>
          <w:sz w:val="20"/>
          <w:szCs w:val="20"/>
          <w:color w:val="auto"/>
        </w:rPr>
      </w:pPr>
    </w:p>
    <w:p>
      <w:pPr>
        <w:jc w:val="both"/>
        <w:ind w:firstLine="987"/>
        <w:spacing w:after="0" w:line="252"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Registration Statement is an “automatic shelf registration statement” as defined under Rule 405 of the Securities Act that has been filed with the Commission not earlier than three years prior to the date hereof; and no notice of objection of the Commission, which has not been withdrawn, rescinded, lifted, vacated or voided, to the use of such registration statement or any post-effective amendment thereto pursuant to Rule 401(g)(2) under the Securities Act has been received by the Company. No order suspending the effectiveness of the Registration Statement has been issued by the Commission and is still in effect and no proceeding for that purpose or pursuant to Section 8A of the Securities Act against the Company or related to the offering has been initiated or threatened by the Commission. As of the applicable effective date of the Registration Statement and any amendment thereto (including the date upon which the most recent Annual Report on Form 10-K was filed with the Commission), the Registration Statement complied and will comply in all material respects with the Securities Act and the Trust Indenture Act of 1939, as amended, and the rules and regulations of the Commission promulgated thereunder (collectively,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xml:space="preserve">”), and did not and will not contain any untrue statement of a material fact or omit to state a material fact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(i) those parts of the Registration Statement that constitute the Statement of Eligibility and Qualification (Form T-1) of the Trustee under the Trust Indenture Act or (ii) any statements or omissions made in reliance upon and in conformity with</w:t>
      </w:r>
    </w:p>
    <w:p>
      <w:pPr>
        <w:sectPr>
          <w:pgSz w:w="11900" w:h="16838" w:orient="portrait"/>
          <w:cols w:equalWidth="0" w:num="1">
            <w:col w:w="11020"/>
          </w:cols>
          <w:pgMar w:left="440" w:top="270" w:right="439" w:bottom="1440" w:gutter="0" w:footer="0" w:header="0"/>
        </w:sectPr>
      </w:pPr>
    </w:p>
    <w:bookmarkStart w:id="10" w:name="page11"/>
    <w:bookmarkEnd w:id="10"/>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relating to any Underwriter furnished to the Company in writing by such Underwriter through the Representatives expressly for use in the Registration Statement and the Prospectus and any amendment or supplement thereto.</w:t>
      </w:r>
    </w:p>
    <w:p>
      <w:pPr>
        <w:spacing w:after="0" w:line="162" w:lineRule="exact"/>
        <w:rPr>
          <w:sz w:val="20"/>
          <w:szCs w:val="20"/>
          <w:color w:val="auto"/>
        </w:rPr>
      </w:pPr>
    </w:p>
    <w:p>
      <w:pPr>
        <w:jc w:val="both"/>
        <w:ind w:right="20" w:firstLine="987"/>
        <w:spacing w:after="0" w:line="258"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by reference in each of the Registration Statement and the Prospectus, each as amended or supplemented, and the Time of Sale Information, when they were filed with the Commission, conformed in all material respects to the requirements of the Exchange Act and the rules and regulations promulgated thereunder, and none of such documents at (i) the time they were filed with the Commission and (ii) the Time of Sale,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firstLine="987"/>
        <w:spacing w:after="0" w:line="252" w:lineRule="auto"/>
        <w:tabs>
          <w:tab w:leader="none" w:pos="12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financial statements and the related notes thereto included or incorporated by reference in each of the Registration Statement, the Time of Sale Information and the Prospectus comply in all material respects with the applicable requirements of the Exchange Act, as applicable, and present fairly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applied on a consistent basis (except as expressly stated therein) throughout the periods covered thereby, and the supporting schedules included or incorporated by reference in each of the Registration Statement, the Prospectus and the Time of Sale Information present fairly the information required to be stated therein; and the other financial information included or incorporated by reference in each of the Registration Statement, the Time of Sale Information and the Prospectus has been derived from the accounting records of the Company and its subsidiaries and presents fairly the information shown thereby; and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and the related notes thereto included or incorporated by reference in each of the Registration Statement, the Time of Sale Information and the Prospectus have been prepared in accordance with the applicable requirements of the Securities Act and the Exchange Act, as applicable, and the assumptions underlying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are reasonable and are set forth in each of the Registration Statement, the Time of Sale Information and the Prospectus. The interactive data in Extensible Business Reporting Language included or incorporated by reference in the Registration Statement, the Prospectus and the Time of Sale Information fairly presents the information called for in all material respects and is prepared in accordance with the Commission’s rules and guidelines applicable thereto.</w:t>
      </w:r>
    </w:p>
    <w:p>
      <w:pPr>
        <w:spacing w:after="0" w:line="195"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the date of the most recent financial statements of the Company and its subsidiaries included or incorporated by reference in each of the Registration Statement, the Time of Sale Information and the Prospectus, (i) there has not been any material change in the capital stock or membership interests, as the case may be, or long-term debt of the Company or any of its subsidiaries, or any dividend or distribution of any kind declared, set aside for payment, paid or made by the Company on any class of capital stock, other than the Company’s customary quarterly dividend, or any material adverse change, or any development involving a prospective material adverse change, in or affecting the business, general affairs, properties, rights, assets, management, financial position, results of operations or prospects of the Company and its subsidiaries taken as a whole; (ii) neither the Company nor any of its subsidiaries has entered into any transaction or agreement that is material to the Company and its subsidiaries</w:t>
      </w:r>
    </w:p>
    <w:p>
      <w:pPr>
        <w:sectPr>
          <w:pgSz w:w="11900" w:h="16838" w:orient="portrait"/>
          <w:cols w:equalWidth="0" w:num="1">
            <w:col w:w="11020"/>
          </w:cols>
          <w:pgMar w:left="440" w:top="270" w:right="43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taken as a whole or incurred any liability or obligation, direct or contingent, that is material to the Company and its subsidiaries taken as a whole; and</w:t>
      </w:r>
    </w:p>
    <w:p>
      <w:pPr>
        <w:spacing w:after="0" w:line="27" w:lineRule="exact"/>
        <w:rPr>
          <w:sz w:val="20"/>
          <w:szCs w:val="20"/>
          <w:color w:val="auto"/>
        </w:rPr>
      </w:pPr>
    </w:p>
    <w:p>
      <w:pPr>
        <w:jc w:val="both"/>
        <w:ind w:left="4" w:hanging="4"/>
        <w:spacing w:after="0" w:line="253"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Registration Statement, the Time of Sale Information and the Prospectus.</w:t>
      </w:r>
    </w:p>
    <w:p>
      <w:pPr>
        <w:spacing w:after="0" w:line="188" w:lineRule="exact"/>
        <w:rPr>
          <w:rFonts w:ascii="Times New Roman" w:cs="Times New Roman" w:eastAsia="Times New Roman" w:hAnsi="Times New Roman"/>
          <w:sz w:val="18"/>
          <w:szCs w:val="18"/>
          <w:color w:val="auto"/>
        </w:rPr>
      </w:pPr>
    </w:p>
    <w:p>
      <w:pPr>
        <w:jc w:val="both"/>
        <w:ind w:left="4" w:right="20" w:firstLine="987"/>
        <w:spacing w:after="0" w:line="255" w:lineRule="auto"/>
        <w:tabs>
          <w:tab w:leader="none" w:pos="12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 authority would not, individually or in the aggregate, have a material adverse effect on the business, general affairs, properties, rights, assets, management, financial position, results of operations or prospects of the Company and its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 w:right="20" w:firstLine="987"/>
        <w:spacing w:after="0" w:line="258" w:lineRule="auto"/>
        <w:tabs>
          <w:tab w:leader="none" w:pos="12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and Other Capital Stock Matters</w:t>
      </w:r>
      <w:r>
        <w:rPr>
          <w:rFonts w:ascii="Times New Roman" w:cs="Times New Roman" w:eastAsia="Times New Roman" w:hAnsi="Times New Roman"/>
          <w:sz w:val="18"/>
          <w:szCs w:val="18"/>
          <w:color w:val="auto"/>
        </w:rPr>
        <w:t>. The authorized, issued and outstanding capital stock of the Company is as set forth in the Time of Sale Information and the Prospectus under the caption “Capitalization” (other than for subsequent issuances, if any, pursuant to employee benefit plans or director or employee incentive compensation plans described in the Time of Sale Information and the Prospectus or upon exercise of outstanding options, stock appreciation rights or warrants described in the Time of Sale Information and the Prospectus, as the case may be). All of the issued and outstanding shares of Common Stock of the Company have been duly authorized and validly issued, are fully paid and nonassessable.</w:t>
      </w:r>
    </w:p>
    <w:p>
      <w:pPr>
        <w:spacing w:after="0" w:line="183"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Company has full right, power and authority to execute and deliver this Agreement, the Securities and the Indenture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and to perform its obligations hereunder and thereunder; and all action required to be taken for the due and proper authorization, execution and delivery of each of the Transaction Documents and the consummation of the transactions contemplated thereby has been duly and validly taken.</w:t>
      </w:r>
    </w:p>
    <w:p>
      <w:pPr>
        <w:spacing w:after="0" w:line="179" w:lineRule="exact"/>
        <w:rPr>
          <w:rFonts w:ascii="Times New Roman" w:cs="Times New Roman" w:eastAsia="Times New Roman" w:hAnsi="Times New Roman"/>
          <w:sz w:val="18"/>
          <w:szCs w:val="18"/>
          <w:color w:val="auto"/>
        </w:rPr>
      </w:pPr>
    </w:p>
    <w:p>
      <w:pPr>
        <w:jc w:val="both"/>
        <w:ind w:left="4" w:firstLine="987"/>
        <w:spacing w:after="0" w:line="258" w:lineRule="auto"/>
        <w:tabs>
          <w:tab w:leader="none" w:pos="12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Indenture</w:t>
      </w:r>
      <w:r>
        <w:rPr>
          <w:rFonts w:ascii="Times New Roman" w:cs="Times New Roman" w:eastAsia="Times New Roman" w:hAnsi="Times New Roman"/>
          <w:sz w:val="18"/>
          <w:szCs w:val="18"/>
          <w:color w:val="auto"/>
        </w:rPr>
        <w:t>. The Indenture was or will have been duly qualified under the Trust Indenture Act and,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reorganization or similar laws affecting the enforcement of creditors’ rights generally or by equitable principles relating to enforceability (collectively, the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Securities</w:t>
      </w:r>
      <w:r>
        <w:rPr>
          <w:rFonts w:ascii="Times New Roman" w:cs="Times New Roman" w:eastAsia="Times New Roman" w:hAnsi="Times New Roman"/>
          <w:sz w:val="18"/>
          <w:szCs w:val="18"/>
          <w:color w:val="auto"/>
        </w:rPr>
        <w:t>. When duly executed, authenticated, issued and delivered as provided in the Indenture and paid for as provided herein, the Securities will be duly and validly issued and outstanding and will constitute valid and legally binding obligations of the Company</w:t>
      </w:r>
    </w:p>
    <w:p>
      <w:pPr>
        <w:sectPr>
          <w:pgSz w:w="11900" w:h="16838" w:orient="portrait"/>
          <w:cols w:equalWidth="0" w:num="1">
            <w:col w:w="11024"/>
          </w:cols>
          <w:pgMar w:left="436" w:top="270" w:right="4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enforceable against the Company in accordance with their terms, subject to the Enforceability Exceptions and the terms of the Indenture, and will be entitled to the benefits of the Indenture.</w:t>
      </w:r>
    </w:p>
    <w:p>
      <w:pPr>
        <w:spacing w:after="0" w:line="162" w:lineRule="exact"/>
        <w:rPr>
          <w:sz w:val="20"/>
          <w:szCs w:val="20"/>
          <w:color w:val="auto"/>
        </w:rPr>
      </w:pPr>
    </w:p>
    <w:p>
      <w:pPr>
        <w:jc w:val="both"/>
        <w:ind w:right="20" w:firstLine="987"/>
        <w:spacing w:after="0" w:line="261"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Descriptions of the Transaction Documents</w:t>
      </w:r>
      <w:r>
        <w:rPr>
          <w:rFonts w:ascii="Times New Roman" w:cs="Times New Roman" w:eastAsia="Times New Roman" w:hAnsi="Times New Roman"/>
          <w:sz w:val="18"/>
          <w:szCs w:val="18"/>
          <w:color w:val="auto"/>
        </w:rPr>
        <w:t>. Each Transaction Document conforms in all material respects to the description thereof contained in each of the Registration Statement, the Time of Sale Information and the Prospectus under the caption “United States Federal Income Tax Consequences to Non-US Holders,” and under the caption “Plan of Distribution,” insofar as they purport to describe the provisions of the laws and documents referred to therein.</w:t>
      </w:r>
    </w:p>
    <w:p>
      <w:pPr>
        <w:spacing w:after="0" w:line="179" w:lineRule="exact"/>
        <w:rPr>
          <w:rFonts w:ascii="Times New Roman" w:cs="Times New Roman" w:eastAsia="Times New Roman" w:hAnsi="Times New Roman"/>
          <w:sz w:val="18"/>
          <w:szCs w:val="18"/>
          <w:color w:val="auto"/>
        </w:rPr>
      </w:pPr>
    </w:p>
    <w:p>
      <w:pPr>
        <w:jc w:val="both"/>
        <w:ind w:firstLine="987"/>
        <w:spacing w:after="0" w:line="254" w:lineRule="auto"/>
        <w:tabs>
          <w:tab w:leader="none" w:pos="1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or (iii) in violation of any law or statute or any judgment, order, rule or regulation of any court or arbitrator or governmental or regulatory authority having jurisdiction over the Company and its subsidiaries or their respective property, except, in the case of clauses (i), (ii) and (iii) above, for any such default or violation that would not,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each of the Transaction Documents to which it is a party, the issuance and sale of the Securities and compliance by the Company with the terms thereof and the consummation of the transactions contemplated by the Transaction Documents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having jurisdiction over the Company and its subsidiaries or their respective property, except, in the case of clauses (i) and (iii) above, for any such conflict, breach, violation, default, lien, charge or encumbrance that would not,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jc w:val="both"/>
        <w:ind w:firstLine="987"/>
        <w:spacing w:after="0" w:line="261"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court or arbitrator or governmental or regulatory authority is required for the execution, delivery and performance by the Company of each of the Transaction Documents to which it is a party, the issuance and sale of the Securities and compliance by the Company with the terms thereof and the consummation of the transactions contemplated by the Transaction Documents, except for the registration of the Securities under the</w:t>
      </w:r>
    </w:p>
    <w:p>
      <w:pPr>
        <w:sectPr>
          <w:pgSz w:w="11900" w:h="16838" w:orient="portrait"/>
          <w:cols w:equalWidth="0" w:num="1">
            <w:col w:w="11020"/>
          </w:cols>
          <w:pgMar w:left="440" w:top="270" w:right="4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the qualification of the Indenture under the Trust Indenture Act and such consents, approvals, authorizations, orders and registrations or qualifications as may be required under applicable state securities laws in connection with the purchase and distribution of the Securities by the Underwriters.</w:t>
      </w:r>
    </w:p>
    <w:p>
      <w:pPr>
        <w:spacing w:after="0" w:line="176" w:lineRule="exact"/>
        <w:rPr>
          <w:sz w:val="20"/>
          <w:szCs w:val="20"/>
          <w:color w:val="auto"/>
        </w:rPr>
      </w:pPr>
    </w:p>
    <w:p>
      <w:pPr>
        <w:jc w:val="both"/>
        <w:ind w:right="20" w:firstLine="987"/>
        <w:spacing w:after="0" w:line="255"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described in each of the Registration Statement, the Time of Sale Information and the Prospectus, there are no legal, governmental or regulatory investigations, actions, demands, claims, suits, arbitrations, inquiries or proceedings (“</w:t>
      </w: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pending to which the Company or any of its subsidiaries is or may be a party or to which any property, right or asset of the Company or any of its subsidiaries is or may be the subject that, if determined adversely to the Company or any of its subsidiaries, could reasonably be expected to have a Material Adverse Effect; no Actions are threatened or, to the best knowledge of the Company, contemplated by any governmental or regulatory authority having jurisdiction over the Company and its subsidiaries or their respective property or threatened by others that could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and the rules and regulations promulgated thereunder.</w:t>
      </w:r>
    </w:p>
    <w:p>
      <w:pPr>
        <w:spacing w:after="0" w:line="179" w:lineRule="exact"/>
        <w:rPr>
          <w:rFonts w:ascii="Times New Roman" w:cs="Times New Roman" w:eastAsia="Times New Roman" w:hAnsi="Times New Roman"/>
          <w:sz w:val="18"/>
          <w:szCs w:val="18"/>
          <w:color w:val="auto"/>
        </w:rPr>
      </w:pPr>
    </w:p>
    <w:p>
      <w:pPr>
        <w:jc w:val="both"/>
        <w:ind w:firstLine="987"/>
        <w:spacing w:after="0" w:line="258" w:lineRule="auto"/>
        <w:tabs>
          <w:tab w:leader="none" w:pos="12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The Company and its subsidiaries have good and marketable title in fee simple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Securities and the application of the proceeds thereof as described in each of the Registration Statement, the Time of Sale Information and the Prospectus, will not be an “investment company” or an entity “controlled” by an “investment company” within the meaning of the Investment Company Act of 1940, as amended, and the rules and regulations of the Commission thereunder (collectively,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otherwise disclosed in each of the Registration Statement, the Time of Sale Information and the Prospectus, the Company and its subsidiaries have paid all federal, state, local and foreign taxes and filed all tax returns required to be paid or filed through the date hereof, and there is no tax deficiency that has been asserted against the Company or any of its subsidiaries or any of their respective properties or assets, except where such failure or deficiency would not have a Material Adverse Effect.</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The Company and its subsidiaries possess all licenses, sub-licenses, certificates, permits and other authorizations issued by, and have made all declarations and filings with, the appropriate federal, state, local or foreign governmental or</w:t>
      </w:r>
    </w:p>
    <w:p>
      <w:pPr>
        <w:sectPr>
          <w:pgSz w:w="11900" w:h="16838" w:orient="portrait"/>
          <w:cols w:equalWidth="0" w:num="1">
            <w:col w:w="11020"/>
          </w:cols>
          <w:pgMar w:left="440" w:top="270" w:right="439" w:bottom="1440" w:gutter="0" w:footer="0" w:header="0"/>
        </w:sectPr>
      </w:pPr>
    </w:p>
    <w:bookmarkStart w:id="14" w:name="page15"/>
    <w:bookmarkEnd w:id="14"/>
    <w:p>
      <w:pPr>
        <w:jc w:val="both"/>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regulatory authorities that are necessary for the ownership or lease of their respective properties or the conduct of their respective businesses as described in each of the Registration Statement, the Time of Sale Information and the Prospectus, except where the failure to possess or make the same would not have a Material Adverse Effect; and except as described in each of the Registration Statement, the Time of Sale Information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or modification would not have a Material Adverse Effect.</w:t>
      </w:r>
    </w:p>
    <w:p>
      <w:pPr>
        <w:spacing w:after="0" w:line="187" w:lineRule="exact"/>
        <w:rPr>
          <w:sz w:val="20"/>
          <w:szCs w:val="20"/>
          <w:color w:val="auto"/>
        </w:rPr>
      </w:pPr>
    </w:p>
    <w:p>
      <w:pPr>
        <w:jc w:val="both"/>
        <w:ind w:left="4" w:firstLine="987"/>
        <w:spacing w:after="0" w:line="256" w:lineRule="auto"/>
        <w:tabs>
          <w:tab w:leader="none" w:pos="13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7"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Time of Sale Information is prepared in accordance with the Commission’s rules and guidelines applicable thereto. Except as disclosed in each of the Registration Statement, the Time of Sale Information and the Prospectus, there are no material weaknesses or significant deficiencies in the Company’s internal controls.</w:t>
      </w:r>
    </w:p>
    <w:p>
      <w:pPr>
        <w:spacing w:after="0" w:line="189"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Payments</w:t>
      </w:r>
      <w:r>
        <w:rPr>
          <w:rFonts w:ascii="Times New Roman" w:cs="Times New Roman" w:eastAsia="Times New Roman" w:hAnsi="Times New Roman"/>
          <w:sz w:val="18"/>
          <w:szCs w:val="18"/>
          <w:color w:val="auto"/>
        </w:rPr>
        <w:t>. To the best knowledge of the Company, neither the Company nor any of its subsidiaries nor any director or officer has (i) used any corporate funds for any unlawful contribution, gift, entertainment or other unlawful expense relating to political activity;</w:t>
      </w:r>
    </w:p>
    <w:p>
      <w:pPr>
        <w:ind w:left="4" w:right="20" w:hanging="4"/>
        <w:spacing w:after="0" w:line="260"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direct or indirect unlawful payment to any foreign or domestic government official or employee from corporate funds; (iii) violated or is in violation of any provision of the Foreign Corrupt Practices Act of 1977; (iv) violated or is in violation of any provision of the</w:t>
      </w:r>
    </w:p>
    <w:p>
      <w:pPr>
        <w:sectPr>
          <w:pgSz w:w="11900" w:h="16838" w:orient="portrait"/>
          <w:cols w:equalWidth="0" w:num="1">
            <w:col w:w="11024"/>
          </w:cols>
          <w:pgMar w:left="436" w:top="270"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Bribery Act 2010 of the United Kingdom; or (v) made any bribe, rebate, payoff, influence payment, kickback or other unlawful payment.</w:t>
      </w:r>
    </w:p>
    <w:p>
      <w:pPr>
        <w:spacing w:after="0" w:line="225" w:lineRule="exact"/>
        <w:rPr>
          <w:sz w:val="20"/>
          <w:szCs w:val="20"/>
          <w:color w:val="auto"/>
        </w:rPr>
      </w:pPr>
    </w:p>
    <w:p>
      <w:pPr>
        <w:jc w:val="both"/>
        <w:ind w:firstLine="987"/>
        <w:spacing w:after="0" w:line="255" w:lineRule="auto"/>
        <w:tabs>
          <w:tab w:leader="none" w:pos="1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applicable to the Company and its subsidiaries, the rules and regulations thereunder and any related or similar rules, regulations or guidelines, issued, administered or enforced by any governmental agency having jurisdiction over the Company and its subsidiaries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9" w:lineRule="exact"/>
        <w:rPr>
          <w:sz w:val="20"/>
          <w:szCs w:val="20"/>
          <w:color w:val="auto"/>
        </w:rPr>
      </w:pPr>
    </w:p>
    <w:p>
      <w:pPr>
        <w:jc w:val="both"/>
        <w:ind w:firstLine="987"/>
        <w:spacing w:after="0" w:line="254" w:lineRule="auto"/>
        <w:tabs>
          <w:tab w:leader="none" w:pos="13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with Sanctions Laws</w:t>
      </w:r>
      <w:r>
        <w:rPr>
          <w:rFonts w:ascii="Times New Roman" w:cs="Times New Roman" w:eastAsia="Times New Roman" w:hAnsi="Times New Roman"/>
          <w:sz w:val="18"/>
          <w:szCs w:val="18"/>
          <w:color w:val="auto"/>
        </w:rPr>
        <w:t>. None of the Company, any of its subsidiaries or, to the knowledge of the Company, any director, officer, agent, employee or affiliate of the Company or any of its subsidiaries is currently the subject or the target of any sanctions administered or enforced by the U.S. Government under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(i) to fund any activities of or business with any person, or in any country or territory, that, at the time of such funding, is the subject of Sanctions or (ii) in any other manner that will result in a violation by any person (including any person participating in the transaction, whether as underwriter, advisor, investor or otherwise) of Sanctions.</w:t>
      </w:r>
    </w:p>
    <w:p>
      <w:pPr>
        <w:spacing w:after="0" w:line="189" w:lineRule="exact"/>
        <w:rPr>
          <w:rFonts w:ascii="Times New Roman" w:cs="Times New Roman" w:eastAsia="Times New Roman" w:hAnsi="Times New Roman"/>
          <w:sz w:val="18"/>
          <w:szCs w:val="18"/>
          <w:color w:val="auto"/>
        </w:rPr>
      </w:pPr>
    </w:p>
    <w:p>
      <w:pPr>
        <w:ind w:right="20" w:firstLine="987"/>
        <w:spacing w:after="0" w:line="284" w:lineRule="auto"/>
        <w:tabs>
          <w:tab w:leader="none" w:pos="13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xml:space="preserve">. The Securities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other senior unsecured debt of the Company which is not expressly subordinated.</w:t>
      </w:r>
    </w:p>
    <w:p>
      <w:pPr>
        <w:spacing w:after="0" w:line="160"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3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Broker’s Fees</w:t>
      </w:r>
      <w:r>
        <w:rPr>
          <w:rFonts w:ascii="Times New Roman" w:cs="Times New Roman" w:eastAsia="Times New Roman" w:hAnsi="Times New Roman"/>
          <w:sz w:val="18"/>
          <w:szCs w:val="18"/>
          <w:color w:val="auto"/>
        </w:rPr>
        <w:t>.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Securities.</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3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Stabilization</w:t>
      </w:r>
      <w:r>
        <w:rPr>
          <w:rFonts w:ascii="Times New Roman" w:cs="Times New Roman" w:eastAsia="Times New Roman" w:hAnsi="Times New Roman"/>
          <w:sz w:val="18"/>
          <w:szCs w:val="18"/>
          <w:color w:val="auto"/>
        </w:rPr>
        <w:t>. The Company has not taken, directly or indirectly, any action designed to or that could reasonably be expected to cause or result in any stabilization or manipulation of the price of the Securities.</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3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Securities nor the application of the proceeds thereof by the Company as described in each of the Registration Statement, the Time of Sale Information and the Prospectus will violate Regulation T, U or X of the Board of Governors of the Federal Reserve System or any other regulation of such Board of Governors.</w:t>
      </w:r>
    </w:p>
    <w:p>
      <w:pPr>
        <w:sectPr>
          <w:pgSz w:w="11900" w:h="16838" w:orient="portrait"/>
          <w:cols w:equalWidth="0" w:num="1">
            <w:col w:w="11020"/>
          </w:cols>
          <w:pgMar w:left="440" w:top="270" w:right="439" w:bottom="1440" w:gutter="0" w:footer="0" w:header="0"/>
        </w:sectPr>
      </w:pPr>
    </w:p>
    <w:bookmarkStart w:id="16" w:name="page17"/>
    <w:bookmarkEnd w:id="16"/>
    <w:p>
      <w:pPr>
        <w:jc w:val="both"/>
        <w:ind w:left="-980" w:right="20" w:firstLine="987"/>
        <w:spacing w:after="0" w:line="266" w:lineRule="auto"/>
        <w:tabs>
          <w:tab w:leader="none" w:pos="3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included or incorporated by reference in any of the Registration Statement, the Time of Sale Information or the Prospectus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left="-980" w:right="20" w:firstLine="987"/>
        <w:spacing w:after="0" w:line="266" w:lineRule="auto"/>
        <w:tabs>
          <w:tab w:leader="none" w:pos="3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There is and has been no failure on the part of the Company or any of its directors or officers, in their capacities as such, to comply with any provision of the Sarbanes-Oxley Act of 2002, as amended,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175" w:lineRule="exact"/>
        <w:rPr>
          <w:rFonts w:ascii="Times New Roman" w:cs="Times New Roman" w:eastAsia="Times New Roman" w:hAnsi="Times New Roman"/>
          <w:sz w:val="18"/>
          <w:szCs w:val="18"/>
          <w:color w:val="auto"/>
        </w:rPr>
      </w:pPr>
    </w:p>
    <w:p>
      <w:pPr>
        <w:ind w:left="-980" w:right="20" w:firstLine="987"/>
        <w:spacing w:after="0" w:line="282" w:lineRule="auto"/>
        <w:tabs>
          <w:tab w:leader="none" w:pos="3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The Company is not an ineligible issuer and is a well-known seasoned issuer, in each case as defined under the Securities Act, in each case at the times specified in the Securities Act in connection with the offering of the Securities.</w:t>
      </w:r>
    </w:p>
    <w:p>
      <w:pPr>
        <w:spacing w:after="0" w:line="159" w:lineRule="exact"/>
        <w:rPr>
          <w:rFonts w:ascii="Times New Roman" w:cs="Times New Roman" w:eastAsia="Times New Roman" w:hAnsi="Times New Roman"/>
          <w:sz w:val="18"/>
          <w:szCs w:val="18"/>
          <w:color w:val="auto"/>
        </w:rPr>
      </w:pPr>
    </w:p>
    <w:p>
      <w:pPr>
        <w:ind w:left="-980" w:right="20" w:firstLine="987"/>
        <w:spacing w:after="0" w:line="284" w:lineRule="auto"/>
        <w:tabs>
          <w:tab w:leader="none" w:pos="2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is subject to and in compliance in all material respects with the reporting requirements of Section 13 or 15(d) of the Exchange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225" w:lineRule="exact"/>
        <w:rPr>
          <w:sz w:val="20"/>
          <w:szCs w:val="20"/>
          <w:color w:val="auto"/>
        </w:rPr>
      </w:pPr>
    </w:p>
    <w:p>
      <w:pPr>
        <w:jc w:val="both"/>
        <w:ind w:left="-980" w:firstLine="987"/>
        <w:spacing w:after="0" w:line="254"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w:t>
      </w:r>
      <w:r>
        <w:rPr>
          <w:rFonts w:ascii="Times New Roman" w:cs="Times New Roman" w:eastAsia="Times New Roman" w:hAnsi="Times New Roman"/>
          <w:sz w:val="18"/>
          <w:szCs w:val="18"/>
          <w:color w:val="auto"/>
        </w:rPr>
        <w:t>. The Company will file the Prospectus with the Commission within the time periods specified by Rule 424(b) and Rule 430A, 430B or 430C under the Securities Act, will file any Issuer Free Writing Prospectus (including the Pricing Term Sheet referred to in Annex C hereto)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as soon as available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188" w:lineRule="exact"/>
        <w:rPr>
          <w:rFonts w:ascii="Times New Roman" w:cs="Times New Roman" w:eastAsia="Times New Roman" w:hAnsi="Times New Roman"/>
          <w:sz w:val="18"/>
          <w:szCs w:val="18"/>
          <w:color w:val="auto"/>
        </w:rPr>
      </w:pPr>
    </w:p>
    <w:p>
      <w:pPr>
        <w:jc w:val="both"/>
        <w:ind w:left="-980" w:right="20" w:firstLine="987"/>
        <w:spacing w:after="0" w:line="256" w:lineRule="auto"/>
        <w:tabs>
          <w:tab w:leader="none" w:pos="2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Copies</w:t>
      </w:r>
      <w:r>
        <w:rPr>
          <w:rFonts w:ascii="Times New Roman" w:cs="Times New Roman" w:eastAsia="Times New Roman" w:hAnsi="Times New Roman"/>
          <w:sz w:val="18"/>
          <w:szCs w:val="18"/>
          <w:color w:val="auto"/>
        </w:rPr>
        <w:t>. (1) The Company will deliver, without charge, during the Prospectus Delivery Period (as defined below), as many copies of the Prospectus (including all amendments and supplements thereto and documents incorporated by reference therein) and each Issuer Free Writing Prospectus as the Representatives may reasonably request; and the Company hereby consents to the use of such copies for purposes permitted by the Securities Act. As used herein, the term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ectPr>
          <w:pgSz w:w="11900" w:h="16838" w:orient="portrait"/>
          <w:cols w:equalWidth="0" w:num="1">
            <w:col w:w="10040"/>
          </w:cols>
          <w:pgMar w:left="1420" w:top="270" w:right="439" w:bottom="1440" w:gutter="0" w:footer="0" w:header="0"/>
        </w:sectPr>
      </w:pPr>
    </w:p>
    <w:bookmarkStart w:id="17" w:name="page18"/>
    <w:bookmarkEnd w:id="17"/>
    <w:p>
      <w:pPr>
        <w:ind w:left="1244" w:hanging="253"/>
        <w:spacing w:after="0"/>
        <w:tabs>
          <w:tab w:leader="none" w:pos="124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If, at any time during the Prospectus Delivery Period, the Company receives from the Commission a notice pursuant to Rule 401(g)</w:t>
      </w:r>
    </w:p>
    <w:p>
      <w:pPr>
        <w:spacing w:after="0" w:line="27" w:lineRule="exact"/>
        <w:rPr>
          <w:rFonts w:ascii="Times New Roman" w:cs="Times New Roman" w:eastAsia="Times New Roman" w:hAnsi="Times New Roman"/>
          <w:sz w:val="18"/>
          <w:szCs w:val="18"/>
          <w:color w:val="auto"/>
        </w:rPr>
      </w:pPr>
    </w:p>
    <w:p>
      <w:pPr>
        <w:jc w:val="both"/>
        <w:ind w:left="4" w:right="20" w:hanging="4"/>
        <w:spacing w:after="0" w:line="250" w:lineRule="auto"/>
        <w:tabs>
          <w:tab w:leader="none" w:pos="2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or otherwise ceases to be eligible to use the automatic shelf registration statement form, the Company will (A) promptly notify the Representatives, (B) promptly file a new registration statement or post-effective amendment on the proper form relating to the Securities,</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use its reasonable efforts to cause such registration statement or post-effective amendment to be declared effective as soon as practicable, and</w:t>
      </w:r>
    </w:p>
    <w:p>
      <w:pPr>
        <w:spacing w:after="0" w:line="9" w:lineRule="exact"/>
        <w:rPr>
          <w:rFonts w:ascii="Times New Roman" w:cs="Times New Roman" w:eastAsia="Times New Roman" w:hAnsi="Times New Roman"/>
          <w:sz w:val="18"/>
          <w:szCs w:val="18"/>
          <w:color w:val="auto"/>
        </w:rPr>
      </w:pPr>
    </w:p>
    <w:p>
      <w:pPr>
        <w:jc w:val="both"/>
        <w:ind w:left="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promptly notify the Representatives of such effectiveness. The Company will use its reasonable efforts to permit the public offering and sale of the Securities to continue as contemplated in the registration statement that was the subject of the Rule 401(g)(2) notice or for which the Company has otherwise become ineligible.</w:t>
      </w:r>
    </w:p>
    <w:p>
      <w:pPr>
        <w:spacing w:after="0" w:line="185" w:lineRule="exact"/>
        <w:rPr>
          <w:rFonts w:ascii="Times New Roman" w:cs="Times New Roman" w:eastAsia="Times New Roman" w:hAnsi="Times New Roman"/>
          <w:sz w:val="18"/>
          <w:szCs w:val="18"/>
          <w:color w:val="auto"/>
        </w:rPr>
      </w:pPr>
    </w:p>
    <w:p>
      <w:pPr>
        <w:jc w:val="both"/>
        <w:ind w:left="4" w:right="20" w:firstLine="436"/>
        <w:spacing w:after="0" w:line="256" w:lineRule="auto"/>
        <w:tabs>
          <w:tab w:leader="none" w:pos="72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after the date hereof, the Company files any further registration statements for the purpose of registering Securities and in connection with which this Agreement is included or incorporated by reference as an exhibit, the Company shall, after such registration statement shall have become or been declared effective by the Commission and at the time and on the date as shall be mutually agreed by the Company and the Representatives, deliver to each Underwriter and its counsel the opinions, certificates, letters and other documents required to be delivered pursuant Section 6,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none of the Underwriters will solicit offers to purchase the Securities registered pursuant to such registration statement until such opinions, certificates, letters and other documents shall have been so delivered.</w:t>
      </w:r>
    </w:p>
    <w:p>
      <w:pPr>
        <w:spacing w:after="0" w:line="187" w:lineRule="exact"/>
        <w:rPr>
          <w:sz w:val="20"/>
          <w:szCs w:val="20"/>
          <w:color w:val="auto"/>
        </w:rPr>
      </w:pPr>
    </w:p>
    <w:p>
      <w:pPr>
        <w:jc w:val="both"/>
        <w:ind w:left="4" w:firstLine="987"/>
        <w:spacing w:after="0" w:line="25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or Supplements; Issuer Free Writing Prospectuses</w:t>
      </w:r>
      <w:r>
        <w:rPr>
          <w:rFonts w:ascii="Times New Roman" w:cs="Times New Roman" w:eastAsia="Times New Roman" w:hAnsi="Times New Roman"/>
          <w:sz w:val="18"/>
          <w:szCs w:val="18"/>
          <w:color w:val="auto"/>
        </w:rPr>
        <w:t>. 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87"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the Representatives</w:t>
      </w:r>
      <w:r>
        <w:rPr>
          <w:rFonts w:ascii="Times New Roman" w:cs="Times New Roman" w:eastAsia="Times New Roman" w:hAnsi="Times New Roman"/>
          <w:sz w:val="18"/>
          <w:szCs w:val="18"/>
          <w:color w:val="auto"/>
        </w:rPr>
        <w:t>. The Company will advise the Representatives promptly, and confirm such advice in writing, (i) when the Registration Statement has become effective; (ii) when any amendment to the Registration Statement has been filed or becomes effective; (iii) when any supplement to the Prospectus or any amendment to the Prospectus or any Issuer Free Writing Prospectus has been filed;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(vi)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w:t>
      </w:r>
    </w:p>
    <w:p>
      <w:pPr>
        <w:sectPr>
          <w:pgSz w:w="11900" w:h="16838" w:orient="portrait"/>
          <w:cols w:equalWidth="0" w:num="1">
            <w:col w:w="11024"/>
          </w:cols>
          <w:pgMar w:left="436" w:top="270" w:right="439" w:bottom="1440" w:gutter="0" w:footer="0" w:header="0"/>
        </w:sectPr>
      </w:pPr>
    </w:p>
    <w:bookmarkStart w:id="18" w:name="page19"/>
    <w:bookmarkEnd w:id="18"/>
    <w:p>
      <w:pPr>
        <w:jc w:val="both"/>
        <w:ind w:left="4" w:hanging="4"/>
        <w:spacing w:after="0" w:line="256" w:lineRule="auto"/>
        <w:tabs>
          <w:tab w:leader="none" w:pos="3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reasonable efforts to cause the withdrawal thereof.</w:t>
      </w:r>
    </w:p>
    <w:p>
      <w:pPr>
        <w:spacing w:after="0" w:line="187" w:lineRule="exact"/>
        <w:rPr>
          <w:rFonts w:ascii="Times New Roman" w:cs="Times New Roman" w:eastAsia="Times New Roman" w:hAnsi="Times New Roman"/>
          <w:sz w:val="18"/>
          <w:szCs w:val="18"/>
          <w:color w:val="auto"/>
        </w:rPr>
      </w:pPr>
    </w:p>
    <w:p>
      <w:pPr>
        <w:jc w:val="both"/>
        <w:ind w:left="4" w:firstLine="987"/>
        <w:spacing w:after="0" w:line="254" w:lineRule="auto"/>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the Time of Sale Information as so amended or supplemented (including such documents to be incorporated by reference therein) will not, in the light of the circumstances under which they were made, be misleading or so that the Time of Sale Information will comply with law.</w:t>
      </w:r>
    </w:p>
    <w:p>
      <w:pPr>
        <w:spacing w:after="0" w:line="188" w:lineRule="exact"/>
        <w:rPr>
          <w:rFonts w:ascii="Times New Roman" w:cs="Times New Roman" w:eastAsia="Times New Roman" w:hAnsi="Times New Roman"/>
          <w:sz w:val="18"/>
          <w:szCs w:val="18"/>
          <w:color w:val="auto"/>
        </w:rPr>
      </w:pPr>
    </w:p>
    <w:p>
      <w:pPr>
        <w:jc w:val="both"/>
        <w:ind w:left="4" w:right="20" w:firstLine="987"/>
        <w:spacing w:after="0" w:line="254"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Ongoing Compliance</w:t>
      </w:r>
      <w:r>
        <w:rPr>
          <w:rFonts w:ascii="Times New Roman" w:cs="Times New Roman" w:eastAsia="Times New Roman" w:hAnsi="Times New Roman"/>
          <w:sz w:val="18"/>
          <w:szCs w:val="18"/>
          <w:color w:val="auto"/>
        </w:rPr>
        <w:t>. If during the Prospectus Delivery Period (i) any event shall occur or condition shall exist as a result of which the Prospectus as then amended or supplemented would include any untrue statement of a material fact or omit to state any material fact required to be stated therein or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will not, in the light of the circumstances existing when the Prospectus is delivered to a purchaser, be misleading or so that the Prospectus will comply with law.</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xml:space="preserve">. The Company will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w:t>
      </w:r>
    </w:p>
    <w:p>
      <w:pPr>
        <w:sectPr>
          <w:pgSz w:w="11900" w:h="16838" w:orient="portrait"/>
          <w:cols w:equalWidth="0" w:num="1">
            <w:col w:w="11024"/>
          </w:cols>
          <w:pgMar w:left="436" w:top="270"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jurisdiction or (iii) subject itself to taxation in any such jurisdiction if it is not otherwise so subject.</w:t>
      </w:r>
    </w:p>
    <w:p>
      <w:pPr>
        <w:spacing w:after="0" w:line="225" w:lineRule="exact"/>
        <w:rPr>
          <w:sz w:val="20"/>
          <w:szCs w:val="20"/>
          <w:color w:val="auto"/>
        </w:rPr>
      </w:pPr>
    </w:p>
    <w:p>
      <w:pPr>
        <w:jc w:val="both"/>
        <w:ind w:firstLine="987"/>
        <w:spacing w:after="0" w:line="258" w:lineRule="auto"/>
        <w:tabs>
          <w:tab w:leader="none" w:pos="1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Statement</w:t>
      </w:r>
      <w:r>
        <w:rPr>
          <w:rFonts w:ascii="Times New Roman" w:cs="Times New Roman" w:eastAsia="Times New Roman" w:hAnsi="Times New Roman"/>
          <w:sz w:val="18"/>
          <w:szCs w:val="18"/>
          <w:color w:val="auto"/>
        </w:rPr>
        <w:t>. The Company will file such reports pursuant to the Exchange Act and the rules and regulations promulgated thereunder, as are generally necessary to, and the Company will, make generally available to its security holders and the Representatives as soon as practicable an earnings statement that satisfies the provisions of, and provides the benefits contemplated by,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83" w:lineRule="exact"/>
        <w:rPr>
          <w:rFonts w:ascii="Times New Roman" w:cs="Times New Roman" w:eastAsia="Times New Roman" w:hAnsi="Times New Roman"/>
          <w:sz w:val="18"/>
          <w:szCs w:val="18"/>
          <w:color w:val="auto"/>
        </w:rPr>
      </w:pPr>
    </w:p>
    <w:p>
      <w:pPr>
        <w:jc w:val="both"/>
        <w:ind w:firstLine="987"/>
        <w:spacing w:after="0" w:line="258" w:lineRule="auto"/>
        <w:tabs>
          <w:tab w:leader="none" w:pos="12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Clear Market</w:t>
      </w:r>
      <w:r>
        <w:rPr>
          <w:rFonts w:ascii="Times New Roman" w:cs="Times New Roman" w:eastAsia="Times New Roman" w:hAnsi="Times New Roman"/>
          <w:sz w:val="18"/>
          <w:szCs w:val="18"/>
          <w:color w:val="auto"/>
        </w:rPr>
        <w:t>. During the period from the date hereof through and including the Closing Date, the Company will not, without the prior written consent of the Representatives (which consent may be withheld at their respective sole discretion), directly or indirectly, sell, offer, contract or grant any option to sell, pledge, transfer or establish an open “put equivalent position” within the meaning of Rule 16a-1 under the Exchange Act, or otherwise dispose of or transfer, or announce the offering of, or file any registration statement under the Securities Act in respect of, any debt securities of the Company or securities exchangeable for or convertible into debt securities of the Company (other than as contemplated by this Agreement).</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apply the net proceeds from the sale of the Securities as described in each of the Registration Statement, the Time of Sale Information and the Prospectus under the heading “Use of Proceeds.”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The Company will assist the Representatives in arranging for the Securities to be eligible for clearance and settlement through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w:t>
      </w:r>
    </w:p>
    <w:p>
      <w:pPr>
        <w:spacing w:after="0" w:line="206"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Stabilization</w:t>
      </w:r>
      <w:r>
        <w:rPr>
          <w:rFonts w:ascii="Times New Roman" w:cs="Times New Roman" w:eastAsia="Times New Roman" w:hAnsi="Times New Roman"/>
          <w:sz w:val="18"/>
          <w:szCs w:val="18"/>
          <w:color w:val="auto"/>
        </w:rPr>
        <w:t>. The Company will not take, directly or indirectly, any action designed to or that could reasonably be expected to cause or result in any stabilization or manipulation of the price of the Securities.</w:t>
      </w:r>
    </w:p>
    <w:p>
      <w:pPr>
        <w:spacing w:after="0" w:line="159" w:lineRule="exact"/>
        <w:rPr>
          <w:rFonts w:ascii="Times New Roman" w:cs="Times New Roman" w:eastAsia="Times New Roman" w:hAnsi="Times New Roman"/>
          <w:sz w:val="18"/>
          <w:szCs w:val="18"/>
          <w:color w:val="auto"/>
        </w:rPr>
      </w:pPr>
    </w:p>
    <w:p>
      <w:pPr>
        <w:ind w:right="20" w:firstLine="987"/>
        <w:spacing w:after="0" w:line="284"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During the Prospectus Delivery Period, the Company will file all documents required to be filed with the Commission pursuant to Section 13, 14 or 15 of the Exchange Act in the manner and within the time periods required by the Exchange Act.</w:t>
      </w:r>
    </w:p>
    <w:p>
      <w:pPr>
        <w:spacing w:after="0" w:line="158" w:lineRule="exact"/>
        <w:rPr>
          <w:rFonts w:ascii="Times New Roman" w:cs="Times New Roman" w:eastAsia="Times New Roman" w:hAnsi="Times New Roman"/>
          <w:sz w:val="18"/>
          <w:szCs w:val="18"/>
          <w:color w:val="auto"/>
        </w:rPr>
      </w:pPr>
    </w:p>
    <w:p>
      <w:pPr>
        <w:ind w:right="20" w:firstLine="987"/>
        <w:spacing w:after="0" w:line="284"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Term Sheet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prepare a final term sheet in a form approved by the Representatives, and will file such term sheet pursuant to Rule 433(d) under the Securities Act within the time required by such rule (such term sheet, the “</w:t>
      </w:r>
      <w:r>
        <w:rPr>
          <w:rFonts w:ascii="Times New Roman" w:cs="Times New Roman" w:eastAsia="Times New Roman" w:hAnsi="Times New Roman"/>
          <w:sz w:val="18"/>
          <w:szCs w:val="18"/>
          <w:u w:val="single" w:color="auto"/>
          <w:color w:val="auto"/>
        </w:rPr>
        <w:t>Final Term Sheet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225" w:lineRule="exact"/>
        <w:rPr>
          <w:sz w:val="20"/>
          <w:szCs w:val="20"/>
          <w:color w:val="auto"/>
        </w:rPr>
      </w:pPr>
    </w:p>
    <w:p>
      <w:pPr>
        <w:jc w:val="both"/>
        <w:ind w:right="20" w:firstLine="987"/>
        <w:spacing w:after="0" w:line="266" w:lineRule="auto"/>
        <w:tabs>
          <w:tab w:leader="none" w:pos="12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w:t>
      </w:r>
    </w:p>
    <w:p>
      <w:pPr>
        <w:sectPr>
          <w:pgSz w:w="11900" w:h="16838" w:orient="portrait"/>
          <w:cols w:equalWidth="0" w:num="1">
            <w:col w:w="11020"/>
          </w:cols>
          <w:pgMar w:left="440" w:top="270" w:right="439" w:bottom="1440" w:gutter="0" w:footer="0" w:header="0"/>
        </w:sectPr>
      </w:pPr>
    </w:p>
    <w:bookmarkStart w:id="20" w:name="page21"/>
    <w:bookmarkEnd w:id="20"/>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other than (i) a free writing prospectus that, solely as a result of use by such Underwriter, would not trigger an obligation to file such free writing prospectus with the Commission pursuant to Rule 433, (ii) any Issuer Free Writing Prospectus listed on Annex B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 w:cs="Times New Roman" w:eastAsia="Times New Roman" w:hAnsi="Times New Roman"/>
          <w:sz w:val="18"/>
          <w:szCs w:val="18"/>
          <w:u w:val="single" w:color="auto"/>
          <w:color w:val="auto"/>
        </w:rPr>
        <w:t>Underwriter Free Writing Prospectus</w:t>
      </w:r>
      <w:r>
        <w:rPr>
          <w:rFonts w:ascii="Times New Roman" w:cs="Times New Roman" w:eastAsia="Times New Roman" w:hAnsi="Times New Roman"/>
          <w:sz w:val="18"/>
          <w:szCs w:val="18"/>
          <w:color w:val="auto"/>
        </w:rPr>
        <w:t>”). Notwithstanding the foregoing, the Underwriters may use the Pricing Term Sheet referred to in Annex C hereto without the consent of the Company.</w:t>
      </w:r>
    </w:p>
    <w:p>
      <w:pPr>
        <w:spacing w:after="0" w:line="183" w:lineRule="exact"/>
        <w:rPr>
          <w:sz w:val="20"/>
          <w:szCs w:val="20"/>
          <w:color w:val="auto"/>
        </w:rPr>
      </w:pPr>
    </w:p>
    <w:p>
      <w:pPr>
        <w:ind w:right="20" w:firstLine="987"/>
        <w:spacing w:after="0" w:line="282" w:lineRule="auto"/>
        <w:tabs>
          <w:tab w:leader="none" w:pos="12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5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offered, sold or otherwise made available and will not offer, sell or otherwise make available any Securities to any EEA Retail Investor in the European Economic Area. For the purposes of this provision:</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w:t>
      </w:r>
      <w:r>
        <w:rPr>
          <w:rFonts w:ascii="Times New Roman" w:cs="Times New Roman" w:eastAsia="Times New Roman" w:hAnsi="Times New Roman"/>
          <w:sz w:val="18"/>
          <w:szCs w:val="18"/>
          <w:u w:val="single" w:color="auto"/>
          <w:color w:val="auto"/>
        </w:rPr>
        <w:t>EEA Retail Investor</w:t>
      </w:r>
      <w:r>
        <w:rPr>
          <w:rFonts w:ascii="Times New Roman" w:cs="Times New Roman" w:eastAsia="Times New Roman" w:hAnsi="Times New Roman"/>
          <w:sz w:val="18"/>
          <w:szCs w:val="18"/>
          <w:color w:val="auto"/>
        </w:rPr>
        <w:t>” means a person who is one (or more) of the following:</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w:t>
      </w:r>
      <w:r>
        <w:rPr>
          <w:rFonts w:ascii="Times New Roman" w:cs="Times New Roman" w:eastAsia="Times New Roman" w:hAnsi="Times New Roman"/>
          <w:sz w:val="18"/>
          <w:szCs w:val="18"/>
          <w:u w:val="single" w:color="auto"/>
          <w:color w:val="auto"/>
        </w:rPr>
        <w:t>MiFID II</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86"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where that customer would not qualify as a professional client as defined in point (10) of Article 4(1) of MiFID II; or</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Regulation (EU) 2017/1129; and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Securities to be offered so as to enable an investor to decide to purchase or subscribe the Securities.</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offered, sold or otherwise made available and will not offer, sell or otherwise make available any Securities to any UK Retail Investor in the United Kingdom (the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For the purposes of this provision:</w:t>
      </w:r>
    </w:p>
    <w:p>
      <w:pPr>
        <w:spacing w:after="0" w:line="54" w:lineRule="exact"/>
        <w:rPr>
          <w:sz w:val="20"/>
          <w:szCs w:val="20"/>
          <w:color w:val="auto"/>
        </w:rPr>
      </w:pPr>
    </w:p>
    <w:p>
      <w:pPr>
        <w:ind w:left="1080" w:hanging="221"/>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w:t>
      </w:r>
      <w:r>
        <w:rPr>
          <w:rFonts w:ascii="Times New Roman" w:cs="Times New Roman" w:eastAsia="Times New Roman" w:hAnsi="Times New Roman"/>
          <w:sz w:val="18"/>
          <w:szCs w:val="18"/>
          <w:u w:val="single" w:color="auto"/>
          <w:color w:val="auto"/>
        </w:rPr>
        <w:t>UK Retail Investor</w:t>
      </w:r>
      <w:r>
        <w:rPr>
          <w:rFonts w:ascii="Times New Roman" w:cs="Times New Roman" w:eastAsia="Times New Roman" w:hAnsi="Times New Roman"/>
          <w:sz w:val="18"/>
          <w:szCs w:val="18"/>
          <w:color w:val="auto"/>
        </w:rPr>
        <w:t>” means a person who is neither:</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8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(8) of Article 2 of Regulation (EU) 2017/565 as it forms part of UK domestic law by virtue of the European Union (Withdrawal) Act 2018 (as amended, the “</w:t>
      </w:r>
      <w:r>
        <w:rPr>
          <w:rFonts w:ascii="Times New Roman" w:cs="Times New Roman" w:eastAsia="Times New Roman" w:hAnsi="Times New Roman"/>
          <w:sz w:val="18"/>
          <w:szCs w:val="18"/>
          <w:u w:val="single" w:color="auto"/>
          <w:color w:val="auto"/>
        </w:rPr>
        <w:t>EUWA</w:t>
      </w:r>
      <w:r>
        <w:rPr>
          <w:rFonts w:ascii="Times New Roman" w:cs="Times New Roman" w:eastAsia="Times New Roman" w:hAnsi="Times New Roman"/>
          <w:sz w:val="18"/>
          <w:szCs w:val="18"/>
          <w:color w:val="auto"/>
        </w:rPr>
        <w:t>”); nor</w:t>
      </w:r>
    </w:p>
    <w:p>
      <w:pPr>
        <w:spacing w:after="0" w:line="53"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investor as defined in paragraph 15 of Schedule 1 to the Public Offers and Admissions to Trading Regulations 2024 (SI 2024/105); and</w:t>
      </w:r>
    </w:p>
    <w:p>
      <w:pPr>
        <w:sectPr>
          <w:pgSz w:w="11900" w:h="16838" w:orient="portrait"/>
          <w:cols w:equalWidth="0" w:num="1">
            <w:col w:w="11020"/>
          </w:cols>
          <w:pgMar w:left="440" w:top="270" w:right="439" w:bottom="1440" w:gutter="0" w:footer="0" w:header="0"/>
        </w:sectPr>
      </w:pPr>
    </w:p>
    <w:bookmarkStart w:id="21" w:name="page22"/>
    <w:bookmarkEnd w:id="21"/>
    <w:p>
      <w:pPr>
        <w:ind w:left="444" w:right="20" w:firstLine="419"/>
        <w:spacing w:after="0" w:line="282" w:lineRule="auto"/>
        <w:tabs>
          <w:tab w:leader="none" w:pos="11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expression “offer” includes the communication in any form and by any means of sufficient information on the terms of the offer and the Securities to be offered so as to enable an investor to decide to purchase or subscribe the Securities.</w:t>
      </w:r>
    </w:p>
    <w:p>
      <w:pPr>
        <w:spacing w:after="0" w:line="161"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5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w:t>
      </w:r>
      <w:r>
        <w:rPr>
          <w:rFonts w:ascii="Times New Roman" w:cs="Times New Roman" w:eastAsia="Times New Roman" w:hAnsi="Times New Roman"/>
          <w:sz w:val="18"/>
          <w:szCs w:val="18"/>
          <w:u w:val="single" w:color="auto"/>
          <w:color w:val="auto"/>
        </w:rPr>
        <w:t>FSMA</w:t>
      </w:r>
      <w:r>
        <w:rPr>
          <w:rFonts w:ascii="Times New Roman" w:cs="Times New Roman" w:eastAsia="Times New Roman" w:hAnsi="Times New Roman"/>
          <w:sz w:val="18"/>
          <w:szCs w:val="18"/>
          <w:color w:val="auto"/>
        </w:rPr>
        <w:t>”)) received by it in connection with the issue or sale of the Securities in circumstances in which Section 21(1) of the FSMA does not apply to the Company.</w:t>
      </w:r>
    </w:p>
    <w:p>
      <w:pPr>
        <w:spacing w:after="0" w:line="175" w:lineRule="exact"/>
        <w:rPr>
          <w:rFonts w:ascii="Times New Roman" w:cs="Times New Roman" w:eastAsia="Times New Roman" w:hAnsi="Times New Roman"/>
          <w:sz w:val="18"/>
          <w:szCs w:val="18"/>
          <w:color w:val="auto"/>
        </w:rPr>
      </w:pPr>
    </w:p>
    <w:p>
      <w:pPr>
        <w:ind w:left="4" w:firstLine="987"/>
        <w:spacing w:after="0" w:line="282" w:lineRule="auto"/>
        <w:tabs>
          <w:tab w:leader="none" w:pos="124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Securities in, from or otherwise involving the United Kingdom.</w:t>
      </w:r>
    </w:p>
    <w:p>
      <w:pPr>
        <w:spacing w:after="0" w:line="162" w:lineRule="exact"/>
        <w:rPr>
          <w:sz w:val="20"/>
          <w:szCs w:val="20"/>
          <w:color w:val="auto"/>
        </w:rPr>
      </w:pPr>
    </w:p>
    <w:p>
      <w:pPr>
        <w:ind w:left="4" w:right="20" w:firstLine="987"/>
        <w:spacing w:after="0" w:line="282" w:lineRule="auto"/>
        <w:tabs>
          <w:tab w:leader="none" w:pos="11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 of each Underwriter to purchase Securities on the Closing Date as provided herein is subject to the performance by the Company of its covenants and other obligations hereunder and to the following additional conditions:</w:t>
      </w:r>
    </w:p>
    <w:p>
      <w:pPr>
        <w:spacing w:after="0" w:line="162" w:lineRule="exact"/>
        <w:rPr>
          <w:sz w:val="20"/>
          <w:szCs w:val="20"/>
          <w:color w:val="auto"/>
        </w:rPr>
      </w:pPr>
    </w:p>
    <w:p>
      <w:pPr>
        <w:jc w:val="both"/>
        <w:ind w:left="4" w:right="20" w:firstLine="987"/>
        <w:spacing w:after="0" w:line="258" w:lineRule="auto"/>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Compliance; No Stop Order</w:t>
      </w:r>
      <w:r>
        <w:rPr>
          <w:rFonts w:ascii="Times New Roman" w:cs="Times New Roman" w:eastAsia="Times New Roman" w:hAnsi="Times New Roman"/>
          <w:sz w:val="18"/>
          <w:szCs w:val="18"/>
          <w:color w:val="auto"/>
        </w:rPr>
        <w:t>.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83"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on the date hereof and on and as of the Closing Date; and the statements of the Company and its officers made in any certificates delivered pursuant to this Agreement shall be true and correct on and as of the Closing Date.</w:t>
      </w:r>
    </w:p>
    <w:p>
      <w:pPr>
        <w:spacing w:after="0" w:line="175" w:lineRule="exact"/>
        <w:rPr>
          <w:rFonts w:ascii="Times New Roman" w:cs="Times New Roman" w:eastAsia="Times New Roman" w:hAnsi="Times New Roman"/>
          <w:sz w:val="18"/>
          <w:szCs w:val="18"/>
          <w:color w:val="auto"/>
        </w:rPr>
      </w:pPr>
    </w:p>
    <w:p>
      <w:pPr>
        <w:jc w:val="both"/>
        <w:ind w:left="4" w:right="20" w:firstLine="987"/>
        <w:spacing w:after="0" w:line="257" w:lineRule="auto"/>
        <w:tabs>
          <w:tab w:leader="none" w:pos="126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Downgrade</w:t>
      </w:r>
      <w:r>
        <w:rPr>
          <w:rFonts w:ascii="Times New Roman" w:cs="Times New Roman" w:eastAsia="Times New Roman" w:hAnsi="Times New Roman"/>
          <w:sz w:val="18"/>
          <w:szCs w:val="18"/>
          <w:color w:val="auto"/>
        </w:rPr>
        <w:t>. Subsequent to the earlier of (A) the Time of Sale and (B) the execution and delivery of this Agreement, (i) no downgrading shall have occurred in the rating accorded the Securities or any other debt securities issued or guaranteed by the Company or any of its subsidiaries by any “nationally recognized statistical rating organization,” as such term is defined under Section 3(a)(62) under the Exchange Act and</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2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organization shall have publicly announced that it has under surveillance or review, or has changed its outlook with respect to, its rating of the Securities or of any other debt securities issued or guaranteed by the Company or any of its subsidiaries (other than an announcement with positive implications of a possible upgrading).</w:t>
      </w:r>
    </w:p>
    <w:p>
      <w:pPr>
        <w:spacing w:after="0" w:line="185"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5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No event or condition of a type described in Section 3(g) hereof shall have occurred or shall exist, which event or condition is not described in each of the Time of Sale Information (excluding any amendment or supplement thereto) and the Prospectus (excluding any amendment or supplement thereto) the effect of which in the judgment</w:t>
      </w:r>
    </w:p>
    <w:p>
      <w:pPr>
        <w:sectPr>
          <w:pgSz w:w="11900" w:h="16838" w:orient="portrait"/>
          <w:cols w:equalWidth="0" w:num="1">
            <w:col w:w="11024"/>
          </w:cols>
          <w:pgMar w:left="436" w:top="270" w:right="439" w:bottom="1440" w:gutter="0" w:footer="0" w:header="0"/>
        </w:sectPr>
      </w:pPr>
    </w:p>
    <w:bookmarkStart w:id="22" w:name="page23"/>
    <w:bookmarkEnd w:id="22"/>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Representatives makes it impracticable or inadvisable to proceed with the offering, sale or delivery of the Securities on the terms and in the manner contemplated by this Agreement, the Time of Sale Information and the Prospectus.</w:t>
      </w:r>
    </w:p>
    <w:p>
      <w:pPr>
        <w:spacing w:after="0" w:line="162" w:lineRule="exact"/>
        <w:rPr>
          <w:sz w:val="20"/>
          <w:szCs w:val="20"/>
          <w:color w:val="auto"/>
        </w:rPr>
      </w:pPr>
    </w:p>
    <w:p>
      <w:pPr>
        <w:jc w:val="both"/>
        <w:ind w:firstLine="987"/>
        <w:spacing w:after="0" w:line="254"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Representatives shall have received on and as of the Closing Date a certificate of an executive officer of the Company who has specific knowledge of the Company’s financial matters and is satisfactory to the Representatives (i) confirming that such officer has carefully reviewed the Registration Statement, the Time of Sale Information, the Prospectus and any supplement thereto, any Issuer Free Writing Prospectus and any amendment or supplement thereto and this Agreement and, to the best knowledge of such officer, the representations set forth in Sections 3(b) and 3(d) hereof are true and correct, (ii) confirming that the other representations and warranties of the Company in this Agreement are true and correct on and as of the Closing Date with the same force and effect as though expressly made on and as of the Closing Date and that the Company has complied with all agreements and satisfied all conditions on its part to be performed or satisfied hereunder at or prior to the Closing Date and (iii) to the effect set forth in paragraphs (a), (c) and (d) above.</w:t>
      </w:r>
    </w:p>
    <w:p>
      <w:pPr>
        <w:spacing w:after="0" w:line="19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7"/>
        <w:spacing w:after="0" w:line="256"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xml:space="preserve">. On the date of this Agreement and on the Closing Date, KPMG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Time of Sale Information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letter delivered on the Closing Date shall use a “cut-off” date no more than three business days prior to the Closing Date.</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and 10b-5 Statement of Counsel for the Company</w:t>
      </w:r>
      <w:r>
        <w:rPr>
          <w:rFonts w:ascii="Times New Roman" w:cs="Times New Roman" w:eastAsia="Times New Roman" w:hAnsi="Times New Roman"/>
          <w:sz w:val="18"/>
          <w:szCs w:val="18"/>
          <w:color w:val="auto"/>
        </w:rPr>
        <w:t>. Skadden, Arps, Slate, Meagher &amp; Flom LLP, counsel for the Company, shall have furnished to the Representatives, at the request of the Company, their written opinion and 10b-5 Statement, dated the Closing Date and addressed to the Underwriters, in form and substance reasonably satisfactory to the Representatives, to the effect set forth in Annex A hereto.</w:t>
      </w:r>
    </w:p>
    <w:p>
      <w:pPr>
        <w:spacing w:after="0" w:line="175" w:lineRule="exact"/>
        <w:rPr>
          <w:rFonts w:ascii="Times New Roman" w:cs="Times New Roman" w:eastAsia="Times New Roman" w:hAnsi="Times New Roman"/>
          <w:sz w:val="18"/>
          <w:szCs w:val="18"/>
          <w:color w:val="auto"/>
        </w:rPr>
      </w:pPr>
    </w:p>
    <w:p>
      <w:pPr>
        <w:jc w:val="both"/>
        <w:ind w:firstLine="987"/>
        <w:spacing w:after="0" w:line="261" w:lineRule="auto"/>
        <w:tabs>
          <w:tab w:leader="none" w:pos="12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and 10b-5 Statement of Counsel for the Underwriters</w:t>
      </w:r>
      <w:r>
        <w:rPr>
          <w:rFonts w:ascii="Times New Roman" w:cs="Times New Roman" w:eastAsia="Times New Roman" w:hAnsi="Times New Roman"/>
          <w:sz w:val="18"/>
          <w:szCs w:val="18"/>
          <w:color w:val="auto"/>
        </w:rPr>
        <w:t>. The Representatives shall have received on and as of the Closing Date an opinion and 10b-5 statement of Cadwalader, Wickersham &amp; Taft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The Representatives shall have received an opinion of Skadden, Arps, Slate Meagher &amp; Flom LLP, counsel for the Company, or other counsel of the Company reasonably satisfactory to the Representatives (i) dated as of the Closing Date, and (ii) that, in the opinion of such counsel, the discussion set forth in the Time of Sale Information</w:t>
      </w:r>
    </w:p>
    <w:p>
      <w:pPr>
        <w:sectPr>
          <w:pgSz w:w="11900" w:h="16838" w:orient="portrait"/>
          <w:cols w:equalWidth="0" w:num="1">
            <w:col w:w="11020"/>
          </w:cols>
          <w:pgMar w:left="440" w:top="270"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to the United States federal tax treatment of the Securities, constitutes a fair and accurate summary of the same.</w:t>
      </w:r>
    </w:p>
    <w:p>
      <w:pPr>
        <w:spacing w:after="0" w:line="225" w:lineRule="exact"/>
        <w:rPr>
          <w:sz w:val="20"/>
          <w:szCs w:val="20"/>
          <w:color w:val="auto"/>
        </w:rPr>
      </w:pPr>
    </w:p>
    <w:p>
      <w:pPr>
        <w:jc w:val="both"/>
        <w:ind w:right="20" w:firstLine="987"/>
        <w:spacing w:after="0" w:line="261"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Impediment to Issuance</w:t>
      </w:r>
      <w:r>
        <w:rPr>
          <w:rFonts w:ascii="Times New Roman" w:cs="Times New Roman" w:eastAsia="Times New Roman" w:hAnsi="Times New Roman"/>
          <w:sz w:val="18"/>
          <w:szCs w:val="18"/>
          <w:color w:val="auto"/>
        </w:rPr>
        <w:t>. No action shall have been taken and no statute, rule, regulation or order shall have been enacted, adopted or 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The Representatives shall have received on and as of the Closing Date satisfactory evidence of the good standing of the Company and its material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179"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The Securities shall be eligible for clearance and settlement through DTC.</w:t>
      </w:r>
    </w:p>
    <w:p>
      <w:pPr>
        <w:spacing w:after="0" w:line="225" w:lineRule="exact"/>
        <w:rPr>
          <w:rFonts w:ascii="Times New Roman" w:cs="Times New Roman" w:eastAsia="Times New Roman" w:hAnsi="Times New Roman"/>
          <w:sz w:val="18"/>
          <w:szCs w:val="18"/>
          <w:color w:val="auto"/>
        </w:rPr>
      </w:pPr>
    </w:p>
    <w:p>
      <w:pPr>
        <w:jc w:val="both"/>
        <w:ind w:firstLine="987"/>
        <w:spacing w:after="0" w:line="266"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 and Securities</w:t>
      </w:r>
      <w:r>
        <w:rPr>
          <w:rFonts w:ascii="Times New Roman" w:cs="Times New Roman" w:eastAsia="Times New Roman" w:hAnsi="Times New Roman"/>
          <w:sz w:val="18"/>
          <w:szCs w:val="18"/>
          <w:color w:val="auto"/>
        </w:rPr>
        <w:t>. The Seventeenth Supplemental Indenture shall have been duly executed and delivered by a duly authorized officer of the Company and the Trustee, and the Securities shall have been duly executed and delivered by a duly authorized officer of the Company and duly authenticated by the Trustee.</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Documents</w:t>
      </w:r>
      <w:r>
        <w:rPr>
          <w:rFonts w:ascii="Times New Roman" w:cs="Times New Roman" w:eastAsia="Times New Roman" w:hAnsi="Times New Roman"/>
          <w:sz w:val="18"/>
          <w:szCs w:val="18"/>
          <w:color w:val="auto"/>
        </w:rPr>
        <w:t>. At the Closing Date, the Company shall have furnished counsel for the Company or the Underwriters, as the case may be, such documents as they reasonably require for the purpose of enabling them to pass upon the issuance and sale of the Securities as herein contemplated, or in order to evidence the accuracy of any of the representations or warranties or fulfillment of any of the conditions herein contained.</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6 is not satisfied when and as required to be satisfied, this Agreement may be terminated by the Representatives by notice to the Company at any time on or prior to the Closing Date, which termination shall be without liability on the part of any party to any other party, except that Section 7, Section 11, Section 13 and Sections 17(c), (d) and (e) shall at all times be effective and shall survive such termination.</w:t>
      </w:r>
    </w:p>
    <w:p>
      <w:pPr>
        <w:spacing w:after="0" w:line="180" w:lineRule="exact"/>
        <w:rPr>
          <w:sz w:val="20"/>
          <w:szCs w:val="20"/>
          <w:color w:val="auto"/>
        </w:rPr>
      </w:pPr>
    </w:p>
    <w:p>
      <w:pPr>
        <w:ind w:left="1160" w:hanging="173"/>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61" w:lineRule="auto"/>
        <w:tabs>
          <w:tab w:leader="none" w:pos="12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Underwriters</w:t>
      </w:r>
      <w:r>
        <w:rPr>
          <w:rFonts w:ascii="Times New Roman" w:cs="Times New Roman" w:eastAsia="Times New Roman" w:hAnsi="Times New Roman"/>
          <w:sz w:val="18"/>
          <w:szCs w:val="18"/>
          <w:color w:val="auto"/>
        </w:rPr>
        <w:t>.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w:t>
      </w:r>
    </w:p>
    <w:p>
      <w:pPr>
        <w:sectPr>
          <w:pgSz w:w="11900" w:h="16838" w:orient="portrait"/>
          <w:cols w:equalWidth="0" w:num="1">
            <w:col w:w="11020"/>
          </w:cols>
          <w:pgMar w:left="440" w:top="270" w:right="4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several, to which such Underwriter may become subject, under the Securities Act or otherwise, that arise out of, or are based upon, (i) any untrue statement or alleged untrue statement of a material fact contained in the Registration Statement or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any omission or alleged omission to state therein a material fact necessary in order to make the statements therein, in the light of the circumstances under which they were made, not misleading, in each case; and will reimburse each Underwriter for any legal or other expenses reasonably incurred by such Underwriter in connection with investigating or defending any such action or claim as such expenses are incurred,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shall not be liable in any such case, to the extent such losses, claims, damages or liabilities arise out of, or are based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untrue statement or omission or alleged untrue statement or omission made in reliance upon and in conformity with any information relating to any Underwriter furnished to the Company in writing by such Underwriter through the Representatives expressly for use therein.</w:t>
      </w:r>
    </w:p>
    <w:p>
      <w:pPr>
        <w:spacing w:after="0" w:line="194" w:lineRule="exact"/>
        <w:rPr>
          <w:sz w:val="20"/>
          <w:szCs w:val="20"/>
          <w:color w:val="auto"/>
        </w:rPr>
      </w:pPr>
    </w:p>
    <w:p>
      <w:pPr>
        <w:jc w:val="both"/>
        <w:ind w:firstLine="987"/>
        <w:spacing w:after="0" w:line="253"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Each Underwriter agrees, severally and not jointly, to indemnify and hold harmless the Company, its directors and officers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and will reimburse the Company for any legal or other expenses reasonably incurred by the Company in connection with investigating or defending any such action or claim as such expenses are incurred, it being understood and agreed that the only such information consists of (i) first sentence of the second paragraph of text and the third paragraph of text under the caption “Underwriting” in the Preliminary Prospectus and the Prospectus, concerning the terms of the offering by the Underwriters, (ii) the sixth paragraph of text under the caption “Underwriting” in the Preliminary Prospectus and the Prospectus, concerning stabilization and over-allotment by the Underwriters, (iii) the eighth paragraph of text under the caption “Underwriting” in the Preliminary Prospectus and the Prospectus, concerning market making by the Underwriters, and (iv) the ninth paragraph of text under the caption “Underwriting” in the Preliminary Prospectus and the Prospectus, concerning investment banking activities.</w:t>
      </w:r>
    </w:p>
    <w:p>
      <w:pPr>
        <w:spacing w:after="0" w:line="187" w:lineRule="exact"/>
        <w:rPr>
          <w:rFonts w:ascii="Times New Roman" w:cs="Times New Roman" w:eastAsia="Times New Roman" w:hAnsi="Times New Roman"/>
          <w:sz w:val="18"/>
          <w:szCs w:val="18"/>
          <w:color w:val="auto"/>
        </w:rPr>
      </w:pPr>
    </w:p>
    <w:p>
      <w:pPr>
        <w:jc w:val="both"/>
        <w:ind w:firstLine="987"/>
        <w:spacing w:after="0" w:line="258"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Procedures</w:t>
      </w:r>
      <w:r>
        <w:rPr>
          <w:rFonts w:ascii="Times New Roman" w:cs="Times New Roman" w:eastAsia="Times New Roman" w:hAnsi="Times New Roman"/>
          <w:sz w:val="18"/>
          <w:szCs w:val="18"/>
          <w:color w:val="auto"/>
        </w:rPr>
        <w:t>.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shall promptly notify the person against whom such indemnification may be sought (the “</w:t>
      </w:r>
      <w:r>
        <w:rPr>
          <w:rFonts w:ascii="Times New Roman" w:cs="Times New Roman" w:eastAsia="Times New Roman" w:hAnsi="Times New Roman"/>
          <w:sz w:val="18"/>
          <w:szCs w:val="18"/>
          <w:u w:val="single" w:color="auto"/>
          <w:color w:val="auto"/>
        </w:rPr>
        <w:t>Indemnifying Person</w:t>
      </w:r>
      <w:r>
        <w:rPr>
          <w:rFonts w:ascii="Times New Roman" w:cs="Times New Roman" w:eastAsia="Times New Roman" w:hAnsi="Times New Roman"/>
          <w:sz w:val="18"/>
          <w:szCs w:val="18"/>
          <w:color w:val="auto"/>
        </w:rPr>
        <w:t xml:space="preserv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25" w:name="page26"/>
    <w:bookmarkEnd w:id="25"/>
    <w:p>
      <w:pPr>
        <w:jc w:val="both"/>
        <w:ind w:left="4"/>
        <w:spacing w:after="0" w:line="25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for any Underwriter, its affiliates, directors and officers and any control persons of such Underwriter shall be designated in writing by the Representatives and any such separate firm for the Company, its directors and officers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w:t>
      </w:r>
    </w:p>
    <w:p>
      <w:pPr>
        <w:spacing w:after="0" w:line="8" w:lineRule="exact"/>
        <w:rPr>
          <w:sz w:val="20"/>
          <w:szCs w:val="20"/>
          <w:color w:val="auto"/>
        </w:rPr>
      </w:pPr>
    </w:p>
    <w:p>
      <w:pPr>
        <w:jc w:val="both"/>
        <w:ind w:left="4" w:hanging="4"/>
        <w:spacing w:after="0" w:line="252" w:lineRule="auto"/>
        <w:tabs>
          <w:tab w:leader="none" w:pos="2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8"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paragraph (a) or (b) above is unavailable to an Indemnified Person or insufficient in respect of any losses, claims, damages or liabilities (or actions in respect thereof) referred to therein, then each Indemnifying</w:t>
      </w:r>
    </w:p>
    <w:p>
      <w:pPr>
        <w:sectPr>
          <w:pgSz w:w="11900" w:h="16838" w:orient="portrait"/>
          <w:cols w:equalWidth="0" w:num="1">
            <w:col w:w="11024"/>
          </w:cols>
          <w:pgMar w:left="436" w:top="270" w:right="4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90" w:lineRule="exact"/>
        <w:rPr>
          <w:sz w:val="20"/>
          <w:szCs w:val="20"/>
          <w:color w:val="auto"/>
        </w:rPr>
      </w:pPr>
    </w:p>
    <w:p>
      <w:pPr>
        <w:jc w:val="both"/>
        <w:ind w:firstLine="987"/>
        <w:spacing w:after="0" w:line="253"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xml:space="preserve">. The Company and the Underwriters agree that it would not be just and equitable if contribution pursuant to this Section 7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91"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Non-Exclusive Remedies</w:t>
      </w:r>
      <w:r>
        <w:rPr>
          <w:rFonts w:ascii="Times New Roman" w:cs="Times New Roman" w:eastAsia="Times New Roman" w:hAnsi="Times New Roman"/>
          <w:sz w:val="18"/>
          <w:szCs w:val="18"/>
          <w:color w:val="auto"/>
        </w:rPr>
        <w:t>. The obligations of the Company under this Section 7 shall be in addition to any liability which the Company may otherwise have and shall extend, upon the same terms and conditions, to each person, if any, who controls any Underwriter within the meaning of the Securities Act and each broker-dealer affiliate of any Underwriter; and the obligations of each Underwriter under this Section 7 shall be in addition to any liability which such Underwriter may otherwise have and shall extend, upon the same terms and conditions, to each officer and director of the Company and to each person, if any, who controls the Underwriter within the meaning of the Securities Act.</w:t>
      </w:r>
    </w:p>
    <w:p>
      <w:pPr>
        <w:sectPr>
          <w:pgSz w:w="11900" w:h="16838" w:orient="portrait"/>
          <w:cols w:equalWidth="0" w:num="1">
            <w:col w:w="11020"/>
          </w:cols>
          <w:pgMar w:left="440" w:top="270" w:right="439" w:bottom="1440" w:gutter="0" w:footer="0" w:header="0"/>
        </w:sectPr>
      </w:pPr>
    </w:p>
    <w:bookmarkStart w:id="27" w:name="page28"/>
    <w:bookmarkEnd w:id="27"/>
    <w:p>
      <w:pPr>
        <w:ind w:left="173" w:hanging="173"/>
        <w:spacing w:after="0"/>
        <w:tabs>
          <w:tab w:leader="none" w:pos="1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Effectiveness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rFonts w:ascii="Times New Roman" w:cs="Times New Roman" w:eastAsia="Times New Roman" w:hAnsi="Times New Roman"/>
          <w:sz w:val="18"/>
          <w:szCs w:val="18"/>
          <w:color w:val="auto"/>
        </w:rPr>
      </w:pPr>
    </w:p>
    <w:p>
      <w:pPr>
        <w:jc w:val="both"/>
        <w:ind w:left="-987" w:firstLine="987"/>
        <w:spacing w:after="0" w:line="254" w:lineRule="auto"/>
        <w:tabs>
          <w:tab w:leader="none" w:pos="1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by notice to the Company, if after the execution and delivery of this Agreement and on or prior to the Closing Date (i) trading generally shall have been suspended or materially limited on the New York Stock Exchange or the over-the-counter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spacing w:after="0" w:line="191" w:lineRule="exact"/>
        <w:rPr>
          <w:rFonts w:ascii="Times New Roman" w:cs="Times New Roman" w:eastAsia="Times New Roman" w:hAnsi="Times New Roman"/>
          <w:sz w:val="18"/>
          <w:szCs w:val="18"/>
          <w:color w:val="auto"/>
        </w:rPr>
      </w:pPr>
    </w:p>
    <w:p>
      <w:pPr>
        <w:jc w:val="both"/>
        <w:ind w:left="-987" w:firstLine="987"/>
        <w:spacing w:after="0" w:line="253" w:lineRule="auto"/>
        <w:tabs>
          <w:tab w:leader="none" w:pos="2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 (a) 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includes, for all purposes of this Agreement unless the context otherwise requires, any person not listed in Schedule 1 hereto that, pursuant to this Section 10, purchases Securities that a defaulting Underwriter agreed but failed to purchase.</w:t>
      </w:r>
    </w:p>
    <w:p>
      <w:pPr>
        <w:spacing w:after="0" w:line="190" w:lineRule="exact"/>
        <w:rPr>
          <w:sz w:val="20"/>
          <w:szCs w:val="20"/>
          <w:color w:val="auto"/>
        </w:rPr>
      </w:pPr>
    </w:p>
    <w:p>
      <w:pPr>
        <w:jc w:val="both"/>
        <w:ind w:left="-987" w:right="20" w:firstLine="987"/>
        <w:spacing w:after="0" w:line="256" w:lineRule="auto"/>
        <w:tabs>
          <w:tab w:leader="none" w:pos="2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share (based on the principal amount of Securities that such Underwriter agreed to purchase hereunder) of the Securities of such defaulting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left="-987" w:right="20" w:firstLine="987"/>
        <w:spacing w:after="0" w:line="282" w:lineRule="auto"/>
        <w:tabs>
          <w:tab w:leader="none" w:pos="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w:t>
      </w:r>
    </w:p>
    <w:p>
      <w:pPr>
        <w:sectPr>
          <w:pgSz w:w="11900" w:h="16838" w:orient="portrait"/>
          <w:cols w:equalWidth="0" w:num="1">
            <w:col w:w="10033"/>
          </w:cols>
          <w:pgMar w:left="1427" w:top="270" w:right="4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83" w:lineRule="exact"/>
        <w:rPr>
          <w:sz w:val="20"/>
          <w:szCs w:val="20"/>
          <w:color w:val="auto"/>
        </w:rPr>
      </w:pPr>
    </w:p>
    <w:p>
      <w:pPr>
        <w:ind w:right="20" w:firstLine="987"/>
        <w:spacing w:after="0" w:line="282" w:lineRule="auto"/>
        <w:tabs>
          <w:tab w:leader="none" w:pos="12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2" w:lineRule="exact"/>
        <w:rPr>
          <w:sz w:val="20"/>
          <w:szCs w:val="20"/>
          <w:color w:val="auto"/>
        </w:rPr>
      </w:pPr>
    </w:p>
    <w:p>
      <w:pPr>
        <w:jc w:val="both"/>
        <w:ind w:firstLine="987"/>
        <w:spacing w:after="0" w:line="253" w:lineRule="auto"/>
        <w:tabs>
          <w:tab w:leader="none" w:pos="12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(a) Whether or not the transactions contemplated by this Agreement are consummated or this Agreement is terminated, the Company agrees to pay or cause to be paid all costs and expenses incident to the performance of its obligations hereunder except as otherwise agreed among the Company and the Representatives,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the offering by, the Financial Industry Regulatory Authority, and the approval of the Securities for book-entry transfer by DTC; and (ix) all expenses incurred by the Company in connection with any “road show” presentation to potential investors.</w:t>
      </w:r>
    </w:p>
    <w:p>
      <w:pPr>
        <w:spacing w:after="0" w:line="187" w:lineRule="exact"/>
        <w:rPr>
          <w:sz w:val="20"/>
          <w:szCs w:val="20"/>
          <w:color w:val="auto"/>
        </w:rPr>
      </w:pPr>
    </w:p>
    <w:p>
      <w:pPr>
        <w:jc w:val="both"/>
        <w:ind w:firstLine="987"/>
        <w:spacing w:after="0" w:line="261" w:lineRule="auto"/>
        <w:tabs>
          <w:tab w:leader="none" w:pos="1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(ii) the Company for any reason fails to tender the Securities for delivery to the Underwriters consistent with the terms of the Indenture or (iii) the Underwriters decline to purchase the Securities for any reason permitted under this Agreement, the Company agrees to reimburse the Underwriters for all reasonable out-of-pocket costs and expenses (including the reasonable fees and expenses of their counsel) incurred by the Underwriters in connection with this Agreement and the offering contemplated hereby.</w:t>
      </w:r>
    </w:p>
    <w:p>
      <w:pPr>
        <w:spacing w:after="0" w:line="180" w:lineRule="exact"/>
        <w:rPr>
          <w:sz w:val="20"/>
          <w:szCs w:val="20"/>
          <w:color w:val="auto"/>
        </w:rPr>
      </w:pPr>
    </w:p>
    <w:p>
      <w:pPr>
        <w:jc w:val="both"/>
        <w:ind w:right="20" w:firstLine="987"/>
        <w:spacing w:after="0" w:line="266" w:lineRule="auto"/>
        <w:tabs>
          <w:tab w:leader="none" w:pos="126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w:t>
      </w:r>
    </w:p>
    <w:p>
      <w:pPr>
        <w:sectPr>
          <w:pgSz w:w="11900" w:h="16838" w:orient="portrait"/>
          <w:cols w:equalWidth="0" w:num="1">
            <w:col w:w="11020"/>
          </w:cols>
          <w:pgMar w:left="440" w:top="270" w:right="439" w:bottom="1440" w:gutter="0" w:footer="0" w:header="0"/>
        </w:sectPr>
      </w:pPr>
    </w:p>
    <w:bookmarkStart w:id="29" w:name="page30"/>
    <w:bookmarkEnd w:id="29"/>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62" w:lineRule="exact"/>
        <w:rPr>
          <w:sz w:val="20"/>
          <w:szCs w:val="20"/>
          <w:color w:val="auto"/>
        </w:rPr>
      </w:pPr>
    </w:p>
    <w:p>
      <w:pPr>
        <w:jc w:val="both"/>
        <w:ind w:left="4" w:firstLine="987"/>
        <w:spacing w:after="0" w:line="261" w:lineRule="auto"/>
        <w:tabs>
          <w:tab w:leader="none" w:pos="12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79"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set forth in Rule 405 under the Securities Act; (b)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day on which banks are permitted or required to be closed in New York City; and (c) 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has the meaning set forth in Rule 405 under the Securities Act.</w:t>
      </w:r>
    </w:p>
    <w:p>
      <w:pPr>
        <w:spacing w:after="0" w:line="175"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left="4" w:right="20" w:firstLine="987"/>
        <w:spacing w:after="0" w:line="261" w:lineRule="auto"/>
        <w:tabs>
          <w:tab w:leader="none" w:pos="125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w:t>
      </w:r>
    </w:p>
    <w:p>
      <w:pPr>
        <w:spacing w:after="0" w:line="27" w:lineRule="exact"/>
        <w:rPr>
          <w:rFonts w:ascii="Times New Roman" w:cs="Times New Roman" w:eastAsia="Times New Roman" w:hAnsi="Times New Roman"/>
          <w:sz w:val="18"/>
          <w:szCs w:val="18"/>
          <w:color w:val="auto"/>
        </w:rPr>
      </w:pPr>
    </w:p>
    <w:p>
      <w:pPr>
        <w:ind w:left="144" w:hanging="144"/>
        <w:spacing w:after="0"/>
        <w:tabs>
          <w:tab w:leader="none" w:pos="1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1841(k).</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ectPr>
          <w:pgSz w:w="11900" w:h="16838" w:orient="portrait"/>
          <w:cols w:equalWidth="0" w:num="1">
            <w:col w:w="11024"/>
          </w:cols>
          <w:pgMar w:left="436" w:top="270" w:right="439" w:bottom="1440" w:gutter="0" w:footer="0" w:header="0"/>
        </w:sectPr>
      </w:pPr>
    </w:p>
    <w:bookmarkStart w:id="30" w:name="page31"/>
    <w:bookmarkEnd w:id="30"/>
    <w:p>
      <w:pPr>
        <w:ind w:left="1120" w:hanging="261"/>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62" w:lineRule="exact"/>
        <w:rPr>
          <w:sz w:val="20"/>
          <w:szCs w:val="20"/>
          <w:color w:val="auto"/>
        </w:rPr>
      </w:pPr>
    </w:p>
    <w:p>
      <w:pPr>
        <w:ind w:left="1260" w:hanging="27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82" w:lineRule="auto"/>
        <w:tabs>
          <w:tab w:leader="none" w:pos="1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the Representatives</w:t>
      </w:r>
      <w:r>
        <w:rPr>
          <w:rFonts w:ascii="Times New Roman" w:cs="Times New Roman" w:eastAsia="Times New Roman" w:hAnsi="Times New Roman"/>
          <w:sz w:val="18"/>
          <w:szCs w:val="18"/>
          <w:color w:val="auto"/>
        </w:rPr>
        <w:t>. Any action by the Underwriters hereunder may be taken by the Representatives on behalf of the Underwriters, and any such action taken by the Representatives shall be binding upon the Underwriters.</w:t>
      </w:r>
    </w:p>
    <w:p>
      <w:pPr>
        <w:spacing w:after="0" w:line="161" w:lineRule="exact"/>
        <w:rPr>
          <w:rFonts w:ascii="Times New Roman" w:cs="Times New Roman" w:eastAsia="Times New Roman" w:hAnsi="Times New Roman"/>
          <w:sz w:val="18"/>
          <w:szCs w:val="18"/>
          <w:color w:val="auto"/>
        </w:rPr>
      </w:pPr>
    </w:p>
    <w:p>
      <w:pPr>
        <w:jc w:val="both"/>
        <w:ind w:firstLine="987"/>
        <w:spacing w:after="0" w:line="241"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and confirmed by any standard form of telecommunication. Notices to the Underwriters shall be given to the Representatives at (i) BofA Securities, Inc., 114 W 47th Street, NY8-114-07-01, New York, New York 10020, (fax: (212) 901-7881), Attention: High Grade Transaction Management/Legal, (ii) Barclays Capital Inc., 745 Seventh Avenue, New York, New York 10019, Attention: Syndicate Registration, (fax: (646) 834-8133), (iii) J.P. Morgan Securities LLC, 270 Park Avenue, New York, New York 10017 (fax: (212) 834-6081), Attention: Investment Grade Syndicate Desk, and (iv) RBC Capital Markets, LLC, Brookfield Place, 200 Vesey Street,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10281, Attention: DCM Transaction Management, fax: (212) 658-6137. Notices to the Company shall be given to it at 13865 Sunrise Valley Drive, Herndon, Virginia 20171 (fax: swap_fax@navient.com); Attention: General Counsel; with a copy to Skadden, Arps, Slate, Meagher &amp; Flom LLP, One Manhattan West, New York, New York 10001-8602, (fax: 212-735-2000/1); Attention: Michael J. Hong.</w:t>
      </w:r>
    </w:p>
    <w:p>
      <w:pPr>
        <w:spacing w:after="0" w:line="197"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ectPr>
          <w:pgSz w:w="11900" w:h="16838" w:orient="portrait"/>
          <w:cols w:equalWidth="0" w:num="1">
            <w:col w:w="11020"/>
          </w:cols>
          <w:pgMar w:left="440" w:top="270" w:right="439" w:bottom="1440" w:gutter="0" w:footer="0" w:header="0"/>
        </w:sectPr>
      </w:pPr>
    </w:p>
    <w:bookmarkStart w:id="31" w:name="page32"/>
    <w:bookmarkEnd w:id="31"/>
    <w:p>
      <w:pPr>
        <w:ind w:left="-987" w:right="20" w:firstLine="987"/>
        <w:spacing w:after="0" w:line="282" w:lineRule="auto"/>
        <w:tabs>
          <w:tab w:leader="none" w:pos="2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JURY TRIAL</w:t>
      </w:r>
      <w:r>
        <w:rPr>
          <w:rFonts w:ascii="Times New Roman" w:cs="Times New Roman" w:eastAsia="Times New Roman" w:hAnsi="Times New Roman"/>
          <w:sz w:val="18"/>
          <w:szCs w:val="18"/>
          <w:color w:val="auto"/>
        </w:rPr>
        <w:t>. EACH OF THE PARTIES HERETO HEREBY WAIVES ANY RIGHT TO TRIAL BY JURY IN ANY SUIT OR PROCEEDING ARISING OUT OF OR RELATING TO THIS AGREEMENT.</w:t>
      </w:r>
    </w:p>
    <w:p>
      <w:pPr>
        <w:spacing w:after="0" w:line="161" w:lineRule="exact"/>
        <w:rPr>
          <w:rFonts w:ascii="Times New Roman" w:cs="Times New Roman" w:eastAsia="Times New Roman" w:hAnsi="Times New Roman"/>
          <w:sz w:val="18"/>
          <w:szCs w:val="18"/>
          <w:color w:val="auto"/>
        </w:rPr>
      </w:pPr>
    </w:p>
    <w:p>
      <w:pPr>
        <w:ind w:left="-987" w:right="20" w:firstLine="987"/>
        <w:spacing w:after="0" w:line="282" w:lineRule="auto"/>
        <w:tabs>
          <w:tab w:leader="none" w:pos="2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counterparts (which may include counterparts delivered by any standard form of telecommunication), each of which shall be an original and all of which together shall constitute one and the same instrument.</w:t>
      </w:r>
    </w:p>
    <w:p>
      <w:pPr>
        <w:spacing w:after="0" w:line="161" w:lineRule="exact"/>
        <w:rPr>
          <w:rFonts w:ascii="Times New Roman" w:cs="Times New Roman" w:eastAsia="Times New Roman" w:hAnsi="Times New Roman"/>
          <w:sz w:val="18"/>
          <w:szCs w:val="18"/>
          <w:color w:val="auto"/>
        </w:rPr>
      </w:pPr>
    </w:p>
    <w:p>
      <w:pPr>
        <w:ind w:left="-987" w:right="20" w:firstLine="987"/>
        <w:spacing w:after="0" w:line="282"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or Waivers</w:t>
      </w:r>
      <w:r>
        <w:rPr>
          <w:rFonts w:ascii="Times New Roman" w:cs="Times New Roman" w:eastAsia="Times New Roman" w:hAnsi="Times New Roman"/>
          <w:sz w:val="18"/>
          <w:szCs w:val="18"/>
          <w:color w:val="auto"/>
        </w:rPr>
        <w:t>. No amendment or waiver of any provision of this Agreement, nor any consent or approval to any departure therefrom, shall in any event be effective unless the same shall be in writing and signed by the parties hereto.</w:t>
      </w:r>
    </w:p>
    <w:p>
      <w:pPr>
        <w:spacing w:after="0" w:line="161" w:lineRule="exact"/>
        <w:rPr>
          <w:rFonts w:ascii="Times New Roman" w:cs="Times New Roman" w:eastAsia="Times New Roman" w:hAnsi="Times New Roman"/>
          <w:sz w:val="18"/>
          <w:szCs w:val="18"/>
          <w:color w:val="auto"/>
        </w:rPr>
      </w:pPr>
    </w:p>
    <w:p>
      <w:pPr>
        <w:ind w:left="-987" w:right="20" w:firstLine="987"/>
        <w:spacing w:after="0" w:line="282" w:lineRule="auto"/>
        <w:tabs>
          <w:tab w:leader="none" w:pos="2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included for convenience of reference only and are not intended to be part of, or to affect the meaning or interpretation of, this Agreement.</w:t>
      </w:r>
    </w:p>
    <w:p>
      <w:pPr>
        <w:spacing w:after="0" w:line="162" w:lineRule="exact"/>
        <w:rPr>
          <w:sz w:val="20"/>
          <w:szCs w:val="20"/>
          <w:color w:val="auto"/>
        </w:rPr>
      </w:pPr>
    </w:p>
    <w:p>
      <w:pPr>
        <w:jc w:val="both"/>
        <w:ind w:left="-987" w:firstLine="987"/>
        <w:spacing w:after="0" w:line="253" w:lineRule="auto"/>
        <w:tabs>
          <w:tab w:leader="none" w:pos="2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The words “executed,” “signed,” “signature,” and words of like import as used above and elsewhere in this Agreement or in any other certificate, agreement or document related to this transaction may include, in addition to manually executed signatures, images of manually executed signatures transmitted by facsimile or other electronic format (including, without limitation, “pdf,” “tif” or “jpg”) and other electronic signatures (including, without limitation, any electronic sound, symbol, or process, attached to or logically associated with a contract or other record and executed or adopted by a person with the intent to sign the record).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The parties hereto agree that this Agreement may be executed and delivered by electronic signatures and that the signatures appearing on this Agreement are the same as handwritten signatures for the purposes of validity, enforceability and admissibility.</w:t>
      </w:r>
    </w:p>
    <w:p>
      <w:pPr>
        <w:sectPr>
          <w:pgSz w:w="11900" w:h="16838" w:orient="portrait"/>
          <w:cols w:equalWidth="0" w:num="1">
            <w:col w:w="10033"/>
          </w:cols>
          <w:pgMar w:left="1427" w:top="270" w:right="439" w:bottom="1440" w:gutter="0" w:footer="0" w:header="0"/>
        </w:sectPr>
      </w:pPr>
    </w:p>
    <w:bookmarkStart w:id="32" w:name="page33"/>
    <w:bookmarkEnd w:id="32"/>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Roger Yankoupe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Roger Yankoupe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ectPr>
          <w:pgSz w:w="11900" w:h="16838" w:orient="portrait"/>
          <w:cols w:equalWidth="0" w:num="1">
            <w:col w:w="11020"/>
          </w:cols>
          <w:pgMar w:left="440" w:top="270"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May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Zara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Zara Kwan</w:t>
      </w:r>
    </w:p>
    <w:p>
      <w:pPr>
        <w:spacing w:after="0" w:line="27"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019"/>
          </w:cols>
          <w:pgMar w:left="440" w:top="270"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May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Tom McIntosh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Tom McIntosh</w:t>
      </w:r>
    </w:p>
    <w:p>
      <w:pPr>
        <w:spacing w:after="0" w:line="27" w:lineRule="exact"/>
        <w:rPr>
          <w:sz w:val="20"/>
          <w:szCs w:val="20"/>
          <w:color w:val="auto"/>
        </w:rPr>
      </w:pPr>
    </w:p>
    <w:p>
      <w:pPr>
        <w:jc w:val="right"/>
        <w:ind w:right="6639"/>
        <w:spacing w:after="0"/>
        <w:rPr>
          <w:sz w:val="20"/>
          <w:szCs w:val="20"/>
          <w:color w:val="auto"/>
        </w:rPr>
      </w:pPr>
      <w:r>
        <w:rPr>
          <w:rFonts w:ascii="Times New Roman" w:cs="Times New Roman" w:eastAsia="Times New Roman" w:hAnsi="Times New Roman"/>
          <w:sz w:val="18"/>
          <w:szCs w:val="18"/>
          <w:color w:val="auto"/>
        </w:rPr>
        <w:t>Title: Managing Director, FIG DCM, AM</w:t>
      </w:r>
    </w:p>
    <w:p>
      <w:pPr>
        <w:sectPr>
          <w:pgSz w:w="11900" w:h="16838" w:orient="portrait"/>
          <w:cols w:equalWidth="0" w:num="1">
            <w:col w:w="10019"/>
          </w:cols>
          <w:pgMar w:left="440" w:top="270"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May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Stephen L. Sheiner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Stephen L. Sheiner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ectPr>
          <w:pgSz w:w="11900" w:h="16838" w:orient="portrait"/>
          <w:cols w:equalWidth="0" w:num="1">
            <w:col w:w="10019"/>
          </w:cols>
          <w:pgMar w:left="440" w:top="27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May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Cokinos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Cokinos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jc w:val="right"/>
        <w:ind w:right="7219"/>
        <w:spacing w:after="0"/>
        <w:rPr>
          <w:sz w:val="20"/>
          <w:szCs w:val="20"/>
          <w:color w:val="auto"/>
        </w:rPr>
      </w:pPr>
      <w:r>
        <w:rPr>
          <w:rFonts w:ascii="Times New Roman" w:cs="Times New Roman" w:eastAsia="Times New Roman" w:hAnsi="Times New Roman"/>
          <w:sz w:val="18"/>
          <w:szCs w:val="18"/>
          <w:color w:val="auto"/>
        </w:rPr>
        <w:t>Head of Leveraged Finance</w:t>
      </w:r>
    </w:p>
    <w:p>
      <w:pPr>
        <w:sectPr>
          <w:pgSz w:w="11900" w:h="16838" w:orient="portrait"/>
          <w:cols w:equalWidth="0" w:num="1">
            <w:col w:w="10019"/>
          </w:cols>
          <w:pgMar w:left="440" w:top="270"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80" w:type="dxa"/>
            <w:vAlign w:val="bottom"/>
            <w:gridSpan w:val="5"/>
          </w:tcPr>
          <w:p>
            <w:pPr>
              <w:ind w:left="1560"/>
              <w:spacing w:after="0"/>
              <w:rPr>
                <w:sz w:val="20"/>
                <w:szCs w:val="20"/>
                <w:color w:val="auto"/>
              </w:rPr>
            </w:pPr>
            <w:r>
              <w:rPr>
                <w:rFonts w:ascii="Times New Roman" w:cs="Times New Roman" w:eastAsia="Times New Roman" w:hAnsi="Times New Roman"/>
                <w:sz w:val="18"/>
                <w:szCs w:val="18"/>
                <w:color w:val="auto"/>
              </w:rPr>
              <w:t>Schedule 1</w:t>
            </w:r>
          </w:p>
        </w:tc>
      </w:tr>
      <w:tr>
        <w:trPr>
          <w:trHeight w:val="43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Underwriter</w:t>
            </w:r>
          </w:p>
        </w:tc>
        <w:tc>
          <w:tcPr>
            <w:tcW w:w="2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Amount</w:t>
            </w: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1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$ 125,000,000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74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$ 125,000,000</w:t>
            </w: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74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$ 125,000,000</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74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$ 125,000,000</w:t>
            </w:r>
          </w:p>
        </w:tc>
      </w:tr>
      <w:tr>
        <w:trPr>
          <w:trHeight w:val="216"/>
        </w:trPr>
        <w:tc>
          <w:tcPr>
            <w:tcW w:w="3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4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$ 500,000,000</w:t>
            </w:r>
          </w:p>
        </w:tc>
      </w:tr>
    </w:tbl>
    <w:p>
      <w:pPr>
        <w:jc w:val="right"/>
        <w:ind w:right="60"/>
        <w:spacing w:after="0"/>
        <w:rPr>
          <w:sz w:val="20"/>
          <w:szCs w:val="20"/>
          <w:color w:val="auto"/>
        </w:rPr>
        <w:sectPr>
          <w:pgSz w:w="11900" w:h="16838" w:orient="portrait"/>
          <w:cols w:equalWidth="0" w:num="1">
            <w:col w:w="11020"/>
          </w:cols>
          <w:pgMar w:left="440" w:top="25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of Opinion of Counsel for the Company</w:t>
      </w:r>
    </w:p>
    <w:p>
      <w:pPr>
        <w:spacing w:after="0" w:line="2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[TO COME]</w:t>
      </w:r>
    </w:p>
    <w:p>
      <w:pPr>
        <w:sectPr>
          <w:pgSz w:w="11900" w:h="16838" w:orient="portrait"/>
          <w:cols w:equalWidth="0" w:num="1">
            <w:col w:w="10020"/>
          </w:cols>
          <w:pgMar w:left="1440" w:top="270"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00" w:lineRule="exact"/>
        <w:rPr>
          <w:sz w:val="20"/>
          <w:szCs w:val="20"/>
          <w:color w:val="auto"/>
        </w:rPr>
      </w:pPr>
    </w:p>
    <w:p>
      <w:pPr>
        <w:spacing w:after="0" w:line="23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Time of Sale Information</w:t>
      </w:r>
    </w:p>
    <w:p>
      <w:pPr>
        <w:spacing w:after="0" w:line="256" w:lineRule="exact"/>
        <w:rPr>
          <w:sz w:val="20"/>
          <w:szCs w:val="20"/>
          <w:color w:val="auto"/>
        </w:rPr>
      </w:pPr>
    </w:p>
    <w:p>
      <w:pPr>
        <w:ind w:left="320" w:hanging="316"/>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with respect to the 9.375% Senior Notes due 2031, dated May 26, 2026, substantially in the form of Annex C.</w:t>
      </w:r>
    </w:p>
    <w:p>
      <w:pPr>
        <w:sectPr>
          <w:pgSz w:w="11900" w:h="16838" w:orient="portrait"/>
          <w:cols w:equalWidth="0" w:num="1">
            <w:col w:w="10920"/>
          </w:cols>
          <w:pgMar w:left="540" w:top="270"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Free Writing Prospectus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333-286944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580" w:type="dxa"/>
            <w:vAlign w:val="bottom"/>
            <w:gridSpan w:val="3"/>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7"/>
              </w:rPr>
              <w:t>NAVIENT CORPORATION</w:t>
            </w:r>
          </w:p>
        </w:tc>
      </w:tr>
      <w:tr>
        <w:trPr>
          <w:trHeight w:val="392"/>
        </w:trPr>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Pricing Term Sheet</w:t>
            </w:r>
          </w:p>
        </w:tc>
        <w:tc>
          <w:tcPr>
            <w:tcW w:w="4800" w:type="dxa"/>
            <w:vAlign w:val="bottom"/>
          </w:tcPr>
          <w:p>
            <w:pPr>
              <w:spacing w:after="0"/>
              <w:rPr>
                <w:sz w:val="24"/>
                <w:szCs w:val="24"/>
                <w:color w:val="auto"/>
              </w:rPr>
            </w:pPr>
          </w:p>
        </w:tc>
      </w:tr>
      <w:tr>
        <w:trPr>
          <w:trHeight w:val="47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Navient Corporation</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Format:</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May 26, 2026</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May 29, 2026 (T+3)</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9.375% Senior Notes due 2031</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Ba3 / BB- / BB-</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October 15, 2031</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April 15 and October 15 of each year, commencing on October 15, 2026.</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Record Dates:</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April 1 and October 1 of each year, commencing on October 1, 2026.</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$500,000,000</w:t>
            </w:r>
          </w:p>
        </w:tc>
        <w:tc>
          <w:tcPr>
            <w:tcW w:w="4800" w:type="dxa"/>
            <w:vAlign w:val="bottom"/>
          </w:tcPr>
          <w:p>
            <w:pPr>
              <w:spacing w:after="0"/>
              <w:rPr>
                <w:sz w:val="24"/>
                <w:szCs w:val="24"/>
                <w:color w:val="auto"/>
              </w:rPr>
            </w:pP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100.000%</w:t>
            </w:r>
          </w:p>
        </w:tc>
        <w:tc>
          <w:tcPr>
            <w:tcW w:w="13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0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to Issuer (Before Deducting</w:t>
            </w: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$500,000,000</w:t>
            </w:r>
          </w:p>
        </w:tc>
        <w:tc>
          <w:tcPr>
            <w:tcW w:w="480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Issuance Expenses and Fees):</w:t>
            </w:r>
          </w:p>
        </w:tc>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3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UST 3.875% due April 30, 2031</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 Yield:</w:t>
            </w:r>
          </w:p>
        </w:tc>
        <w:tc>
          <w:tcPr>
            <w:tcW w:w="2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$98-20 / 4.184%</w:t>
            </w:r>
          </w:p>
        </w:tc>
        <w:tc>
          <w:tcPr>
            <w:tcW w:w="4800" w:type="dxa"/>
            <w:vAlign w:val="bottom"/>
          </w:tcPr>
          <w:p>
            <w:pPr>
              <w:spacing w:after="0"/>
              <w:rPr>
                <w:sz w:val="24"/>
                <w:szCs w:val="24"/>
                <w:color w:val="auto"/>
              </w:rPr>
            </w:pP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T+519 basis points</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9.375%</w:t>
            </w:r>
          </w:p>
        </w:tc>
        <w:tc>
          <w:tcPr>
            <w:tcW w:w="13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9.375%</w:t>
            </w:r>
          </w:p>
        </w:tc>
        <w:tc>
          <w:tcPr>
            <w:tcW w:w="13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0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including debt</w:t>
            </w:r>
          </w:p>
        </w:tc>
      </w:tr>
      <w:tr>
        <w:trPr>
          <w:trHeight w:val="234"/>
        </w:trPr>
        <w:tc>
          <w:tcPr>
            <w:tcW w:w="3420" w:type="dxa"/>
            <w:vAlign w:val="bottom"/>
          </w:tcPr>
          <w:p>
            <w:pPr>
              <w:spacing w:after="0"/>
              <w:rPr>
                <w:sz w:val="20"/>
                <w:szCs w:val="20"/>
                <w:color w:val="auto"/>
              </w:rPr>
            </w:pPr>
          </w:p>
        </w:tc>
        <w:tc>
          <w:tcPr>
            <w:tcW w:w="7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repurchases which could include redemptions, open market debt repurchases or tender offers.</w:t>
            </w:r>
          </w:p>
        </w:tc>
      </w:tr>
    </w:tbl>
    <w:p>
      <w:pPr>
        <w:spacing w:after="0" w:line="90" w:lineRule="exact"/>
        <w:rPr>
          <w:sz w:val="20"/>
          <w:szCs w:val="20"/>
          <w:color w:val="auto"/>
        </w:rPr>
      </w:pPr>
    </w:p>
    <w:p>
      <w:pPr>
        <w:sectPr>
          <w:pgSz w:w="11900" w:h="16838" w:orient="portrait"/>
          <w:cols w:equalWidth="0" w:num="1">
            <w:col w:w="11020"/>
          </w:cols>
          <w:pgMar w:left="440" w:top="270" w:right="4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Change of Control Offer to Purchase:</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a Change of Control Triggering Event occurs, unless we have exercised our right, if any, to redeem the notes in full, we will offer to repurchase any and all of each holder’s notes at a repurchase price in cash equal to 101% of the aggregate principal amount of the notes repurchased plus accrued and unpaid interest, if any, thereon, to, but not including, the date of repurchase.</w:t>
      </w:r>
    </w:p>
    <w:p>
      <w:pPr>
        <w:sectPr>
          <w:pgSz w:w="11900" w:h="16838" w:orient="portrait"/>
          <w:cols w:equalWidth="0" w:num="2">
            <w:col w:w="3140" w:space="720"/>
            <w:col w:w="7160"/>
          </w:cols>
          <w:pgMar w:left="440" w:top="270" w:right="439" w:bottom="1440" w:gutter="0" w:footer="0" w:header="0"/>
          <w:type w:val="continuous"/>
        </w:sectPr>
      </w:pPr>
    </w:p>
    <w:bookmarkStart w:id="41" w:name="page42"/>
    <w:bookmarkEnd w:id="41"/>
    <w:tbl>
      <w:tblPr>
        <w:tblLayout w:type="fixed"/>
        <w:tblInd w:w="4" w:type="dxa"/>
        <w:tblCellMar>
          <w:top w:w="0" w:type="dxa"/>
          <w:left w:w="0" w:type="dxa"/>
          <w:bottom w:w="0" w:type="dxa"/>
          <w:right w:w="0" w:type="dxa"/>
        </w:tblCellMar>
      </w:tblP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Prior to July 15, 2031 (three months prior to their maturity date) (the “Par Call Date”), we may</w:t>
            </w:r>
          </w:p>
        </w:tc>
      </w:tr>
      <w:tr>
        <w:trPr>
          <w:trHeight w:val="20"/>
        </w:trPr>
        <w:tc>
          <w:tcPr>
            <w:tcW w:w="30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8"/>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redeem the notes at our option, in whole or in part, at any time and from time to time, at a</w:t>
            </w:r>
          </w:p>
        </w:tc>
      </w:tr>
      <w:tr>
        <w:trPr>
          <w:trHeight w:val="216"/>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redemption price (expressed as a percentage of principal amount and rounded to three decimal</w:t>
            </w:r>
          </w:p>
        </w:tc>
      </w:tr>
      <w:tr>
        <w:trPr>
          <w:trHeight w:val="216"/>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places) equal to the greater of: (1) (a) the sum of the present values of the remaining scheduled</w:t>
            </w:r>
          </w:p>
        </w:tc>
      </w:tr>
      <w:tr>
        <w:trPr>
          <w:trHeight w:val="216"/>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payments of principal and interest thereon discounted to the redemption date (assuming the notes</w:t>
            </w:r>
          </w:p>
        </w:tc>
      </w:tr>
      <w:tr>
        <w:trPr>
          <w:trHeight w:val="216"/>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matured on the Par Call Date) on a semi-annual basis (assuming a 360-day year consisting of</w:t>
            </w:r>
          </w:p>
        </w:tc>
      </w:tr>
      <w:tr>
        <w:trPr>
          <w:trHeight w:val="216"/>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w w:val="99"/>
              </w:rPr>
              <w:t>twelve 30-day months) at the Treasury Rate plus 50 basis points less (b) interest accrued to the date</w:t>
            </w:r>
          </w:p>
        </w:tc>
      </w:tr>
      <w:tr>
        <w:trPr>
          <w:trHeight w:val="216"/>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of redemption, and (2) 100% of the principal amount of the notes to be redeemed, plus, in either</w:t>
            </w:r>
          </w:p>
        </w:tc>
      </w:tr>
      <w:tr>
        <w:trPr>
          <w:trHeight w:val="216"/>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case, accrued and unpaid interest thereon to the redemption date.</w:t>
            </w:r>
          </w:p>
        </w:tc>
      </w:tr>
      <w:tr>
        <w:trPr>
          <w:trHeight w:val="216"/>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w:t>
            </w:r>
          </w:p>
        </w:tc>
      </w:tr>
      <w:tr>
        <w:trPr>
          <w:trHeight w:val="216"/>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time to time, at a redemption price equal to 100% of the principal amount of the notes being</w:t>
            </w:r>
          </w:p>
        </w:tc>
      </w:tr>
      <w:tr>
        <w:trPr>
          <w:trHeight w:val="234"/>
        </w:trPr>
        <w:tc>
          <w:tcPr>
            <w:tcW w:w="3060" w:type="dxa"/>
            <w:vAlign w:val="bottom"/>
          </w:tcPr>
          <w:p>
            <w:pPr>
              <w:spacing w:after="0"/>
              <w:rPr>
                <w:sz w:val="20"/>
                <w:szCs w:val="20"/>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redeemed plus accrued and unpaid interest thereon to the redemption date.</w:t>
            </w:r>
          </w:p>
        </w:tc>
      </w:tr>
      <w:tr>
        <w:trPr>
          <w:trHeight w:val="33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63938C AR9 / US63938CAR97</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$2,000, and in integral multiples of $1,000 in excess thereof.</w:t>
            </w:r>
          </w:p>
        </w:tc>
      </w:tr>
      <w:tr>
        <w:trPr>
          <w:trHeight w:val="30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3060" w:type="dxa"/>
            <w:vAlign w:val="bottom"/>
          </w:tcPr>
          <w:p>
            <w:pPr>
              <w:spacing w:after="0"/>
              <w:rPr>
                <w:sz w:val="18"/>
                <w:szCs w:val="18"/>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34"/>
        </w:trPr>
        <w:tc>
          <w:tcPr>
            <w:tcW w:w="3060" w:type="dxa"/>
            <w:vAlign w:val="bottom"/>
          </w:tcPr>
          <w:p>
            <w:pPr>
              <w:spacing w:after="0"/>
              <w:rPr>
                <w:sz w:val="20"/>
                <w:szCs w:val="20"/>
                <w:color w:val="auto"/>
              </w:rPr>
            </w:pPr>
          </w:p>
        </w:tc>
        <w:tc>
          <w:tcPr>
            <w:tcW w:w="79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RBC Capital Markets,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231140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securities rating is not a recommendation to buy, sell, or hold securities and may be subject to revision at any time.</w:t>
      </w:r>
    </w:p>
    <w:p>
      <w:pPr>
        <w:spacing w:after="0" w:line="225" w:lineRule="exact"/>
        <w:rPr>
          <w:sz w:val="20"/>
          <w:szCs w:val="20"/>
          <w:color w:val="auto"/>
        </w:rPr>
      </w:pPr>
    </w:p>
    <w:p>
      <w:pPr>
        <w:ind w:left="4" w:right="80"/>
        <w:spacing w:after="0" w:line="259" w:lineRule="auto"/>
        <w:rPr>
          <w:sz w:val="20"/>
          <w:szCs w:val="20"/>
          <w:color w:val="auto"/>
        </w:rPr>
      </w:pPr>
      <w:r>
        <w:rPr>
          <w:rFonts w:ascii="Times New Roman" w:cs="Times New Roman" w:eastAsia="Times New Roman" w:hAnsi="Times New Roman"/>
          <w:sz w:val="18"/>
          <w:szCs w:val="18"/>
          <w:b w:val="1"/>
          <w:bCs w:val="1"/>
          <w:color w:val="auto"/>
        </w:rPr>
        <w:t>Delivery of the notes is expected to be made against payment therefor on or about May 29, 2026, which will be the third business day following the date of pricing of the notes. Under Rule 15c6-1 of the Securities Exchange Act of 1934, as amended, trades in the secondary market are required to settle in one business day, unless the parties to a trade expressly agree otherwise. Accordingly, the purchasers who wish to trade the notes prior to the delivery of the notes will be required to specify alternative settlement arrangements to prevent a failed settlement and should consult their own advisers.</w:t>
      </w:r>
    </w:p>
    <w:p>
      <w:pPr>
        <w:spacing w:after="0" w:line="179" w:lineRule="exact"/>
        <w:rPr>
          <w:sz w:val="20"/>
          <w:szCs w:val="20"/>
          <w:color w:val="auto"/>
        </w:rPr>
      </w:pPr>
    </w:p>
    <w:p>
      <w:pPr>
        <w:ind w:left="4" w:right="340"/>
        <w:spacing w:after="0" w:line="268" w:lineRule="auto"/>
        <w:rPr>
          <w:sz w:val="20"/>
          <w:szCs w:val="20"/>
          <w:color w:val="auto"/>
        </w:rPr>
      </w:pPr>
      <w:r>
        <w:rPr>
          <w:rFonts w:ascii="Times New Roman" w:cs="Times New Roman" w:eastAsia="Times New Roman" w:hAnsi="Times New Roman"/>
          <w:sz w:val="18"/>
          <w:szCs w:val="18"/>
          <w:b w:val="1"/>
          <w:bCs w:val="1"/>
          <w:color w:val="auto"/>
        </w:rPr>
        <w:t>Obligations of Navient Corporation and any subsidiary of Navient Corporation are not guaranteed by the full faith and credit of the United States of America. Neither Navient Corporation nor any subsidiary of Navient Corporation is a government-sponsored enterprise or an instrumentality of the United States of America.</w:t>
      </w:r>
    </w:p>
    <w:p>
      <w:pPr>
        <w:spacing w:after="0" w:line="171" w:lineRule="exact"/>
        <w:rPr>
          <w:sz w:val="20"/>
          <w:szCs w:val="20"/>
          <w:color w:val="auto"/>
        </w:rPr>
      </w:pPr>
    </w:p>
    <w:p>
      <w:pPr>
        <w:ind w:left="4" w:right="140"/>
        <w:spacing w:after="0" w:line="257" w:lineRule="auto"/>
        <w:rPr>
          <w:sz w:val="20"/>
          <w:szCs w:val="20"/>
          <w:color w:val="auto"/>
        </w:rPr>
      </w:pPr>
      <w:r>
        <w:rPr>
          <w:rFonts w:ascii="Times New Roman" w:cs="Times New Roman" w:eastAsia="Times New Roman" w:hAnsi="Times New Roman"/>
          <w:sz w:val="18"/>
          <w:szCs w:val="18"/>
          <w:b w:val="1"/>
          <w:bCs w:val="1"/>
          <w:color w:val="auto"/>
        </w:rPr>
        <w:t>Navient Corporation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the Issuer toll free at 1-800-321-7179, BofA Securities, Inc. toll free at 1-800-294-1322, Barclays Capital Inc. toll free at 1-888-603-5847, J.P. Morgan Securities LLC collect at 1-212-834-4533 or RBC Capital Markets, LLC at 1-866-375-8629.</w:t>
      </w:r>
    </w:p>
    <w:p>
      <w:pPr>
        <w:spacing w:after="0" w:line="182"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b w:val="1"/>
          <w:bCs w:val="1"/>
          <w:color w:val="auto"/>
        </w:rPr>
        <w:t>This pricing term sheet supplements the Prospectus Supplement dated May 26, 2026 issued by Navient Corporation relating to its Prospectus dated May 2, 2025.</w:t>
      </w:r>
    </w:p>
    <w:p>
      <w:pPr>
        <w:sectPr>
          <w:pgSz w:w="11900" w:h="16838" w:orient="portrait"/>
          <w:cols w:equalWidth="0" w:num="1">
            <w:col w:w="11024"/>
          </w:cols>
          <w:pgMar w:left="436" w:top="257"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NAVIENT CORPORATION,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Company,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SEVENTEENTH SUPPLEMENTAL INDENTURE</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May 29,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Dated as of July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9.375% Senior Notes due 2031</w:t>
      </w:r>
    </w:p>
    <w:p>
      <w:pPr>
        <w:sectPr>
          <w:pgSz w:w="11900" w:h="16838" w:orient="portrait"/>
          <w:cols w:equalWidth="0" w:num="1">
            <w:col w:w="10020"/>
          </w:cols>
          <w:pgMar w:left="1440" w:top="117" w:right="4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82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106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1060" w:type="dxa"/>
            <w:vAlign w:val="bottom"/>
          </w:tcPr>
          <w:p>
            <w:pPr>
              <w:spacing w:after="0"/>
              <w:rPr>
                <w:sz w:val="24"/>
                <w:szCs w:val="24"/>
                <w:color w:val="auto"/>
              </w:rPr>
            </w:pPr>
          </w:p>
        </w:tc>
        <w:tc>
          <w:tcPr>
            <w:tcW w:w="82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7"/>
              </w:rPr>
              <w:t>ARTICLE 1.</w:t>
            </w:r>
          </w:p>
        </w:tc>
        <w:tc>
          <w:tcPr>
            <w:tcW w:w="13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2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DEFINITIONS</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 of Terms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1060" w:type="dxa"/>
            <w:vAlign w:val="bottom"/>
          </w:tcPr>
          <w:p>
            <w:pPr>
              <w:spacing w:after="0"/>
              <w:rPr>
                <w:sz w:val="24"/>
                <w:szCs w:val="24"/>
                <w:color w:val="auto"/>
              </w:rPr>
            </w:pPr>
          </w:p>
        </w:tc>
        <w:tc>
          <w:tcPr>
            <w:tcW w:w="82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ARTICLE 2.</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2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GENERAL TERMS AND CONDITIONS OF THE SENIOR NOTES</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Designation and Principal Amount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Maturity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Issues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Payment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Securities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Denominations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Upon Change of Control</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of Agents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1060" w:type="dxa"/>
            <w:vAlign w:val="bottom"/>
          </w:tcPr>
          <w:p>
            <w:pPr>
              <w:spacing w:after="0"/>
              <w:rPr>
                <w:sz w:val="24"/>
                <w:szCs w:val="24"/>
                <w:color w:val="auto"/>
              </w:rPr>
            </w:pPr>
          </w:p>
        </w:tc>
        <w:tc>
          <w:tcPr>
            <w:tcW w:w="82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ARTICLE 3.</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2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FORM OF NOTES</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Senior Notes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060" w:type="dxa"/>
            <w:vAlign w:val="bottom"/>
          </w:tcPr>
          <w:p>
            <w:pPr>
              <w:spacing w:after="0"/>
              <w:rPr>
                <w:sz w:val="24"/>
                <w:szCs w:val="24"/>
                <w:color w:val="auto"/>
              </w:rPr>
            </w:pPr>
          </w:p>
        </w:tc>
        <w:tc>
          <w:tcPr>
            <w:tcW w:w="82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ARTICLE 4.</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2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ORIGINAL ISSUE OF NOTES</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Original Issue of Senior Notes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060" w:type="dxa"/>
            <w:vAlign w:val="bottom"/>
          </w:tcPr>
          <w:p>
            <w:pPr>
              <w:spacing w:after="0"/>
              <w:rPr>
                <w:sz w:val="24"/>
                <w:szCs w:val="24"/>
                <w:color w:val="auto"/>
              </w:rPr>
            </w:pPr>
          </w:p>
        </w:tc>
        <w:tc>
          <w:tcPr>
            <w:tcW w:w="82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ARTICLE 5.</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MISCELLANEOUS</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Ratification of Indenture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Not Responsible for Recitals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Separability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2031 Senior Notes</w:t>
            </w:r>
          </w:p>
        </w:tc>
        <w:tc>
          <w:tcPr>
            <w:tcW w:w="13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65"/>
        </w:trPr>
        <w:tc>
          <w:tcPr>
            <w:tcW w:w="1060" w:type="dxa"/>
            <w:vAlign w:val="bottom"/>
          </w:tcPr>
          <w:p>
            <w:pPr>
              <w:spacing w:after="0"/>
              <w:rPr>
                <w:sz w:val="24"/>
                <w:szCs w:val="24"/>
                <w:color w:val="auto"/>
              </w:rPr>
            </w:pPr>
          </w:p>
        </w:tc>
        <w:tc>
          <w:tcPr>
            <w:tcW w:w="82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78"/>
              </w:rPr>
              <w:t>i</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4" w:name="page45"/>
    <w:bookmarkEnd w:id="44"/>
    <w:p>
      <w:pPr>
        <w:ind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SEVENTEENTH SUPPLEMENTAL INDENTURE</w:t>
      </w:r>
      <w:r>
        <w:rPr>
          <w:rFonts w:ascii="Times New Roman" w:cs="Times New Roman" w:eastAsia="Times New Roman" w:hAnsi="Times New Roman"/>
          <w:sz w:val="18"/>
          <w:szCs w:val="18"/>
          <w:color w:val="auto"/>
        </w:rPr>
        <w:t>, dated as of May 29, 2026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between Navient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Bank of New York Mellon, a New York banking corporation,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base indenture, dated as of July 18, 2014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by this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provide for the issuance of the Company’s debt securities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to be issued in one or more series;</w:t>
      </w:r>
    </w:p>
    <w:p>
      <w:pPr>
        <w:spacing w:after="0" w:line="171"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first supplemental indenture, dated as of November 6, 2014,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the establishment of two series of its notes under the Base Indenture known as its “5.000% Senior Notes due 2020” and its “5.875% Senior Notes due 2024”;</w:t>
      </w:r>
    </w:p>
    <w:p>
      <w:pPr>
        <w:spacing w:after="0" w:line="171" w:lineRule="exact"/>
        <w:rPr>
          <w:sz w:val="20"/>
          <w:szCs w:val="20"/>
          <w:color w:val="auto"/>
        </w:rPr>
      </w:pPr>
    </w:p>
    <w:p>
      <w:pPr>
        <w:jc w:val="both"/>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second supplemental indenture, dated as of March 27, 2015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to provide for the establishment of a series of its notes under the Base Indenture known as its “5.875% Senior Notes due 2021”;</w:t>
      </w:r>
    </w:p>
    <w:p>
      <w:pPr>
        <w:spacing w:after="0" w:line="171"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third supplemental indenture, dated as of July 29, 2016,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establishment of a series of its notes under the Base Indenture known as its “6.625% Senior Notes due 2021”;</w:t>
      </w:r>
    </w:p>
    <w:p>
      <w:pPr>
        <w:spacing w:after="0" w:line="15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fourth supplemental indenture, dated as of September 16, 2016,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the establishment of a series of its notes under the Base Indenture known as its “7.250% Senior Notes due 2023”;</w:t>
      </w:r>
    </w:p>
    <w:p>
      <w:pPr>
        <w:spacing w:after="0" w:line="155"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fifth supplemental indenture (the “</w:t>
      </w:r>
      <w:r>
        <w:rPr>
          <w:rFonts w:ascii="Times New Roman" w:cs="Times New Roman" w:eastAsia="Times New Roman" w:hAnsi="Times New Roman"/>
          <w:sz w:val="18"/>
          <w:szCs w:val="18"/>
          <w:b w:val="1"/>
          <w:bCs w:val="1"/>
          <w:color w:val="auto"/>
        </w:rPr>
        <w:t>Fifth Supplemental Indenture</w:t>
      </w:r>
      <w:r>
        <w:rPr>
          <w:rFonts w:ascii="Times New Roman" w:cs="Times New Roman" w:eastAsia="Times New Roman" w:hAnsi="Times New Roman"/>
          <w:sz w:val="18"/>
          <w:szCs w:val="18"/>
          <w:color w:val="auto"/>
        </w:rPr>
        <w:t>”), dated as of March 7, 2017, to provide for the establishment of a series of its notes under the Base Indenture known as its “6.500%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due 2022”;</w:t>
      </w:r>
    </w:p>
    <w:p>
      <w:pPr>
        <w:spacing w:after="0" w:line="171"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sixth supplemental indenture, dated as of March 17, 2017, to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5.875% Senior Notes due 2021 under the Base Indenture and the Second Supplemental Indenture;</w:t>
      </w:r>
    </w:p>
    <w:p>
      <w:pPr>
        <w:spacing w:after="0" w:line="155" w:lineRule="exact"/>
        <w:rPr>
          <w:sz w:val="20"/>
          <w:szCs w:val="20"/>
          <w:color w:val="auto"/>
        </w:rPr>
      </w:pPr>
    </w:p>
    <w:p>
      <w:pPr>
        <w:ind w:right="4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seventh supplemental indenture, dated as of May 26, 2017,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the establishment of a series of its notes under the Base Indenture known as its “6.750% Senior Notes due 2025”;</w:t>
      </w:r>
    </w:p>
    <w:p>
      <w:pPr>
        <w:spacing w:after="0" w:line="155"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eighth supplemental indenture, dated as of June 9, 2017, to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5.865% Senior Notes due 2021 under the Base Indenture and the Second Supplemental Indenture;</w:t>
      </w:r>
    </w:p>
    <w:p>
      <w:pPr>
        <w:spacing w:after="0" w:line="155"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ninth supplemental indenture, dated as of December 4, 2017,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additional 6.500% Senior Notes due 2022 under the Base Indenture and the Fifth Supplemental Indenture;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45" w:name="page46"/>
    <w:bookmarkEnd w:id="45"/>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8"/>
          <w:szCs w:val="18"/>
          <w:color w:val="auto"/>
        </w:rPr>
        <w:t>, the Company and the Trustee executed and delivered the tenth supplemental indenture, dated as of June 11, 2018,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establishment of a series of its notes under the Base Indenture known as its “6.750% Senior Notes due 2026”;</w:t>
      </w:r>
    </w:p>
    <w:p>
      <w:pPr>
        <w:spacing w:after="0" w:line="15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eleventh supplemental indenture, dated as of January 27, 2020,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the establishment of a series of its notes under the Base Indenture known as its “5.00% Senior Notes due 2027”;</w:t>
      </w:r>
    </w:p>
    <w:p>
      <w:pPr>
        <w:spacing w:after="0" w:line="155"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twelfth supplemental indenture, dated as of February 2, 2021,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the establishment of a series of its notes under the Base Indenture known as its “4.875% Senior Notes due 2028”;</w:t>
      </w:r>
    </w:p>
    <w:p>
      <w:pPr>
        <w:spacing w:after="0" w:line="15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thirteenth supplemental indenture, dated as of November 4,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provide for the establishment of a series of its notes under the Base Indenture known as its “5.500% Senior Notes due 2029”;</w:t>
      </w:r>
    </w:p>
    <w:p>
      <w:pPr>
        <w:spacing w:after="0" w:line="155"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fourteenth supplemental indenture, dated as of May 4, 2023,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the establishment of a series of its notes under the Base Indenture known as its “9.375% Senior Notes due 2030”;</w:t>
      </w:r>
    </w:p>
    <w:p>
      <w:pPr>
        <w:spacing w:after="0" w:line="15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fifteenth supplemental indenture, dated as of November 3, 2023,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the establishment of a series of its notes under the Base Indenture known as its “11.500% Senior Notes due 2031”;</w:t>
      </w:r>
    </w:p>
    <w:p>
      <w:pPr>
        <w:spacing w:after="0" w:line="155"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executed and delivered the sixteenth supplemental indenture, dated as of May 19, 2025,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the establishment of a series of its notes under the Base Indenture known as its “7.875% Senior Notes due 2032”;</w:t>
      </w:r>
    </w:p>
    <w:p>
      <w:pPr>
        <w:spacing w:after="0" w:line="15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Base Indenture, the Company desires to provide for the establishment of a new series of its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Base Indenture to be known as its “9.375% Senior Notes due 2031” (the “</w:t>
      </w:r>
      <w:r>
        <w:rPr>
          <w:rFonts w:ascii="Times New Roman" w:cs="Times New Roman" w:eastAsia="Times New Roman" w:hAnsi="Times New Roman"/>
          <w:sz w:val="18"/>
          <w:szCs w:val="18"/>
          <w:b w:val="1"/>
          <w:bCs w:val="1"/>
          <w:color w:val="auto"/>
        </w:rPr>
        <w:t>Senior Notes</w:t>
      </w:r>
      <w:r>
        <w:rPr>
          <w:rFonts w:ascii="Times New Roman" w:cs="Times New Roman" w:eastAsia="Times New Roman" w:hAnsi="Times New Roman"/>
          <w:sz w:val="18"/>
          <w:szCs w:val="18"/>
          <w:color w:val="auto"/>
        </w:rPr>
        <w:t>”), the form and substance and the terms, provisions and conditions thereof to be set forth as provided in the Base Indenture and this Supplemental Indenture;</w:t>
      </w:r>
    </w:p>
    <w:p>
      <w:pPr>
        <w:spacing w:after="0" w:line="171" w:lineRule="exact"/>
        <w:rPr>
          <w:sz w:val="20"/>
          <w:szCs w:val="20"/>
          <w:color w:val="auto"/>
        </w:rPr>
      </w:pPr>
    </w:p>
    <w:p>
      <w:pPr>
        <w:jc w:val="both"/>
        <w:ind w:right="1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pursuant to the 2026 Business Plan, adopted January 15, 2026, and certified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Secretary’s Certificate, executed January 29, 2026, have duly authorized the issuance of the Senior Notes and has authorized the proper officers of the Company to execute any and all appropriate documents necessary or appropriate to effect each such issuance;</w:t>
      </w:r>
    </w:p>
    <w:p>
      <w:pPr>
        <w:spacing w:after="0" w:line="171"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Navient, LLC, entered into an Agreement and Plan of Merger on October 16, 2014, pursuant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Navient, LLC merged with and into the Company, with the Company as the surviving corporation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result of the Merger, the Company assumed Navient, LLC’s obligations under an indenture, dated October 1, 2000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amended and restated indenture, dated April 25, 2006;</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46" w:name="page47"/>
    <w:bookmarkEnd w:id="46"/>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8"/>
          <w:szCs w:val="18"/>
          <w:color w:val="auto"/>
        </w:rPr>
        <w:t>, this Supplemental Indenture is being entered into pursuant to the provisions of Section 14.01 of the Base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requested and hereby requests that the Trustee execute and deliver this Supplemental Indenture; and</w:t>
      </w:r>
    </w:p>
    <w:p>
      <w:pPr>
        <w:spacing w:after="0" w:line="225" w:lineRule="exact"/>
        <w:rPr>
          <w:sz w:val="20"/>
          <w:szCs w:val="20"/>
          <w:color w:val="auto"/>
        </w:rPr>
      </w:pPr>
    </w:p>
    <w:p>
      <w:pPr>
        <w:ind w:right="3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Supplemental Indenture a valid and legally binding agreement of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its terms, and to make the Senior Notes, when executed by the Company and authenticated and delivered by the Trustee, valid and legally binding obligations of the Company, have been performed, and the execution and delivery of this Supplemental Indenture has been duly authorized in all respects.</w:t>
      </w:r>
    </w:p>
    <w:p>
      <w:pPr>
        <w:spacing w:after="0" w:line="176"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and acceptance of the Senior Notes by the Holders thereof,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 of setting forth, as provided in the Base Indenture, the forms and terms of the Senior Notes, the Company covenants and agrees, with the Trustee, as follows: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Unless the context otherwise requires:</w:t>
      </w:r>
    </w:p>
    <w:p>
      <w:pPr>
        <w:spacing w:after="0" w:line="117" w:lineRule="exact"/>
        <w:rPr>
          <w:sz w:val="20"/>
          <w:szCs w:val="20"/>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defined in the Base Indenture has the same meaning when used in this Supplemental Indenture;</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convenience of reference only and do not affect interpretation;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Section or Article is to a Section or Article of this Supplemental Indenture unless otherwise indicated; and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have the meanings given to them in this Section 1.1(e):</w:t>
      </w:r>
    </w:p>
    <w:p>
      <w:pPr>
        <w:spacing w:after="0" w:line="113" w:lineRule="exact"/>
        <w:rPr>
          <w:rFonts w:ascii="Times New Roman" w:cs="Times New Roman" w:eastAsia="Times New Roman" w:hAnsi="Times New Roman"/>
          <w:sz w:val="18"/>
          <w:szCs w:val="18"/>
          <w:color w:val="auto"/>
        </w:rPr>
      </w:pPr>
    </w:p>
    <w:p>
      <w:pPr>
        <w:ind w:left="440" w:firstLine="948"/>
        <w:spacing w:after="0" w:line="268" w:lineRule="auto"/>
        <w:tabs>
          <w:tab w:leader="none" w:pos="160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or comparable governing body of the Company; provided that if the Company is a wholly-owned subsidiary of another person, the Board of Directors means the board of directors or comparable governing body of such person.</w:t>
      </w:r>
    </w:p>
    <w:p>
      <w:pPr>
        <w:spacing w:after="0" w:line="62" w:lineRule="exact"/>
        <w:rPr>
          <w:rFonts w:ascii="Times New Roman" w:cs="Times New Roman" w:eastAsia="Times New Roman" w:hAnsi="Times New Roman"/>
          <w:sz w:val="18"/>
          <w:szCs w:val="18"/>
          <w:color w:val="auto"/>
        </w:rPr>
      </w:pPr>
    </w:p>
    <w:p>
      <w:pPr>
        <w:ind w:left="440" w:right="120" w:firstLine="948"/>
        <w:spacing w:after="0" w:line="262" w:lineRule="auto"/>
        <w:tabs>
          <w:tab w:leader="none" w:pos="165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any of the following: (1)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13(d)(3) of the Exchange Act) other than to the Company or one of its subsidiaries; (2) the consummation of any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47" w:name="page48"/>
    <w:bookmarkEnd w:id="4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(including, without limitation, any merger or consolidation) the result of which is that any “person” (as that term is used in</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Section 13(d)(3) of the Exchange Act) other than the Company or one of its subsidiaries becomes the beneficial owner, directly or indirectly, of more than 50% of the then-outstanding number of shares of the Company’s voting stock; (3) the Company consolidates with, or merges with or into, any “person” (as that term is used in Section 13(d)(3) of the Exchange Act), or any “person” (as that term is used in Section 13(d)(3) of the Exchange Act) consolidates with, or merges with or into, the Company, in any such event pursuant to a transaction in which any of the outstanding voting stock of the Company or such other “person” (as that term is used in Section 13(d)(3) of the Exchange Act)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(as that term is used in Section 13(d)(3) of the Exchange Act) immediately after giving effect to such transaction; (4) the first day on which a majority of the members of the Company’s Board of Directors are not Continuing Directors; or (5) the adoption of a plan relating to the liquidation or dissolution of the Company; provided, however, that a transaction will not be deemed to involve a Change of Control if (A) the Company becomes a wholly owned subsidiary of a holding company and (B) (x) the holders of the voting stock of such holding company immediately following that transaction are substantially the same as the holders of the Company’s voting stock immediately prior to that transaction or (y) no person (other than a holding company satisfying the requirements of this sentence) becomes the beneficial owner of more than 50% of the then-outstanding number of shares of the voting stock of such holding company. For purposes of this definition, “voting stock” means capital stock or other equity interests of any class or kind the holders of which are ordinarily, in the absence of contingencies, entitled to vote for the election of directors (or persons performing similar functions) of the Company or the applicable holding company, even if the right to vote has been suspended by the happening of such a contingency.</w:t>
      </w:r>
    </w:p>
    <w:p>
      <w:pPr>
        <w:spacing w:after="0" w:line="78"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color w:val="auto"/>
        </w:rPr>
        <w:t>Change of Control Triggering Event</w:t>
      </w:r>
      <w:r>
        <w:rPr>
          <w:rFonts w:ascii="Times New Roman" w:cs="Times New Roman" w:eastAsia="Times New Roman" w:hAnsi="Times New Roman"/>
          <w:sz w:val="18"/>
          <w:szCs w:val="18"/>
          <w:color w:val="auto"/>
        </w:rPr>
        <w:t>” means the occurrence of both (i) a Change of Control and (ii) a Ratings Downgrade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Event.</w:t>
      </w:r>
    </w:p>
    <w:p>
      <w:pPr>
        <w:spacing w:after="0" w:line="95" w:lineRule="exact"/>
        <w:rPr>
          <w:sz w:val="20"/>
          <w:szCs w:val="20"/>
          <w:color w:val="auto"/>
        </w:rPr>
      </w:pPr>
    </w:p>
    <w:p>
      <w:pPr>
        <w:ind w:left="1264" w:hanging="312"/>
        <w:spacing w:after="0"/>
        <w:tabs>
          <w:tab w:leader="none" w:pos="12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means, as of any date of determination, any member of the Board of Directors of the Company who</w:t>
      </w:r>
    </w:p>
    <w:p>
      <w:pPr>
        <w:spacing w:after="0" w:line="31" w:lineRule="exact"/>
        <w:rPr>
          <w:rFonts w:ascii="Times New Roman" w:cs="Times New Roman" w:eastAsia="Times New Roman" w:hAnsi="Times New Roman"/>
          <w:sz w:val="18"/>
          <w:szCs w:val="18"/>
          <w:color w:val="auto"/>
        </w:rPr>
      </w:pPr>
    </w:p>
    <w:p>
      <w:pPr>
        <w:ind w:left="4" w:right="20" w:hanging="4"/>
        <w:spacing w:after="0" w:line="253" w:lineRule="auto"/>
        <w:tabs>
          <w:tab w:leader="none" w:pos="25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the Board of Directors of the Company on the date of the issuance of the Senior Notes; or (2) was nominated for election or elected to the Board of Directors of the Company with the approval of a majority of the Continuing Directors who were members of such Board of Directors of the Company at the time of such nomination or election (either by specific vote or by approval of the Company’s proxy statement in which such member was named as a nominee for election as a director).</w:t>
      </w:r>
    </w:p>
    <w:p>
      <w:pPr>
        <w:spacing w:after="0" w:line="76"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shall have the meaning assigned to it in Section 2.5.</w:t>
      </w:r>
    </w:p>
    <w:p>
      <w:pPr>
        <w:spacing w:after="0" w:line="117" w:lineRule="exact"/>
        <w:rPr>
          <w:rFonts w:ascii="Times New Roman" w:cs="Times New Roman" w:eastAsia="Times New Roman" w:hAnsi="Times New Roman"/>
          <w:sz w:val="18"/>
          <w:szCs w:val="18"/>
          <w:color w:val="auto"/>
        </w:rPr>
      </w:pPr>
    </w:p>
    <w:p>
      <w:pPr>
        <w:ind w:left="1264" w:hanging="312"/>
        <w:spacing w:after="0"/>
        <w:tabs>
          <w:tab w:leader="none" w:pos="126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Inc., or any successor rating agency.</w:t>
      </w:r>
    </w:p>
    <w:p>
      <w:pPr>
        <w:spacing w:after="0" w:line="162"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4"/>
          </w:cols>
          <w:pgMar w:left="876" w:top="270" w:right="439" w:bottom="1440" w:gutter="0" w:footer="0" w:header="0"/>
        </w:sectPr>
      </w:pPr>
    </w:p>
    <w:bookmarkStart w:id="48" w:name="page49"/>
    <w:bookmarkEnd w:id="48"/>
    <w:p>
      <w:pPr>
        <w:jc w:val="both"/>
        <w:ind w:right="60" w:firstLine="948"/>
        <w:spacing w:after="0" w:line="278" w:lineRule="auto"/>
        <w:tabs>
          <w:tab w:leader="none" w:pos="130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Investment Grade Rating</w:t>
      </w:r>
      <w:r>
        <w:rPr>
          <w:rFonts w:ascii="Times New Roman" w:cs="Times New Roman" w:eastAsia="Times New Roman" w:hAnsi="Times New Roman"/>
          <w:sz w:val="17"/>
          <w:szCs w:val="17"/>
          <w:color w:val="auto"/>
        </w:rPr>
        <w:t>” means a rating by Moody’s equal to or higher than Baa3 (or the equivalent under a successor rating category of Moody’s), a rating by S&amp;P equal to or higher than BBB- (or the equivalent under any successor rating category of S&amp;P), a rating by Fitch equal to or higher than BBB- (or the equivalent under any successor rating category of Fitch), and the equivalent investment grade credit rating from any replacement rating agency or rating agencies selected by the Company under the circumstances permitting the Company to select a replacement agency and in the manner for selecting a replacement agency, in each case as set forth in the definition of “Rating Agencies”.</w:t>
      </w:r>
    </w:p>
    <w:p>
      <w:pPr>
        <w:spacing w:after="0" w:line="55" w:lineRule="exact"/>
        <w:rPr>
          <w:rFonts w:ascii="Times New Roman" w:cs="Times New Roman" w:eastAsia="Times New Roman" w:hAnsi="Times New Roman"/>
          <w:sz w:val="17"/>
          <w:szCs w:val="17"/>
          <w:color w:val="auto"/>
        </w:rPr>
      </w:pPr>
    </w:p>
    <w:p>
      <w:pPr>
        <w:ind w:left="1360" w:hanging="412"/>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or any successor rating agency.</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Navient Corporation</w:t>
      </w:r>
      <w:r>
        <w:rPr>
          <w:rFonts w:ascii="Times New Roman" w:cs="Times New Roman" w:eastAsia="Times New Roman" w:hAnsi="Times New Roman"/>
          <w:sz w:val="18"/>
          <w:szCs w:val="18"/>
          <w:color w:val="auto"/>
        </w:rPr>
        <w:t>” means Navient Corporation, or any successor.</w:t>
      </w:r>
    </w:p>
    <w:p>
      <w:pPr>
        <w:spacing w:after="0" w:line="117" w:lineRule="exact"/>
        <w:rPr>
          <w:rFonts w:ascii="Times New Roman" w:cs="Times New Roman" w:eastAsia="Times New Roman" w:hAnsi="Times New Roman"/>
          <w:sz w:val="18"/>
          <w:szCs w:val="18"/>
          <w:color w:val="auto"/>
        </w:rPr>
      </w:pPr>
    </w:p>
    <w:p>
      <w:pPr>
        <w:ind w:right="80" w:firstLine="948"/>
        <w:spacing w:after="0" w:line="262" w:lineRule="auto"/>
        <w:tabs>
          <w:tab w:leader="none" w:pos="12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Agencies</w:t>
      </w:r>
      <w:r>
        <w:rPr>
          <w:rFonts w:ascii="Times New Roman" w:cs="Times New Roman" w:eastAsia="Times New Roman" w:hAnsi="Times New Roman"/>
          <w:sz w:val="18"/>
          <w:szCs w:val="18"/>
          <w:color w:val="auto"/>
        </w:rPr>
        <w:t>” means (1) Moody’s, S&amp;P and Fitch; and (2) if any or all of Moody’s, S&amp;P or Fitch ceases to rate the Senior Notes or fails to make a rating of the Senior Notes publicly available for reasons outside of the Company’s control, a “nationally recognized statistical rating organization” within the meaning of Section 3(a)(62) under the Exchange Act, that the Company selects (pursuant to a resolution of the Company’s Board of Directors) as a replacement agency for any of Moody’s, S&amp;P or Fitch, or all of them, as the case may be.</w:t>
      </w:r>
    </w:p>
    <w:p>
      <w:pPr>
        <w:spacing w:after="0" w:line="68" w:lineRule="exact"/>
        <w:rPr>
          <w:rFonts w:ascii="Times New Roman" w:cs="Times New Roman" w:eastAsia="Times New Roman" w:hAnsi="Times New Roman"/>
          <w:sz w:val="18"/>
          <w:szCs w:val="18"/>
          <w:color w:val="auto"/>
        </w:rPr>
      </w:pPr>
    </w:p>
    <w:p>
      <w:pPr>
        <w:ind w:firstLine="948"/>
        <w:spacing w:after="0" w:line="255" w:lineRule="auto"/>
        <w:tabs>
          <w:tab w:leader="none" w:pos="12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Ratings Downgrade Event</w:t>
      </w:r>
      <w:r>
        <w:rPr>
          <w:rFonts w:ascii="Times New Roman" w:cs="Times New Roman" w:eastAsia="Times New Roman" w:hAnsi="Times New Roman"/>
          <w:sz w:val="18"/>
          <w:szCs w:val="18"/>
          <w:color w:val="auto"/>
        </w:rPr>
        <w:t>” means, on any date during the Trigger Period, the Senior Notes being downgraded by at least one modifier (a modifier being plus, neutral or minus for S&amp;P or Fitch, 1, 2 or 3 for Moody’s and a similar modifier by any other Rating Agency) by any two of the three Rating Agencies from the rating on the Senior Notes by each such Rating Agency on the date prior to the first day of the Trigger Period; provided that no Ratings Downgrade Event shall be deemed to occur, if either (i) the rating on the Senior Notes by each Rating Agency that downgraded its rating is an Investment Grade Rating after the downgrade or (ii) in respect of a particular Change of Control, the Rating Agency or Agencies (as applicable) that downgraded the Senior Notes announce or confirm or inform the Trustee in writing that the reduction was not the result, in whole or in part, of any event or circumstance comprised of, or arising as a result of, or in respect of, the applicable Change of Control.</w:t>
      </w:r>
    </w:p>
    <w:p>
      <w:pPr>
        <w:spacing w:after="0" w:line="76"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Change of Control Payment Date</w:t>
      </w:r>
      <w:r>
        <w:rPr>
          <w:rFonts w:ascii="Times New Roman" w:cs="Times New Roman" w:eastAsia="Times New Roman" w:hAnsi="Times New Roman"/>
          <w:sz w:val="18"/>
          <w:szCs w:val="18"/>
          <w:color w:val="auto"/>
        </w:rPr>
        <w:t>” shall have the meaning assigned to it in Section 2.9(g).</w:t>
      </w:r>
    </w:p>
    <w:p>
      <w:pPr>
        <w:spacing w:after="0" w:line="117"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or any successor rating agency.</w:t>
      </w:r>
    </w:p>
    <w:p>
      <w:pPr>
        <w:spacing w:after="0" w:line="117" w:lineRule="exact"/>
        <w:rPr>
          <w:rFonts w:ascii="Times New Roman" w:cs="Times New Roman" w:eastAsia="Times New Roman" w:hAnsi="Times New Roman"/>
          <w:sz w:val="18"/>
          <w:szCs w:val="18"/>
          <w:color w:val="auto"/>
        </w:rPr>
      </w:pPr>
    </w:p>
    <w:p>
      <w:pPr>
        <w:ind w:right="160" w:firstLine="948"/>
        <w:spacing w:after="0" w:line="268" w:lineRule="auto"/>
        <w:tabs>
          <w:tab w:leader="none" w:pos="13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Period</w:t>
      </w:r>
      <w:r>
        <w:rPr>
          <w:rFonts w:ascii="Times New Roman" w:cs="Times New Roman" w:eastAsia="Times New Roman" w:hAnsi="Times New Roman"/>
          <w:sz w:val="18"/>
          <w:szCs w:val="18"/>
          <w:color w:val="auto"/>
        </w:rPr>
        <w:t>” means the period commencing one day prior to the first public announcement by the Company of a Change of Control or an arrangement that could result in a Change of Control and ending 60 days following consummation of the Change of Control (which period will be extended following consummation of a</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66" w:right="459" w:bottom="1440" w:gutter="0" w:footer="0" w:header="0"/>
        </w:sectPr>
      </w:pPr>
    </w:p>
    <w:bookmarkStart w:id="49" w:name="page50"/>
    <w:bookmarkEnd w:id="49"/>
    <w:p>
      <w:pPr>
        <w:jc w:val="both"/>
        <w:ind w:left="440"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Control for so long as the rating of the Senior Notes is under announced consideration for possible downgrade by any of the Rating Agencies as the result, in whole or in part, of any event or circumstance comprised of, or arising as a result of, or in respect of, the applicable Change of Control).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TERMS AND CONDITIONS OF THE SENIOR NOTES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Designation and Principal Amount</w:t>
      </w:r>
      <w:r>
        <w:rPr>
          <w:rFonts w:ascii="Times New Roman" w:cs="Times New Roman" w:eastAsia="Times New Roman" w:hAnsi="Times New Roman"/>
          <w:sz w:val="18"/>
          <w:szCs w:val="18"/>
          <w:color w:val="auto"/>
        </w:rPr>
        <w:t>. There is hereby authorized and established a new series of Securities under the Base Indenture, designated as the “9.375% Senior Notes due 2031”, which is not limited in aggregate principal amount. The initial aggregate principal amount of the Senior Notes to be issued under this Supplemental Indenture shall be limited to $500,000,000. Any additional amounts of the series to be issued shall be set forth in a Company Order.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The stated maturity of principal for the Senior Notes will be October 15, 2031.</w:t>
      </w:r>
    </w:p>
    <w:p>
      <w:pPr>
        <w:spacing w:after="0" w:line="225" w:lineRule="exact"/>
        <w:rPr>
          <w:sz w:val="20"/>
          <w:szCs w:val="20"/>
          <w:color w:val="auto"/>
        </w:rPr>
      </w:pPr>
    </w:p>
    <w:p>
      <w:pPr>
        <w:jc w:val="both"/>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Further Issues</w:t>
      </w:r>
      <w:r>
        <w:rPr>
          <w:rFonts w:ascii="Times New Roman" w:cs="Times New Roman" w:eastAsia="Times New Roman" w:hAnsi="Times New Roman"/>
          <w:sz w:val="17"/>
          <w:szCs w:val="17"/>
          <w:color w:val="auto"/>
        </w:rPr>
        <w:t>. The Company may from time to time, without the consent of the Holders of the series of Senior Notes, issue additional notes of such series. Any such additional notes will have the same ranking, interest rate, maturity date and other terms as the series of Senior Notes. Any such additional notes, together with the series of Senior Notes herein provided for, will constitute a single series of Securities under the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Principal of, premium, if any, and interest on the Senior Notes shall be payable in U.S. dollars.</w:t>
      </w:r>
    </w:p>
    <w:p>
      <w:pPr>
        <w:spacing w:after="0" w:line="225"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 Upon the original issuance, the Senior Notes will be represented by one or more Global Securities. The Company will issue the Senior Notes in denominations of $2,000 and in integral multiples of $1,000 in excess thereof and will deposit the Global Securities with the Trustee as custodian for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in New York, New York, and register the Global Securities in the name of DTC or its nominee.</w:t>
      </w:r>
    </w:p>
    <w:p>
      <w:pPr>
        <w:spacing w:after="0" w:line="180" w:lineRule="exact"/>
        <w:rPr>
          <w:sz w:val="20"/>
          <w:szCs w:val="20"/>
          <w:color w:val="auto"/>
        </w:rPr>
      </w:pPr>
    </w:p>
    <w:p>
      <w:pPr>
        <w:ind w:right="2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The Senior Notes will bear interest (computed on the basis of a 360-day year consisting of twelve 30-day months) from May 29, 2026 at the rate of 9.375% per annum, payable semiannually in arrears; interest payable on each Interest Payment Date will include interest accrued from May 29, 2026, or from the most recent Interest Payment Date to which interest has been paid or duly provided for; the Interest Payment Dates on which such interest shall be payable are April 15 and October 15, commencing on October 15, 2026; and the record date for the interest payable on any Interest Payment Date is the immediately preceding April 1 and October 1, as the case may be, commencing on October 1, 2026.</w:t>
      </w:r>
    </w:p>
    <w:p>
      <w:pPr>
        <w:spacing w:after="0" w:line="16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Authorized Denominations</w:t>
      </w:r>
      <w:r>
        <w:rPr>
          <w:rFonts w:ascii="Times New Roman" w:cs="Times New Roman" w:eastAsia="Times New Roman" w:hAnsi="Times New Roman"/>
          <w:sz w:val="18"/>
          <w:szCs w:val="18"/>
          <w:color w:val="auto"/>
        </w:rPr>
        <w:t>. The Senior Notes shall be issuable in denominations of $2,000 and in integral multiples of $1,000 in excess thereof.</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Senior Notes are subject to redemption at the option of the Company as set forth in the form attached as Exhibit A 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Repurchase Upon 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occurs, unless the Company has exercised its right, if any, to redeem the Senior Notes in full, the Company shall offer (the “</w:t>
      </w:r>
      <w:r>
        <w:rPr>
          <w:rFonts w:ascii="Times New Roman" w:cs="Times New Roman" w:eastAsia="Times New Roman" w:hAnsi="Times New Roman"/>
          <w:sz w:val="18"/>
          <w:szCs w:val="18"/>
          <w:b w:val="1"/>
          <w:bCs w:val="1"/>
          <w:color w:val="auto"/>
        </w:rPr>
        <w:t>Change of Control Offer</w:t>
      </w:r>
      <w:r>
        <w:rPr>
          <w:rFonts w:ascii="Times New Roman" w:cs="Times New Roman" w:eastAsia="Times New Roman" w:hAnsi="Times New Roman"/>
          <w:sz w:val="18"/>
          <w:szCs w:val="18"/>
          <w:color w:val="auto"/>
        </w:rPr>
        <w:t>”) to repurchase any and all of each Holder’s Senior Notes (equal to $2,000 or an integral multiple of $1,000 above that amount) at a repurchase price in cash equal to 101% of the aggregate principal amount of the Senior Notes repurchased plus accrued and unpaid interest, if any, to, but not including, the date of repurchase (the “</w:t>
      </w:r>
      <w:r>
        <w:rPr>
          <w:rFonts w:ascii="Times New Roman" w:cs="Times New Roman" w:eastAsia="Times New Roman" w:hAnsi="Times New Roman"/>
          <w:sz w:val="18"/>
          <w:szCs w:val="18"/>
          <w:b w:val="1"/>
          <w:bCs w:val="1"/>
          <w:color w:val="auto"/>
        </w:rPr>
        <w:t>Change of Control Payment</w:t>
      </w:r>
      <w:r>
        <w:rPr>
          <w:rFonts w:ascii="Times New Roman" w:cs="Times New Roman" w:eastAsia="Times New Roman" w:hAnsi="Times New Roman"/>
          <w:sz w:val="18"/>
          <w:szCs w:val="18"/>
          <w:color w:val="auto"/>
        </w:rPr>
        <w:t>”). Within 30 days following any Change of Control Triggering Event, the Company shall be required to mail a notice to each Holder of the Senior Notes to the address of such Holder appearing in the Registrar, with a copy to the Trustee or otherwise in accordance with the procedures of DTC, describing the transaction or transactions that constitute the Change of Control Triggering Event and offering to repurchase such Senior Notes on the date specified in the notice, which date will be no less than 30 days and no more than 60 days from the date such notice is mailed (the “</w:t>
      </w:r>
      <w:r>
        <w:rPr>
          <w:rFonts w:ascii="Times New Roman" w:cs="Times New Roman" w:eastAsia="Times New Roman" w:hAnsi="Times New Roman"/>
          <w:sz w:val="18"/>
          <w:szCs w:val="18"/>
          <w:b w:val="1"/>
          <w:bCs w:val="1"/>
          <w:color w:val="auto"/>
        </w:rPr>
        <w:t>Change of Control Payment Date</w:t>
      </w:r>
      <w:r>
        <w:rPr>
          <w:rFonts w:ascii="Times New Roman" w:cs="Times New Roman" w:eastAsia="Times New Roman" w:hAnsi="Times New Roman"/>
          <w:sz w:val="18"/>
          <w:szCs w:val="18"/>
          <w:color w:val="auto"/>
        </w:rPr>
        <w:t>”), with the following information:</w:t>
      </w:r>
    </w:p>
    <w:p>
      <w:pPr>
        <w:spacing w:after="0" w:line="80"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60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Offer is being made pursuant to this Section 2.9 and that all Senior Notes properly tendered pursuant to such Change of Control Offer will be accepted for payment;</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price and the Change of Control Payment Date;</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Senior Note not properly tendered will remain outstanding and continue to accrue interest;</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69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the payment of the Change of Control Payment, all Senior Notes accepted for payment pursuant to the Change of Control Offer will cease to accrue interest on, but not including, the Change of Control Payment Date;</w:t>
      </w:r>
    </w:p>
    <w:p>
      <w:pPr>
        <w:spacing w:after="0" w:line="53" w:lineRule="exact"/>
        <w:rPr>
          <w:rFonts w:ascii="Times New Roman" w:cs="Times New Roman" w:eastAsia="Times New Roman" w:hAnsi="Times New Roman"/>
          <w:sz w:val="18"/>
          <w:szCs w:val="18"/>
          <w:color w:val="auto"/>
        </w:rPr>
      </w:pPr>
    </w:p>
    <w:p>
      <w:pPr>
        <w:jc w:val="both"/>
        <w:ind w:left="440" w:right="80" w:firstLine="948"/>
        <w:spacing w:after="0" w:line="261" w:lineRule="auto"/>
        <w:tabs>
          <w:tab w:leader="none" w:pos="164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electing to have any Senior Notes repurchased pursuant to a Change of Control Offer will be required to surrender such Senior Notes, in the form set forth in Exhibit A entitled “Option of Holder to Elect Purchase”, on the reverse of such Senior Notes completed, to the Paying Agent specified in the notice at the address specified in the notice prior to the close of business on the third business day preceding the Change of Control Payment Date;</w:t>
      </w:r>
    </w:p>
    <w:p>
      <w:pPr>
        <w:spacing w:after="0" w:line="71" w:lineRule="exact"/>
        <w:rPr>
          <w:rFonts w:ascii="Times New Roman" w:cs="Times New Roman" w:eastAsia="Times New Roman" w:hAnsi="Times New Roman"/>
          <w:sz w:val="18"/>
          <w:szCs w:val="18"/>
          <w:color w:val="auto"/>
        </w:rPr>
      </w:pPr>
    </w:p>
    <w:p>
      <w:pPr>
        <w:ind w:left="440" w:right="40" w:firstLine="948"/>
        <w:spacing w:after="0" w:line="281" w:lineRule="auto"/>
        <w:tabs>
          <w:tab w:leader="none" w:pos="169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will be entitled to withdraw their tendered Senior Notes and their election to require the Company to repurchase such Senior Notes, provided that the Paying Agent receives, not later than the close of business on the last day of the Change of Control Offer period, a facsimile transmission, an email or a letter setting forth the name of the Holder of Senior Notes, the principal amount of Senior Notes tendered for repurchase, and a statement that such Holder is withdrawing his tendered Senior Notes and his election to have such Senior Notes repurchased;</w:t>
      </w:r>
    </w:p>
    <w:p>
      <w:pPr>
        <w:spacing w:after="0" w:line="56" w:lineRule="exact"/>
        <w:rPr>
          <w:rFonts w:ascii="Times New Roman" w:cs="Times New Roman" w:eastAsia="Times New Roman" w:hAnsi="Times New Roman"/>
          <w:sz w:val="17"/>
          <w:szCs w:val="17"/>
          <w:color w:val="auto"/>
        </w:rPr>
      </w:pPr>
    </w:p>
    <w:p>
      <w:pPr>
        <w:ind w:left="440" w:firstLine="948"/>
        <w:spacing w:after="0" w:line="282" w:lineRule="auto"/>
        <w:tabs>
          <w:tab w:leader="none" w:pos="174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is mailed prior to the occurrence of a Change of Control, stating that the Change of Control Offer is conditional on the occurrence of such Change of Control;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1" w:name="page52"/>
    <w:bookmarkEnd w:id="51"/>
    <w:p>
      <w:pPr>
        <w:jc w:val="both"/>
        <w:ind w:left="444" w:right="40" w:firstLine="948"/>
        <w:spacing w:after="0" w:line="266" w:lineRule="auto"/>
        <w:tabs>
          <w:tab w:leader="none" w:pos="1801"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Holders whose Senior Notes are being repurchased only in part will be issued new Senior Notes equal in principal amount to the unpurchased portion of the Senior Notes surrendered, which unpurchased portion must be equal to $2,000 in principal amount or an integral multiple of $1,000 in excess thereof.</w:t>
      </w:r>
    </w:p>
    <w:p>
      <w:pPr>
        <w:spacing w:after="0" w:line="67"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25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Senior Notes are in global form and the Company makes an offer to repurchase all of the Senior Notes pursuant to the Change of Control Offer, a Holder may exercise its option to elect for the repurchase of the Senior Notes through the facilities of DTC, Euroclear and Clearstream, subject to their rules and regulations.</w:t>
      </w:r>
    </w:p>
    <w:p>
      <w:pPr>
        <w:spacing w:after="0" w:line="6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make a Change of Control Offer upon the occurrence of a Change of Control Triggering Event if</w:t>
      </w:r>
    </w:p>
    <w:p>
      <w:pPr>
        <w:spacing w:after="0" w:line="27" w:lineRule="exact"/>
        <w:rPr>
          <w:rFonts w:ascii="Times New Roman" w:cs="Times New Roman" w:eastAsia="Times New Roman" w:hAnsi="Times New Roman"/>
          <w:sz w:val="18"/>
          <w:szCs w:val="18"/>
          <w:color w:val="auto"/>
        </w:rPr>
      </w:pPr>
    </w:p>
    <w:p>
      <w:pPr>
        <w:ind w:left="4" w:right="80" w:hanging="4"/>
        <w:spacing w:after="0" w:line="251"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makes the Change of Control Offer in the manner, at the times and otherwise in compliance with the requirements set forth in this Supplemental Indenture applicable to a Change of Control Offer made by the Company and the third party repurchases on the applicable date all Senior Notes properly tendered and not withdrawn under such Change of Control Offer, provided that a failure by such third party to comply with the requirements of such Change of Control Offer and to complete such Change of Control Offer shall be treated as a failure by the Company to comply with its obligations to offer to repurchase the Senior Notes unless the Company promptly makes an offer to repurchase the Senior Notes at 101% of the principal amount thereof plus accrued and unpaid interest, if any, to, but not including the date of repurchase, which shall be no later than 30 days after the third party’s scheduled Change of Control Payment Date, or (2) a notice of redemption has been given pursuant to the Indenture as described under Section 4.03 of the Base Indenture, unless and until there is a default in payment of the applicable redemption price. Notwithstanding anything to the contrary herein, a Change of Control Offer may be made in advance of a Change of Control, conditional upon such Change of Control.</w:t>
      </w:r>
    </w:p>
    <w:p>
      <w:pPr>
        <w:spacing w:after="0" w:line="85"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the requirements of Rule 14e-1 under the Exchange Act and any other securities laws and regulations thereunder to the extent such laws and regulations are applicable in connection with the repurchase of Senior Notes as a result of a Change of Control Triggering Event. To the extent that the provisions of any securities laws or regulations conflict with the Change of Control repurchase provisions of this Supplemental Indenture, the Company shall comply with the applicable securities laws and regulations and shall not be deemed to have breached its obligations under Section 2.9 of this Supplemental Indenture by virtue thereof.</w:t>
      </w:r>
    </w:p>
    <w:p>
      <w:pPr>
        <w:spacing w:after="0" w:line="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Company shall, to the extent permitted by law,</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or cause a third party to accept for payment all Senior Notes properly tendered pursuant to the Change of Control Offer;</w:t>
      </w:r>
    </w:p>
    <w:p>
      <w:pPr>
        <w:spacing w:after="0" w:line="117" w:lineRule="exact"/>
        <w:rPr>
          <w:rFonts w:ascii="Times New Roman" w:cs="Times New Roman" w:eastAsia="Times New Roman" w:hAnsi="Times New Roman"/>
          <w:sz w:val="18"/>
          <w:szCs w:val="18"/>
          <w:color w:val="auto"/>
        </w:rPr>
      </w:pPr>
    </w:p>
    <w:p>
      <w:pPr>
        <w:ind w:left="444" w:right="180" w:firstLine="948"/>
        <w:spacing w:after="0" w:line="282" w:lineRule="auto"/>
        <w:tabs>
          <w:tab w:leader="none" w:pos="1661"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or cause a third party to deposit with the Paying Agent an amount equal to the Change of Control Payment in respect of all Senior Notes properly tendered; and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52" w:name="page53"/>
    <w:bookmarkEnd w:id="52"/>
    <w:p>
      <w:pPr>
        <w:ind w:left="440" w:right="180" w:firstLine="948"/>
        <w:spacing w:after="0" w:line="282" w:lineRule="auto"/>
        <w:tabs>
          <w:tab w:leader="none" w:pos="170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 or cause to be delivered to the Trustee the Senior Notes properly accepted, together with an Officers’ Certificate stating the principal amount of Senior Notes being repurchased.</w:t>
      </w:r>
    </w:p>
    <w:p>
      <w:pPr>
        <w:spacing w:after="0" w:line="53" w:lineRule="exact"/>
        <w:rPr>
          <w:rFonts w:ascii="Times New Roman" w:cs="Times New Roman" w:eastAsia="Times New Roman" w:hAnsi="Times New Roman"/>
          <w:sz w:val="18"/>
          <w:szCs w:val="18"/>
          <w:color w:val="auto"/>
        </w:rPr>
      </w:pPr>
    </w:p>
    <w:p>
      <w:pPr>
        <w:ind w:right="280" w:firstLine="987"/>
        <w:spacing w:after="0" w:line="312" w:lineRule="auto"/>
        <w:tabs>
          <w:tab w:leader="none" w:pos="121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Paying Agent shall promptly deliver to each Holder of Senior Notes the Change of Control Payment for such Senior Notes. The Company shall publicly announce the results of the Change of Control Offer on or as soon as practicable after the Change of Control Payment Date.</w:t>
      </w:r>
    </w:p>
    <w:p>
      <w:pPr>
        <w:spacing w:after="0" w:line="31" w:lineRule="exact"/>
        <w:rPr>
          <w:rFonts w:ascii="Times New Roman" w:cs="Times New Roman" w:eastAsia="Times New Roman" w:hAnsi="Times New Roman"/>
          <w:sz w:val="17"/>
          <w:szCs w:val="17"/>
          <w:color w:val="auto"/>
        </w:rPr>
      </w:pPr>
    </w:p>
    <w:p>
      <w:pPr>
        <w:ind w:right="40" w:firstLine="987"/>
        <w:spacing w:after="0" w:line="255"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not less than 90% in aggregate principal amount of the outstanding Senior Notes validly tender and do not withdraw such Senior Notes in a Change of Control Offer and the Company, or any third party making a Change of Control Offer in lieu of the Company in accordance with this Section 2.9, purchases all of the Senior Notes validly tendered and not withdrawn by such Holders, the Company or such third party will have the right, upon not less than 10 days nor more than 60 days’ prior notice, provided that such notice is given not more than 30 days following such purchase pursuant to the Change of Control Offer, to redeem all Senior Notes that remain outstanding following such purchase on a date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of Control Payment Date</w:t>
      </w:r>
      <w:r>
        <w:rPr>
          <w:rFonts w:ascii="Times New Roman" w:cs="Times New Roman" w:eastAsia="Times New Roman" w:hAnsi="Times New Roman"/>
          <w:sz w:val="18"/>
          <w:szCs w:val="18"/>
          <w:color w:val="auto"/>
        </w:rPr>
        <w:t>”) at a price in cash equal to the applicable Change of Control Payment in respect of the Second Change of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Date.</w:t>
      </w:r>
    </w:p>
    <w:p>
      <w:pPr>
        <w:spacing w:after="0" w:line="18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Satisfaction and Discharge; Defeasance</w:t>
      </w:r>
      <w:r>
        <w:rPr>
          <w:rFonts w:ascii="Times New Roman" w:cs="Times New Roman" w:eastAsia="Times New Roman" w:hAnsi="Times New Roman"/>
          <w:sz w:val="18"/>
          <w:szCs w:val="18"/>
          <w:color w:val="auto"/>
        </w:rPr>
        <w:t>. Article XII of the Base Indenture is hereby amended with respect to the Senior Notes by removing the following language: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from Section 12.02(a):</w:t>
      </w:r>
    </w:p>
    <w:p>
      <w:pPr>
        <w:spacing w:after="0" w:line="117" w:lineRule="exact"/>
        <w:rPr>
          <w:sz w:val="20"/>
          <w:szCs w:val="20"/>
          <w:color w:val="auto"/>
        </w:rPr>
      </w:pPr>
    </w:p>
    <w:p>
      <w:pPr>
        <w:jc w:val="both"/>
        <w:ind w:left="440" w:right="20" w:firstLine="423"/>
        <w:spacing w:after="0" w:line="256" w:lineRule="auto"/>
        <w:rPr>
          <w:sz w:val="20"/>
          <w:szCs w:val="20"/>
          <w:color w:val="auto"/>
        </w:rPr>
      </w:pPr>
      <w:r>
        <w:rPr>
          <w:rFonts w:ascii="Times New Roman" w:cs="Times New Roman" w:eastAsia="Times New Roman" w:hAnsi="Times New Roman"/>
          <w:sz w:val="18"/>
          <w:szCs w:val="18"/>
          <w:color w:val="auto"/>
        </w:rPr>
        <w:t>“provided, however, that, if a Default of the nature described in clauses (e) or (f) of Section 7.01 shall have occurred at any time during the period ending on and including the 91st day after the date of such deposit or if the Trustee or any Paying Agent is required to return the monies then on deposit with or held by the Trustee or such Paying Agent to the Company or to a trustee in bankruptcy, receiver, conservator or other similar Person, or the Trustee or any Paying Agent is not permitted to apply any such funds to pay the principal of and premium, if any, and interest on the Securities of such series (including to make sinking fund payments) as and when the same shall become due and payable, the obligations of the Company under this Indenture with respect to such Securities shall not be deemed terminated or discharged;”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from Section 12.03(b):</w:t>
      </w:r>
    </w:p>
    <w:p>
      <w:pPr>
        <w:spacing w:after="0" w:line="117" w:lineRule="exact"/>
        <w:rPr>
          <w:sz w:val="20"/>
          <w:szCs w:val="20"/>
          <w:color w:val="auto"/>
        </w:rPr>
      </w:pPr>
    </w:p>
    <w:p>
      <w:pPr>
        <w:jc w:val="both"/>
        <w:ind w:left="440" w:firstLine="423"/>
        <w:spacing w:after="0" w:line="266" w:lineRule="auto"/>
        <w:rPr>
          <w:sz w:val="20"/>
          <w:szCs w:val="20"/>
          <w:color w:val="auto"/>
        </w:rPr>
      </w:pPr>
      <w:r>
        <w:rPr>
          <w:rFonts w:ascii="Times New Roman" w:cs="Times New Roman" w:eastAsia="Times New Roman" w:hAnsi="Times New Roman"/>
          <w:sz w:val="18"/>
          <w:szCs w:val="18"/>
          <w:color w:val="auto"/>
        </w:rPr>
        <w:t>“and, solely in the case of Discharge pursuant to clause (x) of the first paragraph of this Section 12.03, no Default with respect to the Securities of such series under either clause (e) or (f) of Section 7.01 shall have occurred at any time during the period ending on and including the 91st day after the date of such deposit”.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Appointment of Agents</w:t>
      </w:r>
      <w:r>
        <w:rPr>
          <w:rFonts w:ascii="Times New Roman" w:cs="Times New Roman" w:eastAsia="Times New Roman" w:hAnsi="Times New Roman"/>
          <w:sz w:val="18"/>
          <w:szCs w:val="18"/>
          <w:color w:val="auto"/>
        </w:rPr>
        <w:t>. The Trustee will initially be the Security Registrar and Paying Agent for the Senior Notes.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Form of Senior Notes</w:t>
      </w:r>
      <w:r>
        <w:rPr>
          <w:rFonts w:ascii="Times New Roman" w:cs="Times New Roman" w:eastAsia="Times New Roman" w:hAnsi="Times New Roman"/>
          <w:sz w:val="18"/>
          <w:szCs w:val="18"/>
          <w:color w:val="auto"/>
        </w:rPr>
        <w:t>. The Senior Notes and the Trustee’s Certificate of Authentication to be endorsed thereon, are to be substantially in the form set forth in Exhibit A hereto.</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ORIGINAL ISSUE OF NOTES</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Original Issue of Senior Notes</w:t>
      </w:r>
      <w:r>
        <w:rPr>
          <w:rFonts w:ascii="Times New Roman" w:cs="Times New Roman" w:eastAsia="Times New Roman" w:hAnsi="Times New Roman"/>
          <w:sz w:val="18"/>
          <w:szCs w:val="18"/>
          <w:color w:val="auto"/>
        </w:rPr>
        <w:t>. The Senior Notes may, upon execution of this Supplemental Indenture, be executed by the Company and delivered to the Trustee for authentication, and the Trustee shall, upon Company order, authenticate and deliver such Senior Notes as in such Company order provided.</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Ratification of Indenture</w:t>
      </w:r>
      <w:r>
        <w:rPr>
          <w:rFonts w:ascii="Times New Roman" w:cs="Times New Roman" w:eastAsia="Times New Roman" w:hAnsi="Times New Roman"/>
          <w:sz w:val="18"/>
          <w:szCs w:val="18"/>
          <w:color w:val="auto"/>
        </w:rPr>
        <w:t>. The Base Indenture, as supplemented by this Supplemental Indenture, is in all respects ratified and confirmed, and this Supplemental Indenture shall be deemed part of the Base Indenture in the manner and to the extent herein and therein provided; provided that the provisions of this Supplemental Indenture apply solely with respect to the Senior Notes.</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Trustee Not Responsible for Recitals</w:t>
      </w:r>
      <w:r>
        <w:rPr>
          <w:rFonts w:ascii="Times New Roman" w:cs="Times New Roman" w:eastAsia="Times New Roman" w:hAnsi="Times New Roman"/>
          <w:sz w:val="18"/>
          <w:szCs w:val="18"/>
          <w:color w:val="auto"/>
        </w:rPr>
        <w:t>. The recitals and statements herein contained are made by the Company and not by the Trustee, and the Trustee assumes no responsibility for the correctness thereof. The Trustee makes no representation as to the validity or sufficiency of this Supplemental Indenture.</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Supplemental Indenture and each Senior Note shall be deemed to be contracts made under the law of the State of New York, and for all purposes shall be governed by and construed in accordance with the law of said State.</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provision in the Indenture or in the Senior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Supplemental Indenture may be executed in any number of counterparts each of which shall be an original; but such counterparts shall together constitute but one and the same instrument. The exchange of copies of this Supplemental Indenture and of signature pages by facsimile or electronic (i.e. “pdf” or “tif”) transmission shall constitute effective execution and delivery of this Supplemental Indenture as to the parties hereto and may be used in lieu of the original Indenture for all purposes. The exchange of copies of this Supplemental Indenture and of signature pages that are executed by manual signatures that are scanned, photocopied or faxed or by other electronic signing created on an electronic platform</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54" w:name="page55"/>
    <w:bookmarkEnd w:id="5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as DocuSign) or by digital signing (such as Adobe Sign) shall constitute effective execution and delivery of this Supplemental Indenture for all purposes. Signatures of the parties hereto that are executed by manual signatures that are scanned, photocopied or faxed or by other electronic signing created on an electronic platform (such as DocuSign) or by digital signing (such as Adobe Sign) shall be deemed to be their original signatures for all purposes of this Supplemental Indenture as to the parties hereto and may be used in lieu of the original. Anything in this Supplemental Indenture or the Senior Notes to the contrary notwithstanding, for the purposes of the transactions contemplated by this Supplemental Indenture, the Senior Notes and any document to be signed in connection with this Supplemental Indenture or the Senior Notes (including the Senior Notes and amendments, supplements, waivers, consents and other modifications, Trustee’s Certificate of Authentication, Officer’s Certificates, Company Orders and Opinions of Counsel and other issuance, authentication and delivery documents) or the transactions contemplated hereby may be signed by manual signatures that are scanned, photocopied or faxed or other electronic signatures created on an electronic platform (such as DocuSign) or by digital signature (such as Adobe Sign) and contract formations on electronic platforms approved by the Trustee,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55" w:name="page56"/>
    <w:bookmarkEnd w:id="55"/>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NAVIENT CORPORATION, as Company</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 xml:space="preserve">      /s/ Roger Yankoupe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Roger Yankoupe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 as Trustee</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 xml:space="preserve">      /s/ Kiara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Kiara Arnold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Agent</w:t>
      </w:r>
    </w:p>
    <w:p>
      <w:pPr>
        <w:spacing w:after="0" w:line="13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[Navient - Signature Page to the Seventeenth Supplemental Indenture]</w:t>
      </w:r>
    </w:p>
    <w:p>
      <w:pPr>
        <w:sectPr>
          <w:pgSz w:w="11900" w:h="16838" w:orient="portrait"/>
          <w:cols w:equalWidth="0" w:num="1">
            <w:col w:w="10900"/>
          </w:cols>
          <w:pgMar w:left="440" w:top="270" w:right="5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SECURITY]</w:t>
      </w:r>
    </w:p>
    <w:p>
      <w:pPr>
        <w:spacing w:after="0" w:line="225"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57" w:name="page58"/>
    <w:bookmarkEnd w:id="57"/>
    <w:p>
      <w:pPr>
        <w:ind w:left="92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63938CAR9</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NAVIENT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9.375% SENIOR NOTES DUE 2031</w:t>
      </w:r>
    </w:p>
    <w:p>
      <w:pPr>
        <w:sectPr>
          <w:pgSz w:w="11900" w:h="16838" w:orient="portrait"/>
          <w:cols w:equalWidth="0" w:num="1">
            <w:col w:w="11020"/>
          </w:cols>
          <w:pgMar w:left="440" w:top="270" w:right="439" w:bottom="1440" w:gutter="0" w:footer="0" w:header="0"/>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revised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of Increases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Decreases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w:t>
      </w:r>
    </w:p>
    <w:p>
      <w:pPr>
        <w:spacing w:after="0" w:line="200" w:lineRule="exact"/>
        <w:rPr>
          <w:sz w:val="20"/>
          <w:szCs w:val="20"/>
          <w:color w:val="auto"/>
        </w:rPr>
      </w:pPr>
    </w:p>
    <w:p>
      <w:pPr>
        <w:sectPr>
          <w:pgSz w:w="11900" w:h="16838" w:orient="portrait"/>
          <w:cols w:equalWidth="0" w:num="2">
            <w:col w:w="8520" w:space="720"/>
            <w:col w:w="1780"/>
          </w:cols>
          <w:pgMar w:left="440" w:top="270" w:right="439" w:bottom="1440" w:gutter="0" w:footer="0" w:header="0"/>
          <w:type w:val="continuous"/>
        </w:sectPr>
      </w:pPr>
    </w:p>
    <w:p>
      <w:pPr>
        <w:spacing w:after="0" w:line="3"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Navient Corporation, a Delaware corporation (herein called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Person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hereinafter referred to), for value received, hereby promises to pay to Cede &amp; Co. or registered assigns, the principal sum of       million dollars ($      ), as revised by the Schedule of Increases or Decreases in Global Security attached hereto, on October 15, 2031 and to pay interest thereon from May 29, 2026 or from the most recent Interest Payment Date to which interest has been paid or duly provided for, semi-annually in arrears on April 15 and October 15 in each year, commencing on October 15, 2026, at the rate of 9.375% per annum, until the principal hereof is paid or made available for payment.</w:t>
      </w:r>
    </w:p>
    <w:p>
      <w:pPr>
        <w:spacing w:after="0" w:line="184"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interest so payable, and punctually paid or duly provided for, on any Interest Payment Date will, as provided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be paid to the Person in whose name this Security (or one or more Predecessor Securities) is registered at the close of business on the Record Date for such interest, which shall be the April 1 or October 1, as the case may be, immediately preceding the relevant Interest Payment Date, commencing on October 1, 2026.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thereof having been given to Holders of Securities of this series not less than 10 days prior to such Special Record Date, all as more fully provided in said Indenture. Payment of the principal of (and premium, if any) and any such interest on this Security will be made at the Corporate Trust Office in U.S. Dollars.</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0"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Unless the certificate of authentication hereon has been executed by the Trustee referred to on the reverse hereof by manual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signature (which, for the avoidance of doubt, includes, but is not limited to, signing by an electronic platform (such as DocuSign) or by digital signing (such as Adobe Sign)), this Security shall not be entitled to any benefit under the Indenture or be valid or obligatory for any purpose.</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0"/>
          </w:cols>
          <w:pgMar w:left="440" w:top="270" w:right="439" w:bottom="1440" w:gutter="0" w:footer="0" w:header="0"/>
          <w:type w:val="continuous"/>
        </w:sectPr>
      </w:pPr>
    </w:p>
    <w:bookmarkStart w:id="58" w:name="page59"/>
    <w:bookmarkEnd w:id="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instrument to be executed by its duly authorized officer.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______________, 2026</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Roger Yankoupe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Senior Vice President and Treasurer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Trustee, certifies</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that this is one of</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Securities referred</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 in the Indenture.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019"/>
          </w:cols>
          <w:pgMar w:left="440" w:top="270" w:right="1440"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OF SECURITY]</w:t>
      </w:r>
    </w:p>
    <w:p>
      <w:pPr>
        <w:spacing w:after="0" w:line="221"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This Security is one of a duly authorized issue of securities of the Company (herein called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issued and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in one or more series under an Indenture, dated as of July 18, 2014, among Navient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Bank of New York Mellon, as trustee (herein called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which term includes any successor trustee under the Indenture), as supplemented and amended by the Seventeenth Supplemental Indenture, dated May 29, 2026 (as so supplemented, herein called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the Trustee,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$500,000,000.</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Prior to July 15, 2031 (three months prior to the maturity date of the Securities)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ind w:left="1420" w:hanging="439"/>
        <w:spacing w:after="0" w:line="289" w:lineRule="auto"/>
        <w:tabs>
          <w:tab w:leader="none" w:pos="14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(as defined below) plus 50 basis points less (b) interest accrued to the date of redemption, and</w:t>
      </w:r>
    </w:p>
    <w:p>
      <w:pPr>
        <w:spacing w:after="0" w:line="63" w:lineRule="exact"/>
        <w:rPr>
          <w:rFonts w:ascii="Times New Roman" w:cs="Times New Roman" w:eastAsia="Times New Roman" w:hAnsi="Times New Roman"/>
          <w:sz w:val="17"/>
          <w:szCs w:val="17"/>
          <w:color w:val="auto"/>
        </w:rPr>
      </w:pPr>
    </w:p>
    <w:p>
      <w:pPr>
        <w:ind w:left="1420" w:right="180" w:hanging="439"/>
        <w:spacing w:after="0" w:line="282" w:lineRule="auto"/>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 plus, in either case, accrued and unpaid interest thereon to, but not including, the redemption date.</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Securities of this series, in whole or in part, at any time and from time to time, at a redemption price equal to 100% of the principal amount of the Securities being redeemed plus accrued and unpaid interest thereon to, but not including, the redemption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determining the optional redemption price, the following definitions are applicable:</w:t>
      </w:r>
    </w:p>
    <w:p>
      <w:pPr>
        <w:spacing w:after="0" w:line="221"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59"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60"/>
          </w:cols>
          <w:pgMar w:left="440" w:top="270" w:right="499" w:bottom="1440" w:gutter="0" w:footer="0" w:header="0"/>
        </w:sectPr>
      </w:pPr>
    </w:p>
    <w:bookmarkStart w:id="60" w:name="page61"/>
    <w:bookmarkEnd w:id="60"/>
    <w:p>
      <w:pPr>
        <w:ind w:right="3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7"/>
          <w:szCs w:val="17"/>
          <w:b w:val="1"/>
          <w:bCs w:val="1"/>
          <w:color w:val="auto"/>
        </w:rPr>
        <w:t>H.15</w:t>
      </w:r>
      <w:r>
        <w:rPr>
          <w:rFonts w:ascii="Times New Roman" w:cs="Times New Roman" w:eastAsia="Times New Roman" w:hAnsi="Times New Roman"/>
          <w:sz w:val="17"/>
          <w:szCs w:val="17"/>
          <w:color w:val="auto"/>
        </w:rPr>
        <w:t>”) under the caption “U.S. government securities–Treasury constant maturities– Nominal” (or any successor caption or heading) (“</w:t>
      </w:r>
      <w:r>
        <w:rPr>
          <w:rFonts w:ascii="Times New Roman" w:cs="Times New Roman" w:eastAsia="Times New Roman" w:hAnsi="Times New Roman"/>
          <w:sz w:val="17"/>
          <w:szCs w:val="17"/>
          <w:b w:val="1"/>
          <w:bCs w:val="1"/>
          <w:color w:val="auto"/>
        </w:rPr>
        <w:t>H.15 TCM</w:t>
      </w:r>
      <w:r>
        <w:rPr>
          <w:rFonts w:ascii="Times New Roman" w:cs="Times New Roman" w:eastAsia="Times New Roman" w:hAnsi="Times New Roman"/>
          <w:sz w:val="17"/>
          <w:szCs w:val="17"/>
          <w:color w:val="auto"/>
        </w:rPr>
        <w:t>”). In determining the Treasury Rate, the Company shall select, as applicable:</w:t>
      </w:r>
    </w:p>
    <w:p>
      <w:pPr>
        <w:spacing w:after="0" w:line="63" w:lineRule="exact"/>
        <w:rPr>
          <w:sz w:val="20"/>
          <w:szCs w:val="20"/>
          <w:color w:val="auto"/>
        </w:rPr>
      </w:pPr>
    </w:p>
    <w:p>
      <w:pPr>
        <w:ind w:left="1420" w:right="220" w:hanging="439"/>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420" w:hanging="439"/>
        <w:spacing w:after="0" w:line="261"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w:t>
      </w:r>
    </w:p>
    <w:p>
      <w:pPr>
        <w:spacing w:after="0" w:line="85" w:lineRule="exact"/>
        <w:rPr>
          <w:rFonts w:ascii="Times New Roman" w:cs="Times New Roman" w:eastAsia="Times New Roman" w:hAnsi="Times New Roman"/>
          <w:sz w:val="18"/>
          <w:szCs w:val="18"/>
          <w:color w:val="auto"/>
        </w:rPr>
      </w:pPr>
    </w:p>
    <w:p>
      <w:pPr>
        <w:ind w:left="1420" w:right="600" w:hanging="439"/>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shorter than or longer than the Remaining Life, the yield for the single Treasury constant maturity on H.15 closest to the Remaining Life.</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61" w:name="page62"/>
    <w:bookmarkEnd w:id="61"/>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actions and determinations in determining the redemption price shall be conclusive and binding for all purposes, absent manifest error. The Company shall notify the Trustee of the redemption price promptly after the calculation thereof, and the Trustee may rely upon the redemption price contained in any such notice and the Trustee shall not be responsible for, or be liable in connection with, the calculation of such redemption price (or any component thereof) or for determining whether manifest error has occurred.</w:t>
      </w:r>
    </w:p>
    <w:p>
      <w:pPr>
        <w:spacing w:after="0" w:line="18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Securities to be redeemed.</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(or another depositary), the redemption of the Securities shall be done in accordance with the policies and procedures of the depositary.</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call redemption may, at the Company’s discretion, be conditioned upon the occurrence of one or more conditions precedent.</w:t>
      </w:r>
    </w:p>
    <w:p>
      <w:pPr>
        <w:spacing w:after="0" w:line="223"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If an Event of Default with respect to Securities of this series shall occur and be continuing, the principal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series may be declared due and payable in the manner and with the effect provided in the Indenture.</w:t>
      </w:r>
    </w:p>
    <w:p>
      <w:pPr>
        <w:spacing w:after="0" w:line="158"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Repurchase Upon a Change of Control</w:t>
      </w:r>
      <w:r>
        <w:rPr>
          <w:rFonts w:ascii="Times New Roman" w:cs="Times New Roman" w:eastAsia="Times New Roman" w:hAnsi="Times New Roman"/>
          <w:sz w:val="18"/>
          <w:szCs w:val="18"/>
          <w:color w:val="auto"/>
        </w:rPr>
        <w:t>. Upon the occurrence of a Change of Control Triggering Event, the Holders of the Securities will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require that the Company purchase such Holder’s outstanding Securities, in whole or in part, at a purchase price of 101% of the principal amount thereof, plus accrued and unpaid interest, if any, to, but not including, the date of purchase.</w:t>
      </w:r>
    </w:p>
    <w:p>
      <w:pPr>
        <w:spacing w:after="0" w:line="17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Amendment, Modification and Waiver</w:t>
      </w:r>
      <w:r>
        <w:rPr>
          <w:rFonts w:ascii="Times New Roman" w:cs="Times New Roman" w:eastAsia="Times New Roman" w:hAnsi="Times New Roman"/>
          <w:sz w:val="18"/>
          <w:szCs w:val="18"/>
          <w:color w:val="auto"/>
        </w:rPr>
        <w:t>. The Indenture permits, with certain exceptions as therein provided, the amendment thereof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of the rights and obligations of the Company and the rights of the Holders of the Securities of each series to be affected under the Indenture at any time by the Company and the Trustee with the consent of the Holders of a majority in aggregate principal amount of the Securities at the time Outstanding of each series to be affected. The Indenture also contains provisions permitting the Holders of a majority in aggregate principal amount of the Securities of each series at the time Outstanding, on behalf of the Holders of all Securities of such series, to waive compliance by the Company with certain provisions of the Indenture and certain past defaults under the Indenture and their consequences.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20"/>
          </w:cols>
          <w:pgMar w:left="440" w:top="270" w:right="439" w:bottom="1440" w:gutter="0" w:footer="0" w:header="0"/>
        </w:sectPr>
      </w:pPr>
    </w:p>
    <w:bookmarkStart w:id="62" w:name="page63"/>
    <w:bookmarkEnd w:id="62"/>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Restrictive Covenants</w:t>
      </w:r>
      <w:r>
        <w:rPr>
          <w:rFonts w:ascii="Times New Roman" w:cs="Times New Roman" w:eastAsia="Times New Roman" w:hAnsi="Times New Roman"/>
          <w:sz w:val="18"/>
          <w:szCs w:val="18"/>
          <w:color w:val="auto"/>
        </w:rPr>
        <w:t>. The Indenture does not limit the issuance of debt of the Company or any of its Subsidiaries.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Denominations, Transfer and Exchange</w:t>
      </w:r>
      <w:r>
        <w:rPr>
          <w:rFonts w:ascii="Times New Roman" w:cs="Times New Roman" w:eastAsia="Times New Roman" w:hAnsi="Times New Roman"/>
          <w:sz w:val="18"/>
          <w:szCs w:val="18"/>
          <w:color w:val="auto"/>
        </w:rPr>
        <w:t>. The Securities of this series are issuable only in registered form without coupons in denominations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 and in integral multiples of $1,000 in excess thereof. As provided in the Indenture and subject to certain limitations therein set forth, Securities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series are exchangeable for a like aggregate principal amount of Securities of like tenor of a different authorized denomination, as requested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surrendering the same.</w:t>
      </w:r>
    </w:p>
    <w:p>
      <w:pPr>
        <w:spacing w:after="0" w:line="20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Registrar accompanied by a written request for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0"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Prior to due presentment of this Security for registration of transfer, the Company, the Trustee and any agent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3"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The Indenture and this Security shall be governed by and construed in accordance with the laws of the State of New York,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 to the conflicts of law rules of said State.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in this Security and not defined herein shall have the meanings assigned to them in the Indenture.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0"/>
          </w:cols>
          <w:pgMar w:left="440" w:top="270" w:right="459" w:bottom="1440" w:gutter="0" w:footer="0" w:header="0"/>
        </w:sectPr>
      </w:pPr>
    </w:p>
    <w:bookmarkStart w:id="63" w:name="page64"/>
    <w:bookmarkEnd w:id="63"/>
    <w:p>
      <w:pPr>
        <w:jc w:val="center"/>
        <w:ind w:right="-1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you want to elect to have this Security repurchased by the Company pursuant to Section 2.9 of the Supplemental Indenture, check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box below:</w:t>
      </w:r>
    </w:p>
    <w:p>
      <w:pPr>
        <w:spacing w:after="0" w:line="207" w:lineRule="exact"/>
        <w:rPr>
          <w:sz w:val="20"/>
          <w:szCs w:val="20"/>
          <w:color w:val="auto"/>
        </w:rPr>
      </w:pPr>
    </w:p>
    <w:p>
      <w:pPr>
        <w:ind w:left="5204" w:hanging="204"/>
        <w:spacing w:after="0"/>
        <w:tabs>
          <w:tab w:leader="none" w:pos="5204" w:val="left"/>
        </w:tabs>
        <w:numPr>
          <w:ilvl w:val="0"/>
          <w:numId w:val="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Section 2.9</w:t>
      </w:r>
    </w:p>
    <w:p>
      <w:pPr>
        <w:spacing w:after="0" w:line="225"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Security purchased by the Company pursuant to Section 2.9 of the Supplemental Indenture, state the amount you elect to have repurchased:</w:t>
      </w:r>
    </w:p>
    <w:p>
      <w:pPr>
        <w:spacing w:after="0" w:line="162"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 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__________________</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Your Signature:_____________________________</w:t>
      </w:r>
    </w:p>
    <w:p>
      <w:pPr>
        <w:spacing w:after="0" w:line="27" w:lineRule="exact"/>
        <w:rPr>
          <w:sz w:val="20"/>
          <w:szCs w:val="20"/>
          <w:color w:val="auto"/>
        </w:rPr>
      </w:pPr>
    </w:p>
    <w:p>
      <w:pPr>
        <w:ind w:left="7704"/>
        <w:spacing w:after="0"/>
        <w:rPr>
          <w:sz w:val="20"/>
          <w:szCs w:val="20"/>
          <w:color w:val="auto"/>
        </w:rPr>
      </w:pPr>
      <w:r>
        <w:rPr>
          <w:rFonts w:ascii="Times New Roman" w:cs="Times New Roman" w:eastAsia="Times New Roman" w:hAnsi="Times New Roman"/>
          <w:sz w:val="18"/>
          <w:szCs w:val="18"/>
          <w:color w:val="auto"/>
        </w:rPr>
        <w:t>(Sign exactly as your name appears</w:t>
      </w:r>
    </w:p>
    <w:p>
      <w:pPr>
        <w:spacing w:after="0" w:line="9" w:lineRule="exact"/>
        <w:rPr>
          <w:sz w:val="20"/>
          <w:szCs w:val="20"/>
          <w:color w:val="auto"/>
        </w:rPr>
      </w:pPr>
    </w:p>
    <w:p>
      <w:pPr>
        <w:ind w:left="7704"/>
        <w:spacing w:after="0"/>
        <w:rPr>
          <w:sz w:val="20"/>
          <w:szCs w:val="20"/>
          <w:color w:val="auto"/>
        </w:rPr>
      </w:pPr>
      <w:r>
        <w:rPr>
          <w:rFonts w:ascii="Times New Roman" w:cs="Times New Roman" w:eastAsia="Times New Roman" w:hAnsi="Times New Roman"/>
          <w:sz w:val="18"/>
          <w:szCs w:val="18"/>
          <w:color w:val="auto"/>
        </w:rPr>
        <w:t>on the face of this Note)</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7"/>
          <w:szCs w:val="17"/>
          <w:color w:val="auto"/>
        </w:rPr>
        <w:t>Tax Identification No.:_____________________________</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 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364" w:right="1500" w:hanging="5364"/>
        <w:spacing w:after="0" w:line="454" w:lineRule="auto"/>
        <w:tabs>
          <w:tab w:leader="none" w:pos="4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A-8</w:t>
      </w:r>
    </w:p>
    <w:p>
      <w:pPr>
        <w:sectPr>
          <w:pgSz w:w="11900" w:h="16838" w:orient="portrait"/>
          <w:cols w:equalWidth="0" w:num="1">
            <w:col w:w="10864"/>
          </w:cols>
          <w:pgMar w:left="436" w:top="270" w:right="599" w:bottom="1440" w:gutter="0" w:footer="0" w:header="0"/>
        </w:sectPr>
      </w:pPr>
    </w:p>
    <w:bookmarkStart w:id="64" w:name="page65"/>
    <w:bookmarkEnd w:id="64"/>
    <w:p>
      <w:pPr>
        <w:ind w:left="2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 IN GLOBAL SECURITY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increases or decreases in this Global Security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 increase in</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Amount of decrease</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 of</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w:t>
            </w:r>
          </w:p>
        </w:tc>
        <w:tc>
          <w:tcPr>
            <w:tcW w:w="15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 Principal Amount</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this Global Security</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 Amount of</w:t>
            </w:r>
          </w:p>
        </w:tc>
        <w:tc>
          <w:tcPr>
            <w:tcW w:w="2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this Global</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following each</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 signatory</w:t>
            </w:r>
          </w:p>
        </w:tc>
        <w:tc>
          <w:tcPr>
            <w:tcW w:w="0" w:type="dxa"/>
            <w:vAlign w:val="bottom"/>
          </w:tcPr>
          <w:p>
            <w:pPr>
              <w:spacing w:after="0"/>
              <w:rPr>
                <w:sz w:val="1"/>
                <w:szCs w:val="1"/>
                <w:color w:val="auto"/>
              </w:rPr>
            </w:pPr>
          </w:p>
        </w:tc>
      </w:tr>
      <w:tr>
        <w:trPr>
          <w:trHeight w:val="178"/>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Exchange</w:t>
            </w:r>
          </w:p>
        </w:tc>
        <w:tc>
          <w:tcPr>
            <w:tcW w:w="152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Security</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decrease or 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Trustee</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Exhibit A-9</w:t>
      </w:r>
    </w:p>
    <w:p>
      <w:pPr>
        <w:sectPr>
          <w:pgSz w:w="11900" w:h="16838" w:orient="portrait"/>
          <w:cols w:equalWidth="0" w:num="1">
            <w:col w:w="11020"/>
          </w:cols>
          <w:pgMar w:left="440" w:top="270" w:right="439" w:bottom="1440" w:gutter="0" w:footer="0" w:header="0"/>
        </w:sectPr>
      </w:pPr>
    </w:p>
    <w:bookmarkStart w:id="65" w:name="page66"/>
    <w:bookmarkEnd w:id="65"/>
    <w:tbl>
      <w:tblPr>
        <w:tblLayout w:type="fixed"/>
        <w:tblInd w:w="360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8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5540" w:type="dxa"/>
            <w:vAlign w:val="bottom"/>
            <w:gridSpan w:val="3"/>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KADDEN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RPS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LATE</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4"/>
                <w:szCs w:val="14"/>
                <w:b w:val="1"/>
                <w:bCs w:val="1"/>
                <w:color w:val="auto"/>
              </w:rPr>
              <w:t>EAGHER</w:t>
            </w:r>
            <w:r>
              <w:rPr>
                <w:rFonts w:ascii="Times New Roman" w:cs="Times New Roman" w:eastAsia="Times New Roman" w:hAnsi="Times New Roman"/>
                <w:sz w:val="18"/>
                <w:szCs w:val="18"/>
                <w:b w:val="1"/>
                <w:bCs w:val="1"/>
                <w:color w:val="auto"/>
              </w:rPr>
              <w:t xml:space="preserve"> &amp; F</w:t>
            </w:r>
            <w:r>
              <w:rPr>
                <w:rFonts w:ascii="Times New Roman" w:cs="Times New Roman" w:eastAsia="Times New Roman" w:hAnsi="Times New Roman"/>
                <w:sz w:val="14"/>
                <w:szCs w:val="14"/>
                <w:b w:val="1"/>
                <w:bCs w:val="1"/>
                <w:color w:val="auto"/>
              </w:rPr>
              <w:t>LOM LLP</w:t>
            </w:r>
          </w:p>
        </w:tc>
        <w:tc>
          <w:tcPr>
            <w:tcW w:w="188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4800" w:type="dxa"/>
            <w:vAlign w:val="bottom"/>
            <w:gridSpan w:val="2"/>
          </w:tcPr>
          <w:p>
            <w:pPr>
              <w:jc w:val="center"/>
              <w:ind w:right="2390"/>
              <w:spacing w:after="0"/>
              <w:rPr>
                <w:sz w:val="20"/>
                <w:szCs w:val="20"/>
                <w:color w:val="auto"/>
              </w:rPr>
            </w:pPr>
            <w:r>
              <w:rPr>
                <w:rFonts w:ascii="Times New Roman" w:cs="Times New Roman" w:eastAsia="Times New Roman" w:hAnsi="Times New Roman"/>
                <w:sz w:val="18"/>
                <w:szCs w:val="18"/>
                <w:color w:val="auto"/>
                <w:w w:val="98"/>
              </w:rPr>
              <w:t>ONE MANHATTAN WEST</w:t>
            </w:r>
          </w:p>
        </w:tc>
        <w:tc>
          <w:tcPr>
            <w:tcW w:w="188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4800" w:type="dxa"/>
            <w:vAlign w:val="bottom"/>
            <w:gridSpan w:val="2"/>
          </w:tcPr>
          <w:p>
            <w:pPr>
              <w:jc w:val="center"/>
              <w:ind w:right="2390"/>
              <w:spacing w:after="0"/>
              <w:rPr>
                <w:sz w:val="20"/>
                <w:szCs w:val="20"/>
                <w:color w:val="auto"/>
              </w:rPr>
            </w:pPr>
            <w:r>
              <w:rPr>
                <w:rFonts w:ascii="Times New Roman" w:cs="Times New Roman" w:eastAsia="Times New Roman" w:hAnsi="Times New Roman"/>
                <w:sz w:val="18"/>
                <w:szCs w:val="18"/>
                <w:color w:val="auto"/>
                <w:w w:val="99"/>
              </w:rPr>
              <w:t>NEW YORK, NY 10001</w:t>
            </w:r>
          </w:p>
        </w:tc>
        <w:tc>
          <w:tcPr>
            <w:tcW w:w="1880" w:type="dxa"/>
            <w:vAlign w:val="bottom"/>
          </w:tcPr>
          <w:p>
            <w:pPr>
              <w:spacing w:after="0"/>
              <w:rPr>
                <w:sz w:val="20"/>
                <w:szCs w:val="20"/>
                <w:color w:val="auto"/>
              </w:rPr>
            </w:pPr>
          </w:p>
        </w:tc>
      </w:tr>
      <w:tr>
        <w:trPr>
          <w:trHeight w:val="351"/>
        </w:trPr>
        <w:tc>
          <w:tcPr>
            <w:tcW w:w="7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5"/>
        </w:trPr>
        <w:tc>
          <w:tcPr>
            <w:tcW w:w="5540" w:type="dxa"/>
            <w:vAlign w:val="bottom"/>
            <w:gridSpan w:val="3"/>
          </w:tcPr>
          <w:p>
            <w:pPr>
              <w:jc w:val="center"/>
              <w:ind w:right="3610"/>
              <w:spacing w:after="0"/>
              <w:rPr>
                <w:sz w:val="20"/>
                <w:szCs w:val="20"/>
                <w:color w:val="auto"/>
              </w:rPr>
            </w:pPr>
            <w:r>
              <w:rPr>
                <w:rFonts w:ascii="Times New Roman" w:cs="Times New Roman" w:eastAsia="Times New Roman" w:hAnsi="Times New Roman"/>
                <w:sz w:val="18"/>
                <w:szCs w:val="18"/>
                <w:color w:val="auto"/>
              </w:rPr>
              <w:t>TEL: (212) 735-3000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FIRM/AFFILIATE</w:t>
            </w:r>
          </w:p>
        </w:tc>
      </w:tr>
      <w:tr>
        <w:trPr>
          <w:trHeight w:val="234"/>
        </w:trPr>
        <w:tc>
          <w:tcPr>
            <w:tcW w:w="5540" w:type="dxa"/>
            <w:vAlign w:val="bottom"/>
            <w:gridSpan w:val="3"/>
          </w:tcPr>
          <w:p>
            <w:pPr>
              <w:jc w:val="center"/>
              <w:ind w:right="3610"/>
              <w:spacing w:after="0"/>
              <w:rPr>
                <w:sz w:val="20"/>
                <w:szCs w:val="20"/>
                <w:color w:val="auto"/>
              </w:rPr>
            </w:pPr>
            <w:r>
              <w:rPr>
                <w:rFonts w:ascii="Times New Roman" w:cs="Times New Roman" w:eastAsia="Times New Roman" w:hAnsi="Times New Roman"/>
                <w:sz w:val="18"/>
                <w:szCs w:val="18"/>
                <w:color w:val="auto"/>
                <w:w w:val="98"/>
              </w:rPr>
              <w:t>FAX: (212) 735-2000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OFFICES</w:t>
            </w:r>
          </w:p>
        </w:tc>
      </w:tr>
      <w:tr>
        <w:trPr>
          <w:trHeight w:val="216"/>
        </w:trPr>
        <w:tc>
          <w:tcPr>
            <w:tcW w:w="5540" w:type="dxa"/>
            <w:vAlign w:val="bottom"/>
            <w:gridSpan w:val="3"/>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326"/>
        </w:trPr>
        <w:tc>
          <w:tcPr>
            <w:tcW w:w="5540" w:type="dxa"/>
            <w:vAlign w:val="bottom"/>
            <w:gridSpan w:val="3"/>
          </w:tcPr>
          <w:p>
            <w:pPr>
              <w:jc w:val="center"/>
              <w:ind w:right="3610"/>
              <w:spacing w:after="0"/>
              <w:rPr>
                <w:sz w:val="20"/>
                <w:szCs w:val="20"/>
                <w:color w:val="auto"/>
              </w:rPr>
            </w:pPr>
            <w:r>
              <w:rPr>
                <w:rFonts w:ascii="Times New Roman" w:cs="Times New Roman" w:eastAsia="Times New Roman" w:hAnsi="Times New Roman"/>
                <w:sz w:val="18"/>
                <w:szCs w:val="18"/>
                <w:color w:val="auto"/>
                <w:w w:val="98"/>
              </w:rPr>
              <w:t>www.skadden.com</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BOSTON</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CHICAGO</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HOUSTON</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LOS ANGELES</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PALO ALTO</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WASHINGTON, D.C.</w:t>
            </w:r>
          </w:p>
        </w:tc>
      </w:tr>
      <w:tr>
        <w:trPr>
          <w:trHeight w:val="234"/>
        </w:trPr>
        <w:tc>
          <w:tcPr>
            <w:tcW w:w="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WILMINGTON</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326"/>
        </w:trPr>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ABU DHABI</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BEIJING</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BRUSSELS</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FRANKFURT</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LONDON</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MUNICH</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PARIS</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SÃO PAULO</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SEOUL</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TORONTO</w:t>
            </w:r>
          </w:p>
        </w:tc>
      </w:tr>
      <w:tr>
        <w:trPr>
          <w:trHeight w:val="432"/>
        </w:trPr>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8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2"/>
              </w:rPr>
              <w:t>May 29, 2026 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13865 Sunrise Valley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Herndon, Virginia 20171</w:t>
      </w:r>
    </w:p>
    <w:p>
      <w:pPr>
        <w:spacing w:after="0" w:line="247"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Navient Corporation – $500,000,000 Senior Notes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We have acted as special United States counsel to Navient Corporation, a Delaware corporation (the “Company”), in connection with the public offering of $500,000,000 aggregate principal amount of the Company’s 9.375% Senior Notes due 2031 (the “Notes”) to be issued under the Indenture, dated as of July 18, 2014 (the “Base Indenture”), between the Company and The Bank of New York Mellon, as trustee (in such capacity, the “Trustee”), as amended by a Seventeenth Supplemental Indenture, dated as of May 19, 2026, between the Company and the Trustee (the “Seventeenth Supplemental Indenture” and, together with the Base Indenture, the “Indenture”).</w:t>
      </w:r>
    </w:p>
    <w:p>
      <w:pPr>
        <w:spacing w:after="0" w:line="183"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under the Securities Act of 1933 (the “Securities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rendering the opinion stated herein, we have examined and relied upon the following:</w:t>
      </w:r>
    </w:p>
    <w:p>
      <w:pPr>
        <w:sectPr>
          <w:pgSz w:w="11900" w:h="16838" w:orient="portrait"/>
          <w:cols w:equalWidth="0" w:num="1">
            <w:col w:w="11020"/>
          </w:cols>
          <w:pgMar w:left="440" w:top="117"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Navient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firstLine="987"/>
        <w:spacing w:after="0" w:line="258"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S-3ASR (File No. 333-286944) of the Company relating to debt securities and other securities of the Company filed on May 2, 2025 with the Securities and Exchange Commission (the “Commission”) under the Securities Act allowing for delayed offerings pursuant to Rule 415 of the General Rules and Regulations under the Securities Act (the “Rules and Regulations”) including the information deemed to be a part of the registration statement pursuant to Rule 430B of the Rules and Regulations (such registration statement being hereinafter referred to as the “Registration Statement”);</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dated May 2, 2025 (the “Base Prospectus”), which forms a part of and is included in the Registration Statement;</w:t>
      </w:r>
    </w:p>
    <w:p>
      <w:pPr>
        <w:spacing w:after="0" w:line="117"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supplement, dated May 26, 2026 (together with the Base Prospectus, the “Preliminary Prospectus”), relating to the offering of the Notes, in the form filed with the Commission pursuant to Rule 424(b) of the Rules and Regulations;</w:t>
      </w:r>
    </w:p>
    <w:p>
      <w:pPr>
        <w:spacing w:after="0" w:line="53"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dated May 27, 2026 (together with the Base Prospectus, the “Prospectus”), relating to the offering of the Notes, in the form filed with the Commission pursuant to Rule 424(b) of the Rules and Regulations;</w:t>
      </w:r>
    </w:p>
    <w:p>
      <w:pPr>
        <w:spacing w:after="0" w:line="53"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May 26, 2026 (the “Underwriting Agreement”), among the Company and BofA Securities, Inc., Barclays Capital Inc., J.P. Morgan Securities LLC and RBC Capital Markets, LLC, as representatives of the several Underwriters named therein (the “Underwriters”), relating to the sale by the Company to the Underwriters of the Notes;</w:t>
      </w:r>
    </w:p>
    <w:p>
      <w:pPr>
        <w:spacing w:after="0" w:line="6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Indenture;</w:t>
      </w:r>
    </w:p>
    <w:p>
      <w:pPr>
        <w:spacing w:after="0" w:line="117" w:lineRule="exact"/>
        <w:rPr>
          <w:rFonts w:ascii="Times New Roman" w:cs="Times New Roman" w:eastAsia="Times New Roman" w:hAnsi="Times New Roman"/>
          <w:sz w:val="18"/>
          <w:szCs w:val="18"/>
          <w:color w:val="auto"/>
        </w:rPr>
      </w:pPr>
    </w:p>
    <w:p>
      <w:pPr>
        <w:ind w:right="840" w:firstLine="987"/>
        <w:spacing w:after="0" w:line="282"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certificates evidencing the Notes, executed by the Company and registered in the name of Cede &amp; Co. (the “Note Certificates”), delivered by the Company to the Trustee for authentication and delivery;</w:t>
      </w:r>
    </w:p>
    <w:p>
      <w:pPr>
        <w:spacing w:after="0" w:line="53"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 certificate of Elizabeth Han, Vice President, Associate General Counsel and Secretary of the Company, dated the date hereof (the “Secretary’s Certificate”);</w:t>
      </w:r>
    </w:p>
    <w:p>
      <w:pPr>
        <w:spacing w:after="0" w:line="53" w:lineRule="exact"/>
        <w:rPr>
          <w:rFonts w:ascii="Times New Roman" w:cs="Times New Roman" w:eastAsia="Times New Roman" w:hAnsi="Times New Roman"/>
          <w:sz w:val="18"/>
          <w:szCs w:val="18"/>
          <w:color w:val="auto"/>
        </w:rPr>
      </w:pPr>
    </w:p>
    <w:p>
      <w:pPr>
        <w:ind w:right="160" w:firstLine="987"/>
        <w:spacing w:after="0" w:line="282" w:lineRule="auto"/>
        <w:tabs>
          <w:tab w:leader="none" w:pos="12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Amended and Restated Certificate of Incorporation, certified pursuant to the Secretary’s Certificate as being in effect on July 10, 2014;</w:t>
      </w:r>
    </w:p>
    <w:p>
      <w:pPr>
        <w:spacing w:after="0" w:line="53" w:lineRule="exact"/>
        <w:rPr>
          <w:rFonts w:ascii="Times New Roman" w:cs="Times New Roman" w:eastAsia="Times New Roman" w:hAnsi="Times New Roman"/>
          <w:sz w:val="18"/>
          <w:szCs w:val="18"/>
          <w:color w:val="auto"/>
        </w:rPr>
      </w:pPr>
    </w:p>
    <w:p>
      <w:pPr>
        <w:ind w:right="360" w:firstLine="987"/>
        <w:spacing w:after="0" w:line="282" w:lineRule="auto"/>
        <w:tabs>
          <w:tab w:leader="none" w:pos="12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Amended and Restated Certificate of Incorporation, as amended, certified by the Secretary of State of the State of Delaware as of May 26, 2026, and certified pursuant to the Secretary’s Certificate as being in effect as of the date hereof;</w:t>
      </w:r>
    </w:p>
    <w:p>
      <w:pPr>
        <w:sectPr>
          <w:pgSz w:w="11900" w:h="16838" w:orient="portrait"/>
          <w:cols w:equalWidth="0" w:num="1">
            <w:col w:w="11000"/>
          </w:cols>
          <w:pgMar w:left="440" w:top="270"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Navient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a copy of the Company’s Amended and Restated Bylaws, certified pursuant to the Secretary’s Certificate as being in effect on July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99" w:lineRule="exact"/>
        <w:rPr>
          <w:sz w:val="20"/>
          <w:szCs w:val="20"/>
          <w:color w:val="auto"/>
        </w:rPr>
      </w:pPr>
    </w:p>
    <w:p>
      <w:pPr>
        <w:ind w:right="260" w:firstLine="987"/>
        <w:spacing w:after="0" w:line="282" w:lineRule="auto"/>
        <w:tabs>
          <w:tab w:leader="none" w:pos="12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Third Amended and Restated Bylaws, certified pursuant to the Secretary’s Certificate as being in effect on April 3, 2025 and as of the date hereof;</w:t>
      </w:r>
    </w:p>
    <w:p>
      <w:pPr>
        <w:spacing w:after="0" w:line="53" w:lineRule="exact"/>
        <w:rPr>
          <w:rFonts w:ascii="Times New Roman" w:cs="Times New Roman" w:eastAsia="Times New Roman" w:hAnsi="Times New Roman"/>
          <w:sz w:val="18"/>
          <w:szCs w:val="18"/>
          <w:color w:val="auto"/>
        </w:rPr>
      </w:pPr>
    </w:p>
    <w:p>
      <w:pPr>
        <w:ind w:right="620" w:firstLine="987"/>
        <w:spacing w:after="0" w:line="282" w:lineRule="auto"/>
        <w:tabs>
          <w:tab w:leader="none" w:pos="12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certain resolutions of the Board of Directors of the Company, adopted on July 10, 2014 and certified pursuant to the Secretary’s Certificate; and</w:t>
      </w:r>
    </w:p>
    <w:p>
      <w:pPr>
        <w:spacing w:after="0" w:line="53"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Secretary’s Certificate, dated the date hereof, which verifies the 2026 Business Plan, duly adopted by the Board of Directors of the Company on January 15, 2026.</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factual representations and warranties contained in the Underwriting Agreement.</w:t>
      </w:r>
    </w:p>
    <w:p>
      <w:pPr>
        <w:spacing w:after="0" w:line="18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(i) the laws of the State of New York and (ii) the General Corporation Law of the State of Delaware (the “DGCL”) (all of the foregoing being referred to as “Opined-on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herein, “Transaction Documents” means the Underwriting Agreement, the Indenture and the Note Certificates.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w:t>
      </w:r>
    </w:p>
    <w:p>
      <w:pPr>
        <w:spacing w:after="0" w:line="117" w:lineRule="exact"/>
        <w:rPr>
          <w:sz w:val="20"/>
          <w:szCs w:val="20"/>
          <w:color w:val="auto"/>
        </w:rPr>
      </w:pPr>
    </w:p>
    <w:p>
      <w:pPr>
        <w:ind w:right="120" w:firstLine="987"/>
        <w:spacing w:after="0" w:line="266" w:lineRule="auto"/>
        <w:tabs>
          <w:tab w:leader="none" w:pos="117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Certificates have been duly authorized by all requisite corporate action on the part of the Company and duly executed by the Company under the DGCL, and when duly authenticated by the Trustee and issued and delivered by the Company against payment therefor in accordance with the terms of the Underwriting Agreement and the Indenture,</w:t>
      </w:r>
    </w:p>
    <w:p>
      <w:pPr>
        <w:sectPr>
          <w:pgSz w:w="11900" w:h="16838" w:orient="portrait"/>
          <w:cols w:equalWidth="0" w:num="1">
            <w:col w:w="10960"/>
          </w:cols>
          <w:pgMar w:left="440" w:top="270"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Navient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Note Certificates will constitute valid and binding obligations of the Company, enforceable against the Company in accordance with their terms under the laws of the State of New York.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opinion stated herein is subject to the following assumptions and qualifications:</w:t>
      </w:r>
    </w:p>
    <w:p>
      <w:pPr>
        <w:spacing w:after="0" w:line="117" w:lineRule="exact"/>
        <w:rPr>
          <w:sz w:val="20"/>
          <w:szCs w:val="20"/>
          <w:color w:val="auto"/>
        </w:rPr>
      </w:pPr>
    </w:p>
    <w:p>
      <w:pPr>
        <w:jc w:val="both"/>
        <w:ind w:right="120" w:firstLine="987"/>
        <w:spacing w:after="0" w:line="261"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effect on the opinion stated herein of any bankruptcy, insolvency, reorganization, moratorium, fraudulent transfer, preference and other similar laws or governmental orders affecting creditors’ rights generally, and the opinion stated herein is limited by such laws and governmental orders and by general principles of equity (regardless of whether enforcement is sought in equity or at law);</w:t>
      </w:r>
    </w:p>
    <w:p>
      <w:pPr>
        <w:spacing w:after="0" w:line="71"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spacing w:after="0" w:line="67" w:lineRule="exact"/>
        <w:rPr>
          <w:rFonts w:ascii="Times New Roman" w:cs="Times New Roman" w:eastAsia="Times New Roman" w:hAnsi="Times New Roman"/>
          <w:sz w:val="18"/>
          <w:szCs w:val="18"/>
          <w:color w:val="auto"/>
        </w:rPr>
      </w:pPr>
    </w:p>
    <w:p>
      <w:pPr>
        <w:ind w:right="260" w:firstLine="987"/>
        <w:spacing w:after="0" w:line="312" w:lineRule="auto"/>
        <w:tabs>
          <w:tab w:leader="none" w:pos="12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expressly stated in the opinion contained herein, we have assumed that each of the Transaction Documents constitutes the valid and binding obligation of each party to such Transaction Document, enforceable against such party in accordance with its terms;</w:t>
      </w:r>
    </w:p>
    <w:p>
      <w:pPr>
        <w:spacing w:after="0" w:line="31" w:lineRule="exact"/>
        <w:rPr>
          <w:rFonts w:ascii="Times New Roman" w:cs="Times New Roman" w:eastAsia="Times New Roman" w:hAnsi="Times New Roman"/>
          <w:sz w:val="17"/>
          <w:szCs w:val="17"/>
          <w:color w:val="auto"/>
        </w:rPr>
      </w:pPr>
    </w:p>
    <w:p>
      <w:pPr>
        <w:ind w:right="140" w:firstLine="987"/>
        <w:spacing w:after="0" w:line="266"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effectiveness of the Base Indenture and immediately prior to the effectiveness of the Seventeenth Supplemental Indenture, the Base Indenture has not been amended, restated, supplemented or otherwise modified in any way that affects or relates to the Notes other than by the applicable Transaction Documents relating to such series of Notes;</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 or alter, or has the effect of waiving or altering, any statute of limitations;</w:t>
      </w:r>
    </w:p>
    <w:p>
      <w:pPr>
        <w:spacing w:after="0" w:line="71" w:lineRule="exact"/>
        <w:rPr>
          <w:rFonts w:ascii="Times New Roman" w:cs="Times New Roman" w:eastAsia="Times New Roman" w:hAnsi="Times New Roman"/>
          <w:sz w:val="18"/>
          <w:szCs w:val="18"/>
          <w:color w:val="auto"/>
        </w:rPr>
      </w:pPr>
    </w:p>
    <w:p>
      <w:pPr>
        <w:jc w:val="both"/>
        <w:ind w:right="200" w:firstLine="987"/>
        <w:spacing w:after="0" w:line="261" w:lineRule="auto"/>
        <w:tabs>
          <w:tab w:leader="none" w:pos="12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71"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opinion relates to the enforceability of the choice of New York law and choice of New York forum provisions contained in any Transaction</w:t>
      </w:r>
    </w:p>
    <w:p>
      <w:pPr>
        <w:sectPr>
          <w:pgSz w:w="11900" w:h="16838" w:orient="portrait"/>
          <w:cols w:equalWidth="0" w:num="1">
            <w:col w:w="10980"/>
          </w:cols>
          <w:pgMar w:left="440" w:top="270"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Navient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Document, the opinion stated herein is subject to the qualification that such enforceability may be subject to, in each case, (i) the exceptions and limitations in New York General Obligations Law Sections 5-1401 and 5-1402 and (ii) principles of comity and constitutionality;</w:t>
      </w:r>
    </w:p>
    <w:p>
      <w:pPr>
        <w:spacing w:after="0" w:line="54" w:lineRule="exact"/>
        <w:rPr>
          <w:sz w:val="20"/>
          <w:szCs w:val="20"/>
          <w:color w:val="auto"/>
        </w:rPr>
      </w:pPr>
    </w:p>
    <w:p>
      <w:pPr>
        <w:ind w:right="80" w:firstLine="987"/>
        <w:spacing w:after="0" w:line="261"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as to whether the execution or delivery of any Transaction Document by the Company, or the performance by the Company of its obligations under any Transaction Document, will constitute a violation of, or a default under, any covenant, restriction or provision with respect to financial ratios or tests or any aspect of the financial condition or results of operations of the Company or any of its subsidiaries; and</w:t>
      </w:r>
    </w:p>
    <w:p>
      <w:pPr>
        <w:spacing w:after="0" w:line="71"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stated herein are limited to the agreements and documents specifically identified in the opinions contained herein (the “Specified Documents”) without regard to any agreement or other document referenced in any such Specified Document (including agreements or other documents incorporated by reference or attached or annexed thereto) and without regard to any other agreement or document relating to any such Specified Document that is not a Transaction Document.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in rendering the foregoing opinion we have also assumed that, at all applicable times:</w:t>
      </w:r>
    </w:p>
    <w:p>
      <w:pPr>
        <w:spacing w:after="0" w:line="117" w:lineRule="exact"/>
        <w:rPr>
          <w:sz w:val="20"/>
          <w:szCs w:val="20"/>
          <w:color w:val="auto"/>
        </w:rPr>
      </w:pPr>
    </w:p>
    <w:p>
      <w:pPr>
        <w:ind w:right="100" w:firstLine="987"/>
        <w:spacing w:after="0" w:line="254"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Notes: (i) constituted or will constitute a violation of, or a default under, any lease, indenture, agreement or other instrument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or the Company’s Annual Report on Form 10-K for the year ended December 31, 2025), (ii) contravened or will contravene any order or decree of any governmental authority to which the Company or its property is subject, or (iii) violated or will violate any law, rule or regulation to which the Company or its property is subject (except that we do not make the assumption set forth in this clause (iii) with respect to the Opined-on Law); and</w:t>
      </w:r>
    </w:p>
    <w:p>
      <w:pPr>
        <w:spacing w:after="0" w:line="83"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Notes, required or will require the consent, approval, licensing or authorization of, or any filing, recording or registration with, any governmental authority under any law, rule or regulation of any jurisdiction.</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Preliminary Prospectus and the Prospectus. In giving this consent, we do not thereby admit that we are within the category of persons whose consent is required under Section 7 of the Securities Act or the Rules and Regulations. We also hereby consent to the filing of this opinion letter with the Commission as an exhibit to the Company’s Current Report on Form 8-K being</w:t>
      </w:r>
    </w:p>
    <w:p>
      <w:pPr>
        <w:sectPr>
          <w:pgSz w:w="11900" w:h="16838" w:orient="portrait"/>
          <w:cols w:equalWidth="0" w:num="1">
            <w:col w:w="10960"/>
          </w:cols>
          <w:pgMar w:left="440" w:top="270"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Navient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filed on the date hereof and incorporated by reference into the Registration Statement.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20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MJH</w:t>
      </w:r>
    </w:p>
    <w:p>
      <w:pPr>
        <w:spacing w:after="0" w:line="22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i w:val="1"/>
          <w:iCs w:val="1"/>
          <w:color w:val="auto"/>
        </w:rPr>
        <w:t>/s/ Skadden, Arps, Slate, Meagher &amp; Flom LLP</w:t>
      </w:r>
    </w:p>
    <w:sectPr>
      <w:pgSz w:w="11900" w:h="16838" w:orient="portrait"/>
      <w:cols w:equalWidth="0" w:num="1">
        <w:col w:w="10680"/>
      </w:cols>
      <w:pgMar w:left="440" w:top="27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04"/>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decimal"/>
      <w:start w:val="2"/>
    </w:lvl>
  </w:abstractNum>
  <w:abstractNum w:abstractNumId="6">
    <w:nsid w:val="580BD78F"/>
    <w:multiLevelType w:val="hybridMultilevel"/>
    <w:lvl w:ilvl="0">
      <w:lvlJc w:val="left"/>
      <w:lvlText w:val="(%1)"/>
      <w:numFmt w:val="lowerLetter"/>
      <w:start w:val="2"/>
    </w:lvl>
  </w:abstractNum>
  <w:abstractNum w:abstractNumId="7">
    <w:nsid w:val="153EA438"/>
    <w:multiLevelType w:val="hybridMultilevel"/>
    <w:lvl w:ilvl="0">
      <w:lvlJc w:val="left"/>
      <w:lvlText w:val="(%1)"/>
      <w:numFmt w:val="lowerLetter"/>
      <w:start w:val="1"/>
    </w:lvl>
  </w:abstractNum>
  <w:abstractNum w:abstractNumId="8">
    <w:nsid w:val="3855585C"/>
    <w:multiLevelType w:val="hybridMultilevel"/>
    <w:lvl w:ilvl="0">
      <w:lvlJc w:val="left"/>
      <w:lvlText w:val="(%1)"/>
      <w:numFmt w:val="lowerLetter"/>
      <w:start w:val="4"/>
    </w:lvl>
  </w:abstractNum>
  <w:abstractNum w:abstractNumId="9">
    <w:nsid w:val="70A64E2A"/>
    <w:multiLevelType w:val="hybridMultilevel"/>
    <w:lvl w:ilvl="0">
      <w:lvlJc w:val="left"/>
      <w:lvlText w:val="(%1)"/>
      <w:numFmt w:val="lowerLetter"/>
      <w:start w:val="5"/>
    </w:lvl>
  </w:abstractNum>
  <w:abstractNum w:abstractNumId="10">
    <w:nsid w:val="6A2342EC"/>
    <w:multiLevelType w:val="hybridMultilevel"/>
    <w:lvl w:ilvl="0">
      <w:lvlJc w:val="left"/>
      <w:lvlText w:val="(%1)"/>
      <w:numFmt w:val="lowerLetter"/>
      <w:start w:val="61"/>
    </w:lvl>
    <w:lvl w:ilvl="1">
      <w:lvlJc w:val="left"/>
      <w:lvlText w:val="(%2)"/>
      <w:numFmt w:val="lowerLetter"/>
      <w:start w:val="8"/>
    </w:lvl>
  </w:abstractNum>
  <w:abstractNum w:abstractNumId="11">
    <w:nsid w:val="2A487CB0"/>
    <w:multiLevelType w:val="hybridMultilevel"/>
    <w:lvl w:ilvl="0">
      <w:lvlJc w:val="left"/>
      <w:lvlText w:val="(%1)"/>
      <w:numFmt w:val="lowerLetter"/>
      <w:start w:val="13"/>
    </w:lvl>
  </w:abstractNum>
  <w:abstractNum w:abstractNumId="12">
    <w:nsid w:val="1D4ED43B"/>
    <w:multiLevelType w:val="hybridMultilevel"/>
    <w:lvl w:ilvl="0">
      <w:lvlJc w:val="left"/>
      <w:lvlText w:val="(%1)"/>
      <w:numFmt w:val="lowerLetter"/>
      <w:start w:val="17"/>
    </w:lvl>
  </w:abstractNum>
  <w:abstractNum w:abstractNumId="13">
    <w:nsid w:val="725A06FB"/>
    <w:multiLevelType w:val="hybridMultilevel"/>
    <w:lvl w:ilvl="0">
      <w:lvlJc w:val="left"/>
      <w:lvlText w:val="%1"/>
      <w:numFmt w:val="lowerLetter"/>
      <w:start w:val="1"/>
    </w:lvl>
    <w:lvl w:ilvl="1">
      <w:lvlJc w:val="left"/>
      <w:lvlText w:val="(%2)"/>
      <w:numFmt w:val="lowerLetter"/>
      <w:start w:val="23"/>
    </w:lvl>
  </w:abstractNum>
  <w:abstractNum w:abstractNumId="14">
    <w:nsid w:val="2CD89A32"/>
    <w:multiLevelType w:val="hybridMultilevel"/>
    <w:lvl w:ilvl="0">
      <w:lvlJc w:val="left"/>
      <w:lvlText w:val="(%1)"/>
      <w:numFmt w:val="lowerLetter"/>
      <w:start w:val="35"/>
    </w:lvl>
    <w:lvl w:ilvl="1">
      <w:lvlJc w:val="left"/>
      <w:lvlText w:val="%2"/>
      <w:numFmt w:val="lowerLetter"/>
      <w:start w:val="1"/>
    </w:lvl>
  </w:abstractNum>
  <w:abstractNum w:abstractNumId="15">
    <w:nsid w:val="57E4CCAF"/>
    <w:multiLevelType w:val="hybridMultilevel"/>
    <w:lvl w:ilvl="0">
      <w:lvlJc w:val="left"/>
      <w:lvlText w:val="(%1)"/>
      <w:numFmt w:val="lowerLetter"/>
      <w:start w:val="26"/>
    </w:lvl>
  </w:abstractNum>
  <w:abstractNum w:abstractNumId="16">
    <w:nsid w:val="7A6D8D3C"/>
    <w:multiLevelType w:val="hybridMultilevel"/>
    <w:lvl w:ilvl="0">
      <w:lvlJc w:val="left"/>
      <w:lvlText w:val="(%1)"/>
      <w:numFmt w:val="lowerLetter"/>
      <w:start w:val="27"/>
    </w:lvl>
  </w:abstractNum>
  <w:abstractNum w:abstractNumId="17">
    <w:nsid w:val="4B588F54"/>
    <w:multiLevelType w:val="hybridMultilevel"/>
    <w:lvl w:ilvl="0">
      <w:lvlJc w:val="left"/>
      <w:lvlText w:val="(%1)"/>
      <w:numFmt w:val="lowerLetter"/>
      <w:start w:val="32"/>
    </w:lvl>
  </w:abstractNum>
  <w:abstractNum w:abstractNumId="18">
    <w:nsid w:val="542289EC"/>
    <w:multiLevelType w:val="hybridMultilevel"/>
    <w:lvl w:ilvl="0">
      <w:lvlJc w:val="left"/>
      <w:lvlText w:val="(%1)"/>
      <w:numFmt w:val="lowerLetter"/>
      <w:start w:val="1"/>
    </w:lvl>
  </w:abstractNum>
  <w:abstractNum w:abstractNumId="19">
    <w:nsid w:val="6DE91B18"/>
    <w:multiLevelType w:val="hybridMultilevel"/>
    <w:lvl w:ilvl="0">
      <w:lvlJc w:val="left"/>
      <w:lvlText w:val="%1"/>
      <w:numFmt w:val="decimal"/>
      <w:start w:val="1"/>
    </w:lvl>
    <w:lvl w:ilvl="1">
      <w:lvlJc w:val="left"/>
      <w:lvlText w:val="%2"/>
      <w:numFmt w:val="lowerRoman"/>
      <w:start w:val="1"/>
    </w:lvl>
    <w:lvl w:ilvl="2">
      <w:lvlJc w:val="left"/>
      <w:lvlText w:val="(%3)"/>
      <w:numFmt w:val="decimal"/>
      <w:start w:val="2"/>
    </w:lvl>
  </w:abstractNum>
  <w:abstractNum w:abstractNumId="20">
    <w:nsid w:val="38437FDB"/>
    <w:multiLevelType w:val="hybridMultilevel"/>
    <w:lvl w:ilvl="0">
      <w:lvlJc w:val="left"/>
      <w:lvlText w:val="(%1)"/>
      <w:numFmt w:val="decimal"/>
      <w:start w:val="2"/>
    </w:lvl>
    <w:lvl w:ilvl="1">
      <w:lvlJc w:val="left"/>
      <w:lvlText w:val="(%2)"/>
      <w:numFmt w:val="lowerRoman"/>
      <w:start w:val="2"/>
    </w:lvl>
    <w:lvl w:ilvl="2">
      <w:lvlJc w:val="left"/>
      <w:lvlText w:val="%3"/>
      <w:numFmt w:val="decimal"/>
      <w:start w:val="1"/>
    </w:lvl>
  </w:abstractNum>
  <w:abstractNum w:abstractNumId="21">
    <w:nsid w:val="7644A45C"/>
    <w:multiLevelType w:val="hybridMultilevel"/>
    <w:lvl w:ilvl="0">
      <w:lvlJc w:val="left"/>
      <w:lvlText w:val="(%1)"/>
      <w:numFmt w:val="lowerLetter"/>
      <w:start w:val="3"/>
    </w:lvl>
  </w:abstractNum>
  <w:abstractNum w:abstractNumId="22">
    <w:nsid w:val="32FFF902"/>
    <w:multiLevelType w:val="hybridMultilevel"/>
    <w:lvl w:ilvl="0">
      <w:lvlJc w:val="left"/>
      <w:lvlText w:val="(%1)"/>
      <w:numFmt w:val="lowerRoman"/>
      <w:start w:val="7"/>
    </w:lvl>
    <w:lvl w:ilvl="1">
      <w:lvlJc w:val="left"/>
      <w:lvlText w:val="(%2)"/>
      <w:numFmt w:val="lowerLetter"/>
      <w:start w:val="5"/>
    </w:lvl>
  </w:abstractNum>
  <w:abstractNum w:abstractNumId="23">
    <w:nsid w:val="684A481A"/>
    <w:multiLevelType w:val="hybridMultilevel"/>
    <w:lvl w:ilvl="0">
      <w:lvlJc w:val="left"/>
      <w:lvlText w:val="(%1)"/>
      <w:numFmt w:val="lowerLetter"/>
      <w:start w:val="8"/>
    </w:lvl>
  </w:abstractNum>
  <w:abstractNum w:abstractNumId="24">
    <w:nsid w:val="579478FE"/>
    <w:multiLevelType w:val="hybridMultilevel"/>
    <w:lvl w:ilvl="0">
      <w:lvlJc w:val="left"/>
      <w:lvlText w:val="(%1)"/>
      <w:numFmt w:val="lowerLetter"/>
      <w:start w:val="1"/>
    </w:lvl>
  </w:abstractNum>
  <w:abstractNum w:abstractNumId="25">
    <w:nsid w:val="749ABB43"/>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26">
    <w:nsid w:val="3DC240FB"/>
    <w:multiLevelType w:val="hybridMultilevel"/>
    <w:lvl w:ilvl="0">
      <w:lvlJc w:val="left"/>
      <w:lvlText w:val="(%1)"/>
      <w:numFmt w:val="lowerRoman"/>
      <w:start w:val="1"/>
    </w:lvl>
    <w:lvl w:ilvl="1">
      <w:lvlJc w:val="left"/>
      <w:lvlText w:val="(%2)"/>
      <w:numFmt w:val="lowerLetter"/>
      <w:start w:val="4"/>
    </w:lvl>
    <w:lvl w:ilvl="2">
      <w:lvlJc w:val="left"/>
      <w:lvlText w:val="(%3)"/>
      <w:numFmt w:val="upperLetter"/>
      <w:start w:val="1"/>
    </w:lvl>
  </w:abstractNum>
  <w:abstractNum w:abstractNumId="27">
    <w:nsid w:val="1BA026FA"/>
    <w:multiLevelType w:val="hybridMultilevel"/>
    <w:lvl w:ilvl="0">
      <w:lvlJc w:val="left"/>
      <w:lvlText w:val="(%1)"/>
      <w:numFmt w:val="lowerRoman"/>
      <w:start w:val="1"/>
    </w:lvl>
    <w:lvl w:ilvl="1">
      <w:lvlJc w:val="left"/>
      <w:lvlText w:val="(%2)"/>
      <w:numFmt w:val="upperLetter"/>
      <w:start w:val="1"/>
    </w:lvl>
  </w:abstractNum>
  <w:abstractNum w:abstractNumId="28">
    <w:nsid w:val="79A1DEAA"/>
    <w:multiLevelType w:val="hybridMultilevel"/>
    <w:lvl w:ilvl="0">
      <w:lvlJc w:val="left"/>
      <w:lvlText w:val="(%1)"/>
      <w:numFmt w:val="lowerLetter"/>
      <w:start w:val="35"/>
    </w:lvl>
    <w:lvl w:ilvl="1">
      <w:lvlJc w:val="left"/>
      <w:lvlText w:val="(%2)"/>
      <w:numFmt w:val="lowerLetter"/>
      <w:start w:val="5"/>
    </w:lvl>
  </w:abstractNum>
  <w:abstractNum w:abstractNumId="29">
    <w:nsid w:val="75C6C33A"/>
    <w:multiLevelType w:val="hybridMultilevel"/>
    <w:lvl w:ilvl="0">
      <w:lvlJc w:val="left"/>
      <w:lvlText w:val="%1."/>
      <w:numFmt w:val="decimal"/>
      <w:start w:val="6"/>
    </w:lvl>
  </w:abstractNum>
  <w:abstractNum w:abstractNumId="30">
    <w:nsid w:val="12E685FB"/>
    <w:multiLevelType w:val="hybridMultilevel"/>
    <w:lvl w:ilvl="0">
      <w:lvlJc w:val="left"/>
      <w:lvlText w:val="%1"/>
      <w:numFmt w:val="lowerLetter"/>
      <w:start w:val="1"/>
    </w:lvl>
    <w:lvl w:ilvl="1">
      <w:lvlJc w:val="left"/>
      <w:lvlText w:val="(%2)"/>
      <w:numFmt w:val="lowerLetter"/>
      <w:start w:val="1"/>
    </w:lvl>
  </w:abstractNum>
  <w:abstractNum w:abstractNumId="31">
    <w:nsid w:val="70C6A529"/>
    <w:multiLevelType w:val="hybridMultilevel"/>
    <w:lvl w:ilvl="0">
      <w:lvlJc w:val="left"/>
      <w:lvlText w:val="(%1)"/>
      <w:numFmt w:val="lowerLetter"/>
      <w:start w:val="35"/>
    </w:lvl>
    <w:lvl w:ilvl="1">
      <w:lvlJc w:val="left"/>
      <w:lvlText w:val="(%2)"/>
      <w:numFmt w:val="lowerLetter"/>
      <w:start w:val="4"/>
    </w:lvl>
  </w:abstractNum>
  <w:abstractNum w:abstractNumId="32">
    <w:nsid w:val="520EEDD1"/>
    <w:multiLevelType w:val="hybridMultilevel"/>
    <w:lvl w:ilvl="0">
      <w:lvlJc w:val="left"/>
      <w:lvlText w:val="(%1)"/>
      <w:numFmt w:val="lowerLetter"/>
      <w:start w:val="5"/>
    </w:lvl>
  </w:abstractNum>
  <w:abstractNum w:abstractNumId="33">
    <w:nsid w:val="374A3FE6"/>
    <w:multiLevelType w:val="hybridMultilevel"/>
    <w:lvl w:ilvl="0">
      <w:lvlJc w:val="left"/>
      <w:lvlText w:val="(%1)"/>
      <w:numFmt w:val="lowerLetter"/>
      <w:start w:val="11"/>
    </w:lvl>
  </w:abstractNum>
  <w:abstractNum w:abstractNumId="34">
    <w:nsid w:val="4F4EF005"/>
    <w:multiLevelType w:val="hybridMultilevel"/>
    <w:lvl w:ilvl="0">
      <w:lvlJc w:val="left"/>
      <w:lvlText w:val="%1."/>
      <w:numFmt w:val="decimal"/>
      <w:start w:val="7"/>
    </w:lvl>
  </w:abstractNum>
  <w:abstractNum w:abstractNumId="35">
    <w:nsid w:val="23F9C13C"/>
    <w:multiLevelType w:val="hybridMultilevel"/>
    <w:lvl w:ilvl="0">
      <w:lvlJc w:val="left"/>
      <w:lvlText w:val="(%1)"/>
      <w:numFmt w:val="lowerLetter"/>
      <w:start w:val="1"/>
    </w:lvl>
  </w:abstractNum>
  <w:abstractNum w:abstractNumId="36">
    <w:nsid w:val="649BB77C"/>
    <w:multiLevelType w:val="hybridMultilevel"/>
    <w:lvl w:ilvl="0">
      <w:lvlJc w:val="left"/>
      <w:lvlText w:val="(%1)"/>
      <w:numFmt w:val="lowerLetter"/>
      <w:start w:val="2"/>
    </w:lvl>
  </w:abstractNum>
  <w:abstractNum w:abstractNumId="37">
    <w:nsid w:val="275AC794"/>
    <w:multiLevelType w:val="hybridMultilevel"/>
    <w:lvl w:ilvl="0">
      <w:lvlJc w:val="left"/>
      <w:lvlText w:val="(%1)"/>
      <w:numFmt w:val="lowerLetter"/>
      <w:start w:val="9"/>
    </w:lvl>
    <w:lvl w:ilvl="1">
      <w:lvlJc w:val="left"/>
      <w:lvlText w:val="(%2)"/>
      <w:numFmt w:val="lowerLetter"/>
      <w:start w:val="4"/>
    </w:lvl>
  </w:abstractNum>
  <w:abstractNum w:abstractNumId="38">
    <w:nsid w:val="39386575"/>
    <w:multiLevelType w:val="hybridMultilevel"/>
    <w:lvl w:ilvl="0">
      <w:lvlJc w:val="left"/>
      <w:lvlText w:val="(%1)"/>
      <w:numFmt w:val="lowerLetter"/>
      <w:start w:val="5"/>
    </w:lvl>
  </w:abstractNum>
  <w:abstractNum w:abstractNumId="39">
    <w:nsid w:val="1CF10FD8"/>
    <w:multiLevelType w:val="hybridMultilevel"/>
    <w:lvl w:ilvl="0">
      <w:lvlJc w:val="left"/>
      <w:lvlText w:val="%1."/>
      <w:numFmt w:val="decimal"/>
      <w:start w:val="8"/>
    </w:lvl>
  </w:abstractNum>
  <w:abstractNum w:abstractNumId="40">
    <w:nsid w:val="180115BE"/>
    <w:multiLevelType w:val="hybridMultilevel"/>
    <w:lvl w:ilvl="0">
      <w:lvlJc w:val="left"/>
      <w:lvlText w:val="(%1)"/>
      <w:numFmt w:val="lowerLetter"/>
      <w:start w:val="2"/>
    </w:lvl>
  </w:abstractNum>
  <w:abstractNum w:abstractNumId="41">
    <w:nsid w:val="235BA861"/>
    <w:multiLevelType w:val="hybridMultilevel"/>
    <w:lvl w:ilvl="0">
      <w:lvlJc w:val="left"/>
      <w:lvlText w:val="(%1)"/>
      <w:numFmt w:val="lowerLetter"/>
      <w:start w:val="4"/>
    </w:lvl>
  </w:abstractNum>
  <w:abstractNum w:abstractNumId="42">
    <w:nsid w:val="47398C89"/>
    <w:multiLevelType w:val="hybridMultilevel"/>
    <w:lvl w:ilvl="0">
      <w:lvlJc w:val="left"/>
      <w:lvlText w:val="%1."/>
      <w:numFmt w:val="decimal"/>
      <w:start w:val="11"/>
    </w:lvl>
  </w:abstractNum>
  <w:abstractNum w:abstractNumId="43">
    <w:nsid w:val="354FE9F9"/>
    <w:multiLevelType w:val="hybridMultilevel"/>
    <w:lvl w:ilvl="0">
      <w:lvlJc w:val="left"/>
      <w:lvlText w:val="(%1)"/>
      <w:numFmt w:val="lowerLetter"/>
      <w:start w:val="2"/>
    </w:lvl>
  </w:abstractNum>
  <w:abstractNum w:abstractNumId="44">
    <w:nsid w:val="15B5AF5C"/>
    <w:multiLevelType w:val="hybridMultilevel"/>
    <w:lvl w:ilvl="0">
      <w:lvlJc w:val="left"/>
      <w:lvlText w:val="%1."/>
      <w:numFmt w:val="decimal"/>
      <w:start w:val="12"/>
    </w:lvl>
  </w:abstractNum>
  <w:abstractNum w:abstractNumId="45">
    <w:nsid w:val="741226BB"/>
    <w:multiLevelType w:val="hybridMultilevel"/>
    <w:lvl w:ilvl="0">
      <w:lvlJc w:val="left"/>
      <w:lvlText w:val="%1."/>
      <w:numFmt w:val="decimal"/>
      <w:start w:val="13"/>
    </w:lvl>
  </w:abstractNum>
  <w:abstractNum w:abstractNumId="46">
    <w:nsid w:val="D34B6A8"/>
    <w:multiLevelType w:val="hybridMultilevel"/>
    <w:lvl w:ilvl="0">
      <w:lvlJc w:val="left"/>
      <w:lvlText w:val="§"/>
      <w:numFmt w:val="bullet"/>
      <w:start w:val="1"/>
    </w:lvl>
    <w:lvl w:ilvl="1">
      <w:lvlJc w:val="left"/>
      <w:lvlText w:val="(%2)"/>
      <w:numFmt w:val="lowerLetter"/>
      <w:start w:val="2"/>
    </w:lvl>
  </w:abstractNum>
  <w:abstractNum w:abstractNumId="47">
    <w:nsid w:val="10233C99"/>
    <w:multiLevelType w:val="hybridMultilevel"/>
    <w:lvl w:ilvl="0">
      <w:lvlJc w:val="left"/>
      <w:lvlText w:val="(%1)"/>
      <w:numFmt w:val="lowerRoman"/>
      <w:start w:val="2"/>
    </w:lvl>
  </w:abstractNum>
  <w:abstractNum w:abstractNumId="48">
    <w:nsid w:val="3F6AB60F"/>
    <w:multiLevelType w:val="hybridMultilevel"/>
    <w:lvl w:ilvl="0">
      <w:lvlJc w:val="left"/>
      <w:lvlText w:val="%1."/>
      <w:numFmt w:val="decimal"/>
      <w:start w:val="17"/>
    </w:lvl>
  </w:abstractNum>
  <w:abstractNum w:abstractNumId="49">
    <w:nsid w:val="61574095"/>
    <w:multiLevelType w:val="hybridMultilevel"/>
    <w:lvl w:ilvl="0">
      <w:lvlJc w:val="left"/>
      <w:lvlText w:val="(%1)"/>
      <w:numFmt w:val="lowerLetter"/>
      <w:start w:val="1"/>
    </w:lvl>
  </w:abstractNum>
  <w:abstractNum w:abstractNumId="50">
    <w:nsid w:val="7E0C57B1"/>
    <w:multiLevelType w:val="hybridMultilevel"/>
    <w:lvl w:ilvl="0">
      <w:lvlJc w:val="left"/>
      <w:lvlText w:val="(%1)"/>
      <w:numFmt w:val="lowerLetter"/>
      <w:start w:val="5"/>
    </w:lvl>
  </w:abstractNum>
  <w:abstractNum w:abstractNumId="51">
    <w:nsid w:val="77AE35EB"/>
    <w:multiLevelType w:val="hybridMultilevel"/>
    <w:lvl w:ilvl="0">
      <w:lvlJc w:val="left"/>
      <w:lvlText w:val="%1."/>
      <w:numFmt w:val="decimal"/>
      <w:start w:val="18"/>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1)"/>
      <w:numFmt w:val="lowerLetter"/>
      <w:start w:val="1"/>
    </w:lvl>
    <w:lvl w:ilvl="1">
      <w:lvlJc w:val="left"/>
      <w:lvlText w:val="(%2)"/>
      <w:numFmt w:val="lowerRoman"/>
      <w:start w:val="1"/>
    </w:lvl>
  </w:abstractNum>
  <w:abstractNum w:abstractNumId="55">
    <w:nsid w:val="2F305DEF"/>
    <w:multiLevelType w:val="hybridMultilevel"/>
    <w:lvl w:ilvl="0">
      <w:lvlJc w:val="left"/>
      <w:lvlText w:val="%1"/>
      <w:numFmt w:val="decimal"/>
      <w:start w:val="1"/>
    </w:lvl>
    <w:lvl w:ilvl="1">
      <w:lvlJc w:val="left"/>
      <w:lvlText w:val="(%2)"/>
      <w:numFmt w:val="lowerRoman"/>
      <w:start w:val="4"/>
    </w:lvl>
  </w:abstractNum>
  <w:abstractNum w:abstractNumId="56">
    <w:nsid w:val="25A70BF7"/>
    <w:multiLevelType w:val="hybridMultilevel"/>
    <w:lvl w:ilvl="0">
      <w:lvlJc w:val="left"/>
      <w:lvlText w:val="(%1)"/>
      <w:numFmt w:val="decimal"/>
      <w:start w:val="1"/>
    </w:lvl>
    <w:lvl w:ilvl="1">
      <w:lvlJc w:val="left"/>
      <w:lvlText w:val="(%2)"/>
      <w:numFmt w:val="lowerRoman"/>
      <w:start w:val="5"/>
    </w:lvl>
  </w:abstractNum>
  <w:abstractNum w:abstractNumId="57">
    <w:nsid w:val="1DBABF00"/>
    <w:multiLevelType w:val="hybridMultilevel"/>
    <w:lvl w:ilvl="0">
      <w:lvlJc w:val="left"/>
      <w:lvlText w:val="(%1)"/>
      <w:numFmt w:val="lowerRoman"/>
      <w:start w:val="7"/>
    </w:lvl>
  </w:abstractNum>
  <w:abstractNum w:abstractNumId="58">
    <w:nsid w:val="4AD084E9"/>
    <w:multiLevelType w:val="hybridMultilevel"/>
    <w:lvl w:ilvl="0">
      <w:lvlJc w:val="left"/>
      <w:lvlText w:val="(%1)"/>
      <w:numFmt w:val="lowerLetter"/>
      <w:start w:val="1"/>
    </w:lvl>
    <w:lvl w:ilvl="1">
      <w:lvlJc w:val="left"/>
      <w:lvlText w:val="(%2)"/>
      <w:numFmt w:val="lowerRoman"/>
      <w:start w:val="1"/>
    </w:lvl>
  </w:abstractNum>
  <w:abstractNum w:abstractNumId="59">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60">
    <w:nsid w:val="1381823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1">
    <w:nsid w:val="5DB70AE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2">
    <w:nsid w:val="100F8FCA"/>
    <w:multiLevelType w:val="hybridMultilevel"/>
    <w:lvl w:ilvl="0">
      <w:lvlJc w:val="left"/>
      <w:lvlText w:val="%1"/>
      <w:numFmt w:val="lowerLetter"/>
      <w:start w:val="1"/>
    </w:lvl>
    <w:lvl w:ilvl="1">
      <w:lvlJc w:val="left"/>
      <w:lvlText w:val="(%2)"/>
      <w:numFmt w:val="lowerLetter"/>
      <w:start w:val="61"/>
    </w:lvl>
  </w:abstractNum>
  <w:abstractNum w:abstractNumId="63">
    <w:nsid w:val="6590700B"/>
    <w:multiLevelType w:val="hybridMultilevel"/>
    <w:lvl w:ilvl="0">
      <w:lvlJc w:val="left"/>
      <w:lvlText w:val="(%1)"/>
      <w:numFmt w:val="lowerLetter"/>
      <w:start w:val="6"/>
    </w:lvl>
    <w:lvl w:ilvl="1">
      <w:lvlJc w:val="left"/>
      <w:lvlText w:val="%2"/>
      <w:numFmt w:val="lowerLetter"/>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12"/>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1)"/>
      <w:numFmt w:val="lowerLetter"/>
      <w:start w:val="8"/>
    </w:lvl>
  </w:abstractNum>
  <w:abstractNum w:abstractNumId="73">
    <w:nsid w:val="5DC79E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18" Type="http://schemas.openxmlformats.org/officeDocument/2006/relationships/hyperlink" Target="http://www.sec.gov/Archives/edgar/data/1593538/000119312514272868/d76051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2026-05-29T17:51:05Z</dcterms:created>
  <dcterms:modified xsi:type="dcterms:W3CDTF">2026-05-29T17:51:05Z</dcterms:modified>
</cp:coreProperties>
</file>